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 w:ascii="仿宋_GB2312" w:hAnsi="仿宋_GB2312" w:eastAsia="仿宋_GB2312"/>
          <w:sz w:val="32"/>
        </w:rPr>
        <w:t>州环评</w:t>
      </w:r>
      <w:r>
        <w:rPr>
          <w:rFonts w:hint="eastAsia" w:ascii="华文宋体" w:hAnsi="华文宋体" w:eastAsia="华文宋体" w:cs="华文宋体"/>
          <w:sz w:val="32"/>
        </w:rPr>
        <w:t>〔</w:t>
      </w:r>
      <w:r>
        <w:rPr>
          <w:rFonts w:hint="eastAsia" w:ascii="仿宋_GB2312" w:hAnsi="仿宋_GB2312" w:eastAsia="仿宋_GB2312"/>
          <w:sz w:val="32"/>
        </w:rPr>
        <w:t>20</w:t>
      </w:r>
      <w:r>
        <w:rPr>
          <w:rFonts w:hint="eastAsia" w:ascii="仿宋_GB2312" w:hAnsi="仿宋_GB2312" w:eastAsia="仿宋_GB2312"/>
          <w:sz w:val="32"/>
          <w:lang w:val="en-US" w:eastAsia="zh-CN"/>
        </w:rPr>
        <w:t>23</w:t>
      </w:r>
      <w:r>
        <w:rPr>
          <w:rFonts w:hint="eastAsia" w:ascii="华文宋体" w:hAnsi="华文宋体" w:eastAsia="华文宋体" w:cs="华文宋体"/>
          <w:sz w:val="32"/>
        </w:rPr>
        <w:t>〕</w:t>
      </w: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>9</w:t>
      </w:r>
      <w:r>
        <w:rPr>
          <w:rFonts w:hint="eastAsia" w:ascii="仿宋_GB2312" w:hAnsi="仿宋_GB2312" w:eastAsia="仿宋_GB2312"/>
          <w:sz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湘西自治州生态环境局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华文中宋"/>
          <w:sz w:val="44"/>
          <w:lang w:val="en-US" w:eastAsia="zh-CN"/>
        </w:rPr>
      </w:pPr>
      <w:r>
        <w:rPr>
          <w:rFonts w:eastAsia="华文中宋"/>
          <w:sz w:val="44"/>
        </w:rPr>
        <w:t>关于</w:t>
      </w:r>
      <w:r>
        <w:rPr>
          <w:rFonts w:hint="eastAsia" w:eastAsia="华文中宋"/>
          <w:sz w:val="44"/>
          <w:lang w:val="en-US" w:eastAsia="zh-CN"/>
        </w:rPr>
        <w:t>湖南众鑫新材料科技股份有限公司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华文中宋"/>
          <w:sz w:val="44"/>
          <w:lang w:val="en-US" w:eastAsia="zh-CN"/>
        </w:rPr>
      </w:pPr>
      <w:r>
        <w:rPr>
          <w:rFonts w:hint="eastAsia" w:eastAsia="华文中宋"/>
          <w:sz w:val="44"/>
          <w:lang w:val="en-US" w:eastAsia="zh-CN"/>
        </w:rPr>
        <w:t>新建</w:t>
      </w:r>
      <w:r>
        <w:rPr>
          <w:rFonts w:hint="eastAsia" w:ascii="华文宋体" w:hAnsi="华文宋体" w:eastAsia="华文宋体" w:cs="华文宋体"/>
          <w:sz w:val="44"/>
          <w:szCs w:val="44"/>
          <w:lang w:val="en-US" w:eastAsia="zh-CN"/>
        </w:rPr>
        <w:t>200</w:t>
      </w:r>
      <w:r>
        <w:rPr>
          <w:rFonts w:hint="eastAsia" w:eastAsia="华文中宋"/>
          <w:sz w:val="44"/>
          <w:lang w:val="en-US" w:eastAsia="zh-CN"/>
        </w:rPr>
        <w:t>吨/年高纯五氧化二钒中试研发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eastAsia="华文中宋"/>
          <w:sz w:val="44"/>
          <w:lang w:val="en-US" w:eastAsia="zh-CN"/>
        </w:rPr>
        <w:t>生产线项目</w:t>
      </w:r>
      <w:r>
        <w:rPr>
          <w:rFonts w:hint="eastAsia" w:eastAsia="华文中宋"/>
          <w:sz w:val="44"/>
          <w:lang w:eastAsia="zh-CN"/>
        </w:rPr>
        <w:t>环境影响报告书</w:t>
      </w:r>
      <w:r>
        <w:rPr>
          <w:rFonts w:hint="eastAsia" w:eastAsia="华文中宋"/>
          <w:sz w:val="44"/>
        </w:rPr>
        <w:t>的批复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60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lang w:val="en-US" w:eastAsia="zh-CN"/>
        </w:rPr>
        <w:t>湖南众鑫新材料科技股份有限公司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/>
        <w:jc w:val="both"/>
        <w:textAlignment w:val="baseline"/>
        <w:outlineLvl w:val="9"/>
        <w:rPr>
          <w:rFonts w:hint="eastAsia" w:ascii="Times New Roman" w:hAnsi="Times New Roman" w:eastAsia="仿宋" w:cs="Times New Roman"/>
          <w:b w:val="0"/>
          <w:bCs w:val="0"/>
          <w:sz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lang w:val="en-US" w:eastAsia="zh-CN"/>
        </w:rPr>
        <w:t>你公司《关于对《湖南众鑫新材料科技股份有限公司新建200吨/年高纯五氧化二钒中试研发生产线项目环境影响报告书》批复的请示报告》及相关材料收悉。经研究，现批复如下：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/>
        <w:jc w:val="both"/>
        <w:textAlignment w:val="baseline"/>
        <w:outlineLvl w:val="9"/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lang w:val="en-US" w:eastAsia="zh-CN"/>
        </w:rPr>
        <w:t>湖南众鑫新材料科技股份有限公司新建200吨/年高纯五氧化二钒中试研发生产线项目位于泸溪经济开发区，现有厂区内，利用现有车间厂房建设。主要建设内容包括：新建一条年产200吨的高纯五氧化二钒中试研发生产线，同时配套新建设纯水制备系统、盐酸储存间、工艺废水蒸发系统、氨气吸收塔，其中危废暂存间、原辅料库、成品库、给排水、供热、供电、消防及办生活设施依托现有工程设施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"/>
          <w:sz w:val="32"/>
        </w:rPr>
        <w:t>该项目符合国家产业政策</w:t>
      </w:r>
      <w:r>
        <w:rPr>
          <w:rFonts w:hint="eastAsia" w:ascii="Times New Roman" w:hAnsi="Times New Roman" w:eastAsia="仿宋"/>
          <w:sz w:val="32"/>
          <w:lang w:eastAsia="zh-CN"/>
        </w:rPr>
        <w:t>，</w:t>
      </w:r>
      <w:r>
        <w:rPr>
          <w:rFonts w:hint="eastAsia" w:ascii="Times New Roman" w:hAnsi="Times New Roman" w:eastAsia="仿宋"/>
          <w:sz w:val="32"/>
        </w:rPr>
        <w:t>依据专家审查意见</w:t>
      </w:r>
      <w:r>
        <w:rPr>
          <w:rFonts w:hint="eastAsia" w:ascii="Times New Roman" w:hAnsi="Times New Roman" w:eastAsia="仿宋"/>
          <w:sz w:val="32"/>
          <w:lang w:eastAsia="zh-CN"/>
        </w:rPr>
        <w:t>、</w:t>
      </w:r>
      <w:r>
        <w:rPr>
          <w:rFonts w:hint="eastAsia" w:ascii="Times New Roman" w:hAnsi="Times New Roman" w:eastAsia="仿宋"/>
          <w:sz w:val="32"/>
        </w:rPr>
        <w:t>报告</w:t>
      </w:r>
      <w:r>
        <w:rPr>
          <w:rFonts w:hint="eastAsia" w:ascii="Times New Roman" w:hAnsi="Times New Roman" w:eastAsia="仿宋"/>
          <w:sz w:val="32"/>
          <w:lang w:eastAsia="zh-CN"/>
        </w:rPr>
        <w:t>书</w:t>
      </w:r>
      <w:r>
        <w:rPr>
          <w:rFonts w:hint="eastAsia" w:ascii="Times New Roman" w:hAnsi="Times New Roman" w:eastAsia="仿宋"/>
          <w:sz w:val="32"/>
        </w:rPr>
        <w:t>结论</w:t>
      </w:r>
      <w:r>
        <w:rPr>
          <w:rFonts w:hint="eastAsia" w:ascii="Times New Roman" w:hAnsi="Times New Roman" w:eastAsia="仿宋"/>
          <w:sz w:val="32"/>
          <w:lang w:eastAsia="zh-CN"/>
        </w:rPr>
        <w:t>和技术评估报告</w:t>
      </w:r>
      <w:r>
        <w:rPr>
          <w:rFonts w:hint="eastAsia" w:ascii="Times New Roman" w:hAnsi="Times New Roman" w:eastAsia="仿宋"/>
          <w:sz w:val="32"/>
        </w:rPr>
        <w:t>，</w:t>
      </w:r>
      <w:r>
        <w:rPr>
          <w:rFonts w:hint="eastAsia" w:ascii="Times New Roman" w:hAnsi="Times New Roman" w:eastAsia="仿宋"/>
          <w:sz w:val="32"/>
          <w:lang w:eastAsia="zh-CN"/>
        </w:rPr>
        <w:t>在建设单位认真落实环境影响报告书提出的各项污染防治措施、确保污染物达标排放和环境风险可控的前提下</w:t>
      </w:r>
      <w:r>
        <w:rPr>
          <w:rFonts w:hint="eastAsia" w:ascii="Times New Roman" w:hAnsi="Times New Roman" w:eastAsia="仿宋"/>
          <w:sz w:val="32"/>
        </w:rPr>
        <w:t>，</w:t>
      </w:r>
      <w:r>
        <w:rPr>
          <w:rFonts w:hint="eastAsia" w:ascii="Times New Roman" w:hAnsi="Times New Roman" w:eastAsia="仿宋"/>
          <w:sz w:val="32"/>
          <w:lang w:eastAsia="zh-CN"/>
        </w:rPr>
        <w:t>项目实施</w:t>
      </w:r>
      <w:r>
        <w:rPr>
          <w:rFonts w:hint="eastAsia" w:ascii="Times New Roman" w:hAnsi="Times New Roman" w:eastAsia="仿宋"/>
          <w:sz w:val="32"/>
        </w:rPr>
        <w:t>对生态环境不利影响能够得到有效缓解和控制。我局</w:t>
      </w:r>
      <w:r>
        <w:rPr>
          <w:rFonts w:hint="eastAsia" w:ascii="Times New Roman" w:hAnsi="Times New Roman" w:eastAsia="仿宋"/>
          <w:sz w:val="32"/>
          <w:lang w:eastAsia="zh-CN"/>
        </w:rPr>
        <w:t>原则</w:t>
      </w:r>
      <w:r>
        <w:rPr>
          <w:rFonts w:hint="eastAsia" w:ascii="Times New Roman" w:hAnsi="Times New Roman" w:eastAsia="仿宋"/>
          <w:sz w:val="32"/>
        </w:rPr>
        <w:t>同意报告</w:t>
      </w:r>
      <w:r>
        <w:rPr>
          <w:rFonts w:hint="eastAsia" w:ascii="Times New Roman" w:hAnsi="Times New Roman" w:eastAsia="仿宋"/>
          <w:sz w:val="32"/>
          <w:lang w:eastAsia="zh-CN"/>
        </w:rPr>
        <w:t>书</w:t>
      </w:r>
      <w:r>
        <w:rPr>
          <w:rFonts w:hint="eastAsia" w:ascii="Times New Roman" w:hAnsi="Times New Roman" w:eastAsia="仿宋"/>
          <w:sz w:val="32"/>
        </w:rPr>
        <w:t>所列建设项目的性质、规模、地点、生产工艺和拟采取的生态环境保护措施。</w:t>
      </w:r>
    </w:p>
    <w:p>
      <w:pPr>
        <w:spacing w:line="60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一、项目建设期环境管理要求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/>
        <w:jc w:val="both"/>
        <w:textAlignment w:val="baseline"/>
        <w:outlineLvl w:val="9"/>
        <w:rPr>
          <w:rFonts w:hint="eastAsia" w:ascii="Times New Roman" w:hAnsi="Times New Roman" w:eastAsia="仿宋" w:cs="Times New Roman"/>
          <w:b w:val="0"/>
          <w:bCs w:val="0"/>
          <w:sz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(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)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lang w:val="en-US" w:eastAsia="zh-CN"/>
        </w:rPr>
        <w:t>建设单位应按环评文件及批复要求细化环境保护措施，落实相应环保投资。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/>
        <w:jc w:val="both"/>
        <w:textAlignment w:val="baseline"/>
        <w:outlineLvl w:val="9"/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(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)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lang w:val="en-US" w:eastAsia="zh-CN"/>
        </w:rPr>
        <w:t>水污染防治。施工泥浆废水经过沉淀澄清处理后，上清液回用，不外排。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/>
        <w:jc w:val="both"/>
        <w:textAlignment w:val="baseline"/>
        <w:outlineLvl w:val="9"/>
        <w:rPr>
          <w:rFonts w:hint="eastAsia" w:ascii="Times New Roman" w:hAnsi="Times New Roman" w:eastAsia="仿宋" w:cs="Times New Roman"/>
          <w:b w:val="0"/>
          <w:bCs w:val="0"/>
          <w:sz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(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lang w:val="en-US" w:eastAsia="zh-CN"/>
        </w:rPr>
        <w:t>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)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lang w:val="en-US" w:eastAsia="zh-CN"/>
        </w:rPr>
        <w:t>大气污染防治。加强施工期扬尘管理，对施工场地、施工道路洒水降尘，及时清扫运输道路，并控制汽车行驶车速，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施工场地出口设置车辆冲洗设施，机动车辆冲洗干净后方可上路行驶。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/>
        <w:jc w:val="both"/>
        <w:textAlignment w:val="baseline"/>
        <w:outlineLvl w:val="9"/>
        <w:rPr>
          <w:rFonts w:hint="eastAsia" w:ascii="Times New Roman" w:hAnsi="Times New Roman" w:eastAsia="仿宋" w:cs="Times New Roman"/>
          <w:b w:val="0"/>
          <w:bCs w:val="0"/>
          <w:sz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(</w:t>
      </w:r>
      <w:r>
        <w:rPr>
          <w:rFonts w:hint="eastAsia" w:eastAsia="仿宋" w:cs="Times New Roman"/>
          <w:b w:val="0"/>
          <w:bCs w:val="0"/>
          <w:sz w:val="32"/>
          <w:lang w:val="en-US" w:eastAsia="zh-CN"/>
        </w:rPr>
        <w:t>四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)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lang w:val="en-US" w:eastAsia="zh-CN"/>
        </w:rPr>
        <w:t>固体废物污染防治。各类建筑垃圾分类收集、集中堆放、及时处置。废钢筋、钢板等尽量回收利用，不能回用的及时清运至符合要求的建筑垃圾填埋场处置。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生活垃圾分类收集，定期交当地环卫部门统一清运和处置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lang w:val="en-US" w:eastAsia="zh-CN"/>
        </w:rPr>
        <w:t>。</w:t>
      </w:r>
    </w:p>
    <w:p>
      <w:pPr>
        <w:pStyle w:val="17"/>
        <w:ind w:left="0" w:leftChars="0" w:firstLine="640" w:firstLineChars="200"/>
        <w:rPr>
          <w:rFonts w:hint="eastAsia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(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)</w:t>
      </w:r>
      <w:r>
        <w:rPr>
          <w:rFonts w:hint="eastAsia" w:eastAsia="仿宋" w:cs="Times New Roman"/>
          <w:b w:val="0"/>
          <w:bCs w:val="0"/>
          <w:sz w:val="32"/>
          <w:lang w:val="en-US" w:eastAsia="zh-CN"/>
        </w:rPr>
        <w:t>噪声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lang w:val="en-US" w:eastAsia="zh-CN"/>
        </w:rPr>
        <w:t>污染防</w:t>
      </w:r>
      <w:r>
        <w:rPr>
          <w:rFonts w:hint="eastAsia" w:eastAsia="仿宋" w:cs="Times New Roman"/>
          <w:b w:val="0"/>
          <w:bCs w:val="0"/>
          <w:sz w:val="32"/>
          <w:lang w:val="en-US" w:eastAsia="zh-CN"/>
        </w:rPr>
        <w:t>治。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优化施工方案，按环评文件要求选用低噪声施工设备，采取隔声降噪措施，合理安排施工作业时间。</w:t>
      </w:r>
    </w:p>
    <w:p>
      <w:pPr>
        <w:spacing w:line="60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二、项目营运期环境管理要求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/>
        <w:jc w:val="both"/>
        <w:textAlignment w:val="baseline"/>
        <w:outlineLvl w:val="9"/>
        <w:rPr>
          <w:rFonts w:hint="eastAsia" w:ascii="Times New Roman" w:hAnsi="Times New Roman" w:eastAsia="仿宋" w:cs="Times New Roman"/>
          <w:b w:val="0"/>
          <w:bCs w:val="0"/>
          <w:sz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" w:eastAsia="zh-CN" w:bidi="ar-SA"/>
        </w:rPr>
        <w:t>(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" w:eastAsia="zh-CN" w:bidi="ar-SA"/>
        </w:rPr>
        <w:t>)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lang w:val="en-US" w:eastAsia="zh-CN"/>
        </w:rPr>
        <w:t>水污染防治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/>
        <w:jc w:val="both"/>
        <w:textAlignment w:val="baseline"/>
        <w:outlineLvl w:val="9"/>
        <w:rPr>
          <w:rFonts w:hint="eastAsia" w:ascii="Times New Roman" w:hAnsi="Times New Roman" w:eastAsia="仿宋" w:cs="Times New Roman"/>
          <w:b w:val="0"/>
          <w:bCs w:val="0"/>
          <w:sz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lang w:val="en-US" w:eastAsia="zh-CN"/>
        </w:rPr>
        <w:t>1.完善厂区雨水截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(排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" w:eastAsia="zh-CN" w:bidi="ar-SA"/>
        </w:rPr>
        <w:t>)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lang w:val="en-US" w:eastAsia="zh-CN"/>
        </w:rPr>
        <w:t>水沟，各类废水收集管线布局合理、标识清晰，无跑冒滴漏现象，无污水进入雨水系统。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/>
        <w:jc w:val="both"/>
        <w:textAlignment w:val="baseline"/>
        <w:outlineLvl w:val="9"/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lang w:val="en-US" w:eastAsia="zh-CN"/>
        </w:rPr>
        <w:t>2.根据废水污染物成分，不同性质生产废水分类收集，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采取不同的预处理方式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lang w:val="en-US" w:eastAsia="zh-CN"/>
        </w:rPr>
        <w:t>。纯水制备系统产生的浓水排入园区污水管网，经园区污水处理厂处理达标后排放。沉钒废水经MVR蒸发器处理后循环使用，不外排。生活污水依托现有工程，经预处理达到接管标准后进园区污水处理厂处理达标后排放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/>
        <w:jc w:val="both"/>
        <w:textAlignment w:val="baseline"/>
        <w:outlineLvl w:val="9"/>
        <w:rPr>
          <w:rFonts w:hint="eastAsia" w:ascii="Times New Roman" w:hAnsi="Times New Roman" w:eastAsia="仿宋" w:cs="Times New Roman"/>
          <w:b w:val="0"/>
          <w:bCs w:val="0"/>
          <w:sz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lang w:val="en-US" w:eastAsia="zh-CN"/>
        </w:rPr>
        <w:t>3.严格落实地下水污染防治措施。按照分区防控的原则，做好生产车间、储罐区、盐酸事故存液池、管道等重点防治区域防腐、防渗措施。定期开展营运期地下水跟踪监测，建立地下水污染监控系统，做好厂区管道、法兰、阀门、沉淀池、危废间等设备的日常检修维护管理，防止地下水污染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/>
        <w:jc w:val="both"/>
        <w:textAlignment w:val="baseline"/>
        <w:outlineLvl w:val="9"/>
        <w:rPr>
          <w:rFonts w:hint="eastAsia" w:ascii="Times New Roman" w:hAnsi="Times New Roman" w:eastAsia="仿宋" w:cs="Times New Roman"/>
          <w:b w:val="0"/>
          <w:bCs w:val="0"/>
          <w:sz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" w:eastAsia="zh-CN" w:bidi="ar-SA"/>
        </w:rPr>
        <w:t>(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二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" w:eastAsia="zh-CN" w:bidi="ar-SA"/>
        </w:rPr>
        <w:t>)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lang w:val="en-US" w:eastAsia="zh-CN"/>
        </w:rPr>
        <w:t>大气污染防治</w:t>
      </w:r>
    </w:p>
    <w:p>
      <w:pPr>
        <w:widowControl/>
        <w:spacing w:line="600" w:lineRule="exact"/>
        <w:ind w:firstLine="640"/>
        <w:textAlignment w:val="baseline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/>
          <w:sz w:val="32"/>
        </w:rPr>
        <w:t>1</w:t>
      </w:r>
      <w:r>
        <w:rPr>
          <w:rFonts w:hint="eastAsia" w:ascii="Times New Roman" w:hAnsi="Times New Roman" w:eastAsia="仿宋"/>
          <w:sz w:val="32"/>
          <w:lang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原料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净化除杂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高温分解时产生的废气</w:t>
      </w:r>
      <w:r>
        <w:rPr>
          <w:rFonts w:hint="eastAsia" w:ascii="Times New Roman" w:hAnsi="Times New Roman" w:eastAsia="仿宋" w:cs="Times New Roman"/>
          <w:color w:val="auto"/>
          <w:sz w:val="32"/>
          <w:lang w:val="en-US" w:eastAsia="zh-CN"/>
        </w:rPr>
        <w:t>经收集处理后通过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不低于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米高排气筒达标排放。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干燥热分解工艺粉尘经收集处理后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通过不低于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米高排气筒达标排放。</w:t>
      </w:r>
    </w:p>
    <w:p>
      <w:pPr>
        <w:widowControl/>
        <w:spacing w:line="600" w:lineRule="exact"/>
        <w:ind w:firstLine="640"/>
        <w:textAlignment w:val="baseline"/>
        <w:rPr>
          <w:rFonts w:hint="default" w:ascii="Times New Roman" w:hAnsi="Times New Roman" w:eastAsia="仿宋" w:cs="Times New Roman"/>
          <w:b w:val="0"/>
          <w:bCs w:val="0"/>
          <w:sz w:val="32"/>
          <w:lang w:val="en-US" w:eastAsia="zh-CN"/>
        </w:rPr>
      </w:pPr>
      <w:r>
        <w:rPr>
          <w:rFonts w:hint="eastAsia" w:ascii="Times New Roman" w:hAnsi="Times New Roman" w:eastAsia="仿宋"/>
          <w:sz w:val="32"/>
        </w:rPr>
        <w:t>2</w:t>
      </w:r>
      <w:r>
        <w:rPr>
          <w:rFonts w:hint="eastAsia" w:ascii="Times New Roman" w:hAnsi="Times New Roman" w:eastAsia="仿宋"/>
          <w:sz w:val="32"/>
          <w:lang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严格落实环评文件要求，采取有效措施，加强无组织废气排放管理。加强厂区绿化，尽可能利用植被吸附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。车间内及时吸尘，必要时洒水抑尘。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/>
        <w:jc w:val="both"/>
        <w:textAlignment w:val="baseline"/>
        <w:outlineLvl w:val="9"/>
        <w:rPr>
          <w:rFonts w:hint="eastAsia" w:ascii="Times New Roman" w:hAnsi="Times New Roman" w:eastAsia="仿宋" w:cs="Times New Roman"/>
          <w:b w:val="0"/>
          <w:bCs w:val="0"/>
          <w:sz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" w:eastAsia="zh-CN" w:bidi="ar-SA"/>
        </w:rPr>
        <w:t>(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三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" w:eastAsia="zh-CN" w:bidi="ar-SA"/>
        </w:rPr>
        <w:t>)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lang w:val="en-US" w:eastAsia="zh-CN"/>
        </w:rPr>
        <w:t>固体废物污染防治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/>
        <w:jc w:val="both"/>
        <w:textAlignment w:val="baseline"/>
        <w:outlineLvl w:val="9"/>
        <w:rPr>
          <w:rFonts w:hint="eastAsia" w:ascii="Times New Roman" w:hAnsi="Times New Roman" w:eastAsia="仿宋" w:cs="Times New Roman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highlight w:val="none"/>
          <w:lang w:val="en-US" w:eastAsia="zh-CN"/>
        </w:rPr>
        <w:t>1.按照“减量化、资源化、无害化”原则，对固体废物进行分类收集、利用和处置。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/>
        <w:jc w:val="both"/>
        <w:textAlignment w:val="baseline"/>
        <w:outlineLvl w:val="9"/>
        <w:rPr>
          <w:rFonts w:hint="eastAsia" w:ascii="Times New Roman" w:hAnsi="Times New Roman" w:eastAsia="仿宋" w:cs="Times New Roman"/>
          <w:b w:val="0"/>
          <w:bCs w:val="0"/>
          <w:sz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lang w:val="en-US" w:eastAsia="zh-CN"/>
        </w:rPr>
        <w:t>2.制纯水设备滤芯</w:t>
      </w:r>
      <w:r>
        <w:rPr>
          <w:rFonts w:hint="eastAsia" w:eastAsia="仿宋" w:cs="Times New Roman"/>
          <w:b w:val="0"/>
          <w:bCs w:val="0"/>
          <w:sz w:val="32"/>
          <w:lang w:val="en-US" w:eastAsia="zh-CN"/>
        </w:rPr>
        <w:t>、含钒滤渣属于一般固体废物。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lang w:val="en-US" w:eastAsia="zh-CN"/>
        </w:rPr>
        <w:t>制纯水设备滤芯由设备厂家回收利用处置。</w:t>
      </w:r>
      <w:r>
        <w:rPr>
          <w:rFonts w:hint="eastAsia" w:eastAsia="仿宋" w:cs="Times New Roman"/>
          <w:b w:val="0"/>
          <w:bCs w:val="0"/>
          <w:sz w:val="32"/>
          <w:lang w:val="en-US" w:eastAsia="zh-CN"/>
        </w:rPr>
        <w:t>含钒滤渣进行二次回收，或作为原料进行外售。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生活垃圾集中收集后定期交环卫部门清运。</w:t>
      </w:r>
    </w:p>
    <w:p>
      <w:pPr>
        <w:widowControl/>
        <w:spacing w:line="600" w:lineRule="exact"/>
        <w:ind w:firstLine="640"/>
        <w:textAlignment w:val="baseline"/>
        <w:rPr>
          <w:rFonts w:hint="eastAsia" w:ascii="Times New Roman" w:hAnsi="Times New Roman" w:eastAsia="仿宋" w:cs="Times New Roman"/>
          <w:b w:val="0"/>
          <w:bCs w:val="0"/>
          <w:sz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lang w:val="en-US" w:eastAsia="zh-CN"/>
        </w:rPr>
        <w:t>3.</w:t>
      </w:r>
      <w:r>
        <w:rPr>
          <w:rFonts w:hint="eastAsia" w:eastAsia="仿宋" w:cs="Times New Roman"/>
          <w:b w:val="0"/>
          <w:bCs w:val="0"/>
          <w:sz w:val="32"/>
          <w:lang w:val="en-US" w:eastAsia="zh-CN"/>
        </w:rPr>
        <w:t>五氧化二钒包装袋、废离子交换树脂、废反渗透膜、废矿物油及含油抹布等为危险废物，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lang w:val="en-US" w:eastAsia="zh-CN"/>
        </w:rPr>
        <w:t>经分类收集后暂存于厂区现有危废暂存间，定期交由有资质的危险废物收集处置单位综合利用或处置。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/>
        <w:jc w:val="both"/>
        <w:textAlignment w:val="baseline"/>
        <w:outlineLvl w:val="9"/>
        <w:rPr>
          <w:rFonts w:hint="eastAsia" w:ascii="Times New Roman" w:hAnsi="Times New Roman" w:eastAsia="仿宋" w:cs="Times New Roman"/>
          <w:sz w:val="32"/>
          <w:lang w:val="e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lang w:val="en-US" w:eastAsia="zh-CN"/>
        </w:rPr>
        <w:t>4.</w:t>
      </w:r>
      <w:r>
        <w:rPr>
          <w:rFonts w:hint="default" w:ascii="Times New Roman" w:hAnsi="Times New Roman" w:eastAsia="仿宋" w:cs="Times New Roman"/>
          <w:sz w:val="32"/>
          <w:lang w:val="en-US" w:eastAsia="zh-CN"/>
        </w:rPr>
        <w:t>建设单位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应</w:t>
      </w:r>
      <w:r>
        <w:rPr>
          <w:rFonts w:hint="eastAsia" w:ascii="Times New Roman" w:hAnsi="Times New Roman" w:eastAsia="仿宋" w:cs="Times New Roman"/>
          <w:sz w:val="32"/>
          <w:lang w:val="en"/>
        </w:rPr>
        <w:t>严格执行《一般工业固体废物贮存和填埋污染控制标准》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" w:eastAsia="zh-CN" w:bidi="ar-SA"/>
        </w:rPr>
        <w:t>(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" w:eastAsia="zh-CN" w:bidi="ar-SA"/>
        </w:rPr>
        <w:t>GB18599-2020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" w:eastAsia="zh-CN" w:bidi="ar-SA"/>
        </w:rPr>
        <w:t>)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" w:eastAsia="zh-CN" w:bidi="ar-SA"/>
        </w:rPr>
        <w:t>、《危险废物贮存污染控制标准》( GB18597-2001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" w:eastAsia="zh-CN" w:bidi="ar-SA"/>
        </w:rPr>
        <w:t>)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" w:eastAsia="zh-CN" w:bidi="ar-SA"/>
        </w:rPr>
        <w:t>及</w:t>
      </w:r>
      <w:r>
        <w:rPr>
          <w:rFonts w:hint="eastAsia" w:ascii="Times New Roman" w:hAnsi="Times New Roman" w:eastAsia="仿宋" w:cs="Times New Roman"/>
          <w:sz w:val="32"/>
          <w:lang w:val="en"/>
        </w:rPr>
        <w:t>2013年修改单中相关要求，并做好</w:t>
      </w:r>
      <w:r>
        <w:rPr>
          <w:rFonts w:hint="eastAsia" w:ascii="Times New Roman" w:hAnsi="Times New Roman" w:eastAsia="仿宋" w:cs="Times New Roman"/>
          <w:sz w:val="32"/>
          <w:lang w:val="en" w:eastAsia="zh-CN"/>
        </w:rPr>
        <w:t>暂存</w:t>
      </w:r>
      <w:r>
        <w:rPr>
          <w:rFonts w:hint="eastAsia" w:ascii="Times New Roman" w:hAnsi="Times New Roman" w:eastAsia="仿宋" w:cs="Times New Roman"/>
          <w:sz w:val="32"/>
          <w:lang w:val="en"/>
        </w:rPr>
        <w:t>场所的分区防渗、导流、废液收集处理等措施。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/>
        <w:jc w:val="both"/>
        <w:textAlignment w:val="baseline"/>
        <w:outlineLvl w:val="9"/>
        <w:rPr>
          <w:rFonts w:hint="eastAsia" w:ascii="Times New Roman" w:hAnsi="Times New Roman" w:eastAsia="仿宋" w:cs="Times New Roman"/>
          <w:b w:val="0"/>
          <w:bCs w:val="0"/>
          <w:sz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lang w:val="en-US" w:eastAsia="zh-CN"/>
        </w:rPr>
        <w:t>5.危险废物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lang w:val="en-US" w:eastAsia="zh-CN"/>
        </w:rPr>
        <w:t>的转移须严格按照《危险废物转移管理办法》填写危险废物转移联单，并作好危险废物管理台账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lang w:val="en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right="0" w:rightChars="0" w:firstLine="640" w:firstLineChars="200"/>
        <w:jc w:val="both"/>
        <w:textAlignment w:val="baseline"/>
        <w:outlineLvl w:val="9"/>
        <w:rPr>
          <w:rFonts w:hint="eastAsia" w:ascii="Times New Roman" w:hAnsi="Times New Roman" w:eastAsia="仿宋" w:cs="Times New Roman"/>
          <w:b w:val="0"/>
          <w:bCs w:val="0"/>
          <w:sz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" w:eastAsia="zh-CN" w:bidi="ar-SA"/>
        </w:rPr>
        <w:t>(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四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" w:eastAsia="zh-CN" w:bidi="ar-SA"/>
        </w:rPr>
        <w:t>)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lang w:val="en-US" w:eastAsia="zh-CN"/>
        </w:rPr>
        <w:t>噪声污染防治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/>
        <w:jc w:val="both"/>
        <w:textAlignment w:val="baseline"/>
        <w:outlineLvl w:val="9"/>
        <w:rPr>
          <w:rFonts w:hint="eastAsia" w:ascii="Times New Roman" w:hAnsi="Times New Roman" w:eastAsia="仿宋" w:cs="Times New Roman"/>
          <w:color w:val="auto"/>
          <w:sz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lang w:eastAsia="zh-CN"/>
        </w:rPr>
        <w:t>通过选用低噪声设备和加装消声器，采取减震、隔声、厂区绿化等措施，确保厂界噪声达标。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/>
        <w:jc w:val="both"/>
        <w:textAlignment w:val="baseline"/>
        <w:outlineLvl w:val="9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三、其他环境管理要求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/>
        <w:jc w:val="both"/>
        <w:textAlignment w:val="baseline"/>
        <w:outlineLvl w:val="9"/>
        <w:rPr>
          <w:rFonts w:hint="default" w:ascii="Times New Roman" w:hAnsi="Times New Roman" w:eastAsia="仿宋" w:cs="Times New Roman"/>
          <w:b w:val="0"/>
          <w:bCs w:val="0"/>
          <w:sz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" w:eastAsia="zh-CN" w:bidi="ar-SA"/>
        </w:rPr>
        <w:t>(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" w:eastAsia="zh-CN" w:bidi="ar-SA"/>
        </w:rPr>
        <w:t>)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lang w:val="en-US" w:eastAsia="zh-CN"/>
        </w:rPr>
        <w:t>排污许可证管理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32"/>
          <w:lang w:eastAsia="zh-CN"/>
        </w:rPr>
        <w:t>.</w:t>
      </w:r>
      <w:r>
        <w:rPr>
          <w:rFonts w:hint="default" w:ascii="Times New Roman" w:hAnsi="Times New Roman" w:eastAsia="仿宋" w:cs="Times New Roman"/>
          <w:sz w:val="32"/>
        </w:rPr>
        <w:t>建设项目投产排污前应按规定申请办理排污许可证</w:t>
      </w:r>
      <w:r>
        <w:rPr>
          <w:rFonts w:hint="default" w:ascii="Times New Roman" w:hAnsi="Times New Roman" w:eastAsia="仿宋" w:cs="Times New Roman"/>
          <w:sz w:val="32"/>
          <w:lang w:eastAsia="zh-CN"/>
        </w:rPr>
        <w:t>相关手续</w:t>
      </w:r>
      <w:r>
        <w:rPr>
          <w:rFonts w:hint="default" w:ascii="Times New Roman" w:hAnsi="Times New Roman" w:eastAsia="仿宋" w:cs="Times New Roman"/>
          <w:sz w:val="32"/>
        </w:rPr>
        <w:t>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>2</w:t>
      </w:r>
      <w:r>
        <w:rPr>
          <w:rFonts w:hint="default" w:ascii="Times New Roman" w:hAnsi="Times New Roman" w:eastAsia="仿宋" w:cs="Times New Roman"/>
          <w:sz w:val="32"/>
          <w:lang w:eastAsia="zh-CN"/>
        </w:rPr>
        <w:t>.</w:t>
      </w:r>
      <w:r>
        <w:rPr>
          <w:rFonts w:hint="default" w:ascii="Times New Roman" w:hAnsi="Times New Roman" w:eastAsia="仿宋" w:cs="Times New Roman"/>
          <w:sz w:val="32"/>
        </w:rPr>
        <w:t>按照排污许可证规定的项目、频次和有关标准规范开展自行监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" w:eastAsia="zh-CN" w:bidi="ar-SA"/>
        </w:rPr>
        <w:t>测(包括在线监测、手工监测)，</w:t>
      </w:r>
      <w:r>
        <w:rPr>
          <w:rFonts w:hint="default" w:ascii="Times New Roman" w:hAnsi="Times New Roman" w:eastAsia="仿宋" w:cs="Times New Roman"/>
          <w:sz w:val="32"/>
        </w:rPr>
        <w:t>按要求公开自行监测信息。保存原始监测记录，保存期限不得少于5年。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>3</w:t>
      </w:r>
      <w:r>
        <w:rPr>
          <w:rFonts w:hint="default" w:ascii="Times New Roman" w:hAnsi="Times New Roman" w:eastAsia="仿宋" w:cs="Times New Roman"/>
          <w:sz w:val="32"/>
          <w:lang w:eastAsia="zh-CN"/>
        </w:rPr>
        <w:t>.</w:t>
      </w:r>
      <w:r>
        <w:rPr>
          <w:rFonts w:hint="default" w:ascii="Times New Roman" w:hAnsi="Times New Roman" w:eastAsia="仿宋" w:cs="Times New Roman"/>
          <w:sz w:val="32"/>
        </w:rPr>
        <w:t>建立环境管理台账制度，落实环境管理台账记录的责任部门和责任人。按排污许可证要求的记录频次和内容，真实记录生产设施运行管理信息、污染防治设施运行管理信息、非正常工况及污染防治设施异常情况记录信息、监测记录信息、其他环境管理信息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</w:rPr>
        <w:t>4</w:t>
      </w:r>
      <w:r>
        <w:rPr>
          <w:rFonts w:hint="default" w:ascii="Times New Roman" w:hAnsi="Times New Roman" w:eastAsia="仿宋" w:cs="Times New Roman"/>
          <w:sz w:val="32"/>
          <w:lang w:eastAsia="zh-CN"/>
        </w:rPr>
        <w:t>.</w:t>
      </w:r>
      <w:r>
        <w:rPr>
          <w:rFonts w:hint="default" w:ascii="Times New Roman" w:hAnsi="Times New Roman" w:eastAsia="仿宋" w:cs="Times New Roman"/>
          <w:sz w:val="32"/>
        </w:rPr>
        <w:t>按规定内容编制排污许可证执行报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" w:eastAsia="zh-CN" w:bidi="ar-SA"/>
        </w:rPr>
        <w:t>告(年度、季度)，</w:t>
      </w:r>
      <w:r>
        <w:rPr>
          <w:rFonts w:hint="default" w:ascii="Times New Roman" w:hAnsi="Times New Roman" w:eastAsia="仿宋" w:cs="Times New Roman"/>
          <w:sz w:val="32"/>
        </w:rPr>
        <w:t>按规定时间在统一的平台提交执行报告，自觉接受生态环境部门监管和社会公众监督。</w:t>
      </w:r>
    </w:p>
    <w:p>
      <w:pPr>
        <w:keepNext w:val="0"/>
        <w:keepLines w:val="0"/>
        <w:pageBreakBefore w:val="0"/>
        <w:tabs>
          <w:tab w:val="left" w:pos="855"/>
        </w:tabs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/>
        <w:jc w:val="both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" w:eastAsia="zh-CN" w:bidi="ar-SA"/>
        </w:rPr>
        <w:t>(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二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" w:eastAsia="zh-CN" w:bidi="ar-SA"/>
        </w:rPr>
        <w:t>)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lang w:val="en-US" w:eastAsia="zh-CN"/>
        </w:rPr>
        <w:t>环境影响评价管理</w:t>
      </w:r>
    </w:p>
    <w:p>
      <w:pPr>
        <w:keepNext w:val="0"/>
        <w:keepLines w:val="0"/>
        <w:pageBreakBefore w:val="0"/>
        <w:tabs>
          <w:tab w:val="left" w:pos="855"/>
        </w:tabs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/>
        <w:jc w:val="both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建设项目环境影响报告书经批准后，该项目的性质、规模、地点、生产工艺和环境保护措施发生重大变动的，应按程序重新报批环境影响评价文件。</w:t>
      </w:r>
    </w:p>
    <w:p>
      <w:pPr>
        <w:keepNext w:val="0"/>
        <w:keepLines w:val="0"/>
        <w:pageBreakBefore w:val="0"/>
        <w:tabs>
          <w:tab w:val="left" w:pos="855"/>
        </w:tabs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/>
        <w:jc w:val="both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自建设项目环境影响报告书批准之日起，超过五年方决定开工建设的，应按程序重新报批环境影响评价文件。</w:t>
      </w:r>
    </w:p>
    <w:p>
      <w:pPr>
        <w:keepNext w:val="0"/>
        <w:keepLines w:val="0"/>
        <w:pageBreakBefore w:val="0"/>
        <w:tabs>
          <w:tab w:val="left" w:pos="855"/>
        </w:tabs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/>
        <w:jc w:val="both"/>
        <w:rPr>
          <w:rFonts w:hint="default" w:ascii="Times New Roman" w:hAnsi="Times New Roman" w:eastAsia="仿宋" w:cs="Times New Roman"/>
          <w:b w:val="0"/>
          <w:bCs w:val="0"/>
          <w:color w:val="0000FF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3.</w:t>
      </w:r>
      <w:bookmarkStart w:id="0" w:name="_GoBack"/>
      <w:bookmarkEnd w:id="0"/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建设项目为中试试验项目，仅用于中试试验技术研究，中试期为2年，中试期满后，该中试研发生产线应自行终止。根据中试情况，企业若决定建设高纯五氧化二钒生产线，应按程序开展建设项目环境影响评价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" w:eastAsia="zh-CN" w:bidi="ar-SA"/>
        </w:rPr>
        <w:t>(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三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" w:eastAsia="zh-CN" w:bidi="ar-SA"/>
        </w:rPr>
        <w:t>)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竣工环境保护验收管理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严格执行建设项目环境保护“三同时”管理规定，项目竣工后，应按规定程序自行组织竣工环境保护验收，在生态环境部管理平台备案。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建设项目环保“三同时”执行情况的检查和日常环境管理工作由湘西自治州生态环境局</w:t>
      </w:r>
      <w:r>
        <w:rPr>
          <w:rFonts w:hint="eastAsia" w:ascii="Times New Roman" w:hAnsi="Times New Roman" w:eastAsia="仿宋" w:cs="Times New Roman"/>
          <w:sz w:val="32"/>
          <w:szCs w:val="32"/>
          <w:lang w:val="en" w:eastAsia="zh-CN"/>
        </w:rPr>
        <w:t>泸溪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分局具体负责。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" w:eastAsia="zh-CN" w:bidi="ar-SA"/>
        </w:rPr>
        <w:t>(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四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" w:eastAsia="zh-CN" w:bidi="ar-SA"/>
        </w:rPr>
        <w:t>)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环境应急管理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按规定编制突发环境事件应急预案，并报有管理权限的生态环境部门备案。按应急预案要求配备应急物资，定期开展应急演练。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按环境影响评价文件要求，建设环境突发事故应急设施和应急池，加强日常维护管理，确保随时能用。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center"/>
        <w:textAlignment w:val="baseline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center"/>
        <w:textAlignment w:val="baseline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center"/>
        <w:textAlignment w:val="baseline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                 湘西自治州生态环境局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                     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spacing w:line="600" w:lineRule="exact"/>
        <w:ind w:left="960" w:hanging="960" w:hangingChars="300"/>
        <w:textAlignment w:val="baseline"/>
        <w:rPr>
          <w:rFonts w:hint="eastAsia" w:eastAsia="仿宋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抄送：州生态环境</w:t>
      </w:r>
      <w:r>
        <w:rPr>
          <w:rFonts w:hint="default" w:ascii="Times New Roman" w:hAnsi="Times New Roman" w:eastAsia="仿宋" w:cs="Times New Roman"/>
          <w:sz w:val="32"/>
          <w:lang w:val="en-US" w:eastAsia="zh-CN"/>
        </w:rPr>
        <w:t>保护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综合行政执法局，州生态环境局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泸溪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     分局，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湖南铭越环境科技有限公司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0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C3C09E"/>
    <w:multiLevelType w:val="multilevel"/>
    <w:tmpl w:val="10C3C09E"/>
    <w:lvl w:ilvl="0" w:tentative="0">
      <w:start w:val="1"/>
      <w:numFmt w:val="decimal"/>
      <w:lvlText w:val="第%1章"/>
      <w:lvlJc w:val="left"/>
      <w:pPr>
        <w:ind w:left="432" w:hanging="432"/>
      </w:pPr>
      <w:rPr>
        <w:rFonts w:hint="default" w:ascii="Times New Roman" w:hAnsi="Times New Roman" w:eastAsia="仿宋_GB2312" w:cs="宋体"/>
        <w:sz w:val="28"/>
      </w:r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pStyle w:val="7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8"/>
      <w:lvlText w:val="%1.%2.%3.%4"/>
      <w:lvlJc w:val="left"/>
      <w:pPr>
        <w:ind w:left="420" w:hanging="420"/>
      </w:pPr>
      <w:rPr>
        <w:rFonts w:hint="default" w:eastAsia="仿宋_GB2312"/>
        <w:sz w:val="24"/>
      </w:rPr>
    </w:lvl>
    <w:lvl w:ilvl="4" w:tentative="0">
      <w:start w:val="1"/>
      <w:numFmt w:val="decimal"/>
      <w:pStyle w:val="9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10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12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13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4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wYTY0ZGU4MTA1MDFmN2UwNmFmYjhmODc2YzRkOTYifQ=="/>
  </w:docVars>
  <w:rsids>
    <w:rsidRoot w:val="65353E55"/>
    <w:rsid w:val="058269BE"/>
    <w:rsid w:val="06897554"/>
    <w:rsid w:val="0891413D"/>
    <w:rsid w:val="0B4F6466"/>
    <w:rsid w:val="1336706B"/>
    <w:rsid w:val="1356385F"/>
    <w:rsid w:val="14D57865"/>
    <w:rsid w:val="183824D4"/>
    <w:rsid w:val="1BFF71BD"/>
    <w:rsid w:val="27CA3CD1"/>
    <w:rsid w:val="27F24BDD"/>
    <w:rsid w:val="31C13DAB"/>
    <w:rsid w:val="32F26CA9"/>
    <w:rsid w:val="364041CF"/>
    <w:rsid w:val="370F7944"/>
    <w:rsid w:val="37DF8AC1"/>
    <w:rsid w:val="3883318A"/>
    <w:rsid w:val="3A3A337C"/>
    <w:rsid w:val="3B956549"/>
    <w:rsid w:val="3CEA6C43"/>
    <w:rsid w:val="431642B8"/>
    <w:rsid w:val="452315F4"/>
    <w:rsid w:val="45BC5916"/>
    <w:rsid w:val="503817C0"/>
    <w:rsid w:val="50616772"/>
    <w:rsid w:val="50D36DCD"/>
    <w:rsid w:val="54860840"/>
    <w:rsid w:val="5A3C44A0"/>
    <w:rsid w:val="5C3B0AFE"/>
    <w:rsid w:val="62F86D61"/>
    <w:rsid w:val="65353E55"/>
    <w:rsid w:val="67D565E6"/>
    <w:rsid w:val="68064682"/>
    <w:rsid w:val="6CCC4CD4"/>
    <w:rsid w:val="71937F9B"/>
    <w:rsid w:val="79C956C2"/>
    <w:rsid w:val="7DF9D8E9"/>
    <w:rsid w:val="7F6F4DDD"/>
    <w:rsid w:val="F7BF2998"/>
    <w:rsid w:val="F9DDD468"/>
    <w:rsid w:val="FBDF4115"/>
    <w:rsid w:val="FFAB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link w:val="27"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outlineLvl w:val="0"/>
    </w:pPr>
    <w:rPr>
      <w:b/>
      <w:kern w:val="44"/>
      <w:sz w:val="30"/>
    </w:rPr>
  </w:style>
  <w:style w:type="paragraph" w:styleId="6">
    <w:name w:val="heading 2"/>
    <w:basedOn w:val="1"/>
    <w:next w:val="1"/>
    <w:link w:val="22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outlineLvl w:val="1"/>
    </w:pPr>
    <w:rPr>
      <w:rFonts w:ascii="Arial" w:hAnsi="Arial"/>
      <w:b/>
    </w:rPr>
  </w:style>
  <w:style w:type="paragraph" w:styleId="7">
    <w:name w:val="heading 3"/>
    <w:basedOn w:val="1"/>
    <w:next w:val="1"/>
    <w:link w:val="25"/>
    <w:semiHidden/>
    <w:unhideWhenUsed/>
    <w:qFormat/>
    <w:uiPriority w:val="0"/>
    <w:pPr>
      <w:keepNext/>
      <w:keepLines/>
      <w:numPr>
        <w:ilvl w:val="2"/>
        <w:numId w:val="1"/>
      </w:numPr>
      <w:tabs>
        <w:tab w:val="left" w:pos="420"/>
      </w:tabs>
      <w:ind w:left="720" w:hanging="720" w:firstLineChars="0"/>
      <w:outlineLvl w:val="2"/>
    </w:pPr>
    <w:rPr>
      <w:rFonts w:ascii="Times New Roman" w:hAnsi="Times New Roman" w:eastAsia="仿宋" w:cs="Times New Roman"/>
      <w:b/>
      <w:sz w:val="28"/>
    </w:rPr>
  </w:style>
  <w:style w:type="paragraph" w:styleId="8">
    <w:name w:val="heading 4"/>
    <w:basedOn w:val="1"/>
    <w:next w:val="1"/>
    <w:link w:val="21"/>
    <w:semiHidden/>
    <w:unhideWhenUsed/>
    <w:qFormat/>
    <w:uiPriority w:val="0"/>
    <w:pPr>
      <w:keepNext/>
      <w:keepLines/>
      <w:numPr>
        <w:ilvl w:val="3"/>
        <w:numId w:val="1"/>
      </w:numPr>
      <w:tabs>
        <w:tab w:val="left" w:pos="420"/>
      </w:tabs>
      <w:adjustRightInd w:val="0"/>
      <w:spacing w:line="360" w:lineRule="auto"/>
      <w:ind w:left="420" w:leftChars="0" w:hanging="420" w:firstLineChars="0"/>
      <w:outlineLvl w:val="3"/>
    </w:pPr>
    <w:rPr>
      <w:rFonts w:ascii="等线 Light" w:hAnsi="等线 Light" w:eastAsia="仿宋_GB2312" w:cs="Times New Roman"/>
      <w:b/>
      <w:bCs/>
      <w:szCs w:val="28"/>
    </w:rPr>
  </w:style>
  <w:style w:type="paragraph" w:styleId="9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 w:firstLineChars="0"/>
      <w:outlineLvl w:val="4"/>
    </w:pPr>
    <w:rPr>
      <w:b/>
      <w:sz w:val="28"/>
    </w:rPr>
  </w:style>
  <w:style w:type="paragraph" w:styleId="10">
    <w:name w:val="heading 6"/>
    <w:basedOn w:val="1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240" w:lineRule="auto"/>
      <w:ind w:left="1152" w:hanging="1152" w:firstLineChars="0"/>
      <w:jc w:val="center"/>
      <w:outlineLvl w:val="5"/>
    </w:pPr>
    <w:rPr>
      <w:rFonts w:ascii="Arial" w:hAnsi="Arial" w:eastAsia="仿宋_GB2312" w:cs="Times New Roman"/>
      <w:b/>
      <w:sz w:val="21"/>
    </w:rPr>
  </w:style>
  <w:style w:type="paragraph" w:styleId="12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3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4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4" w:hanging="1584" w:firstLineChars="0"/>
      <w:outlineLvl w:val="8"/>
    </w:pPr>
    <w:rPr>
      <w:rFonts w:ascii="Arial" w:hAnsi="Arial" w:eastAsia="黑体"/>
      <w:sz w:val="21"/>
    </w:rPr>
  </w:style>
  <w:style w:type="character" w:default="1" w:styleId="20">
    <w:name w:val="Default Paragraph Font"/>
    <w:unhideWhenUsed/>
    <w:qFormat/>
    <w:uiPriority w:val="1"/>
  </w:style>
  <w:style w:type="table" w:default="1" w:styleId="1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tabs>
        <w:tab w:val="left" w:pos="420"/>
        <w:tab w:val="left" w:pos="870"/>
        <w:tab w:val="left" w:pos="3150"/>
      </w:tabs>
      <w:autoSpaceDE w:val="0"/>
      <w:autoSpaceDN w:val="0"/>
      <w:adjustRightInd/>
      <w:snapToGrid/>
      <w:spacing w:line="360" w:lineRule="auto"/>
      <w:ind w:firstLine="527"/>
      <w:textAlignment w:val="baseline"/>
    </w:pPr>
    <w:rPr>
      <w:rFonts w:ascii="宋体" w:hAnsi="宋体"/>
      <w:sz w:val="24"/>
    </w:rPr>
  </w:style>
  <w:style w:type="paragraph" w:styleId="3">
    <w:name w:val="Body Text Indent"/>
    <w:basedOn w:val="1"/>
    <w:next w:val="4"/>
    <w:qFormat/>
    <w:uiPriority w:val="0"/>
    <w:pPr>
      <w:spacing w:line="480" w:lineRule="exact"/>
      <w:ind w:firstLine="570"/>
    </w:pPr>
    <w:rPr>
      <w:rFonts w:ascii="Times New Roman" w:hAnsi="Calibri" w:eastAsia="宋体" w:cs="Times New Roman"/>
      <w:kern w:val="2"/>
      <w:sz w:val="28"/>
      <w:szCs w:val="28"/>
    </w:rPr>
  </w:style>
  <w:style w:type="paragraph" w:styleId="4">
    <w:name w:val="Body Text Indent 2"/>
    <w:basedOn w:val="1"/>
    <w:qFormat/>
    <w:uiPriority w:val="0"/>
    <w:pPr>
      <w:spacing w:line="480" w:lineRule="auto"/>
      <w:ind w:left="420" w:leftChars="200"/>
    </w:pPr>
    <w:rPr>
      <w:rFonts w:ascii="Calibri" w:hAnsi="Calibri" w:eastAsia="宋体" w:cs="Times New Roman"/>
      <w:szCs w:val="24"/>
    </w:rPr>
  </w:style>
  <w:style w:type="paragraph" w:styleId="11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15">
    <w:name w:val="Body Text"/>
    <w:basedOn w:val="1"/>
    <w:qFormat/>
    <w:uiPriority w:val="0"/>
    <w:pPr>
      <w:spacing w:after="120" w:afterLines="0" w:afterAutospacing="0"/>
    </w:pPr>
  </w:style>
  <w:style w:type="paragraph" w:styleId="16">
    <w:name w:val="List"/>
    <w:basedOn w:val="1"/>
    <w:qFormat/>
    <w:uiPriority w:val="0"/>
    <w:pPr>
      <w:ind w:left="200" w:hanging="200" w:hangingChars="200"/>
    </w:pPr>
  </w:style>
  <w:style w:type="paragraph" w:styleId="17">
    <w:name w:val="toc 2"/>
    <w:basedOn w:val="1"/>
    <w:next w:val="1"/>
    <w:qFormat/>
    <w:uiPriority w:val="0"/>
    <w:pPr>
      <w:ind w:left="420" w:leftChars="200"/>
    </w:pPr>
  </w:style>
  <w:style w:type="paragraph" w:styleId="18">
    <w:name w:val="Body Text First Indent"/>
    <w:basedOn w:val="1"/>
    <w:next w:val="1"/>
    <w:qFormat/>
    <w:uiPriority w:val="0"/>
    <w:pPr>
      <w:ind w:firstLine="420" w:firstLineChars="100"/>
    </w:pPr>
  </w:style>
  <w:style w:type="character" w:customStyle="1" w:styleId="21">
    <w:name w:val="标题 4 Char"/>
    <w:link w:val="8"/>
    <w:qFormat/>
    <w:uiPriority w:val="0"/>
    <w:rPr>
      <w:rFonts w:ascii="等线 Light" w:hAnsi="等线 Light" w:eastAsia="仿宋_GB2312" w:cs="Times New Roman"/>
      <w:b/>
      <w:bCs/>
      <w:sz w:val="28"/>
      <w:szCs w:val="28"/>
    </w:rPr>
  </w:style>
  <w:style w:type="character" w:customStyle="1" w:styleId="22">
    <w:name w:val="标题 2 字符"/>
    <w:link w:val="6"/>
    <w:qFormat/>
    <w:uiPriority w:val="0"/>
    <w:rPr>
      <w:rFonts w:ascii="Arial" w:hAnsi="Arial" w:eastAsia="仿宋" w:cstheme="minorBidi"/>
      <w:b/>
      <w:sz w:val="32"/>
      <w:szCs w:val="24"/>
    </w:rPr>
  </w:style>
  <w:style w:type="paragraph" w:customStyle="1" w:styleId="23">
    <w:name w:val="应急预案"/>
    <w:basedOn w:val="11"/>
    <w:qFormat/>
    <w:uiPriority w:val="0"/>
    <w:pPr>
      <w:jc w:val="center"/>
    </w:pPr>
    <w:rPr>
      <w:rFonts w:ascii="Arial" w:hAnsi="Arial" w:eastAsia="华文仿宋" w:cs="Times New Roman"/>
      <w:b/>
      <w:sz w:val="21"/>
    </w:rPr>
  </w:style>
  <w:style w:type="paragraph" w:customStyle="1" w:styleId="24">
    <w:name w:val="样式1"/>
    <w:basedOn w:val="11"/>
    <w:qFormat/>
    <w:uiPriority w:val="0"/>
    <w:pPr>
      <w:spacing w:line="240" w:lineRule="auto"/>
      <w:ind w:firstLine="0" w:firstLineChars="0"/>
      <w:jc w:val="center"/>
    </w:pPr>
    <w:rPr>
      <w:rFonts w:ascii="Arial" w:hAnsi="Arial" w:cs="Times New Roman"/>
      <w:b/>
      <w:sz w:val="21"/>
    </w:rPr>
  </w:style>
  <w:style w:type="character" w:customStyle="1" w:styleId="25">
    <w:name w:val="标题 3 Char"/>
    <w:link w:val="7"/>
    <w:qFormat/>
    <w:uiPriority w:val="0"/>
    <w:rPr>
      <w:rFonts w:ascii="Times New Roman" w:hAnsi="Times New Roman" w:eastAsia="仿宋" w:cs="Times New Roman"/>
      <w:b/>
      <w:sz w:val="28"/>
    </w:rPr>
  </w:style>
  <w:style w:type="paragraph" w:customStyle="1" w:styleId="26">
    <w:name w:val="标题7"/>
    <w:basedOn w:val="12"/>
    <w:next w:val="16"/>
    <w:qFormat/>
    <w:uiPriority w:val="0"/>
    <w:pPr>
      <w:numPr>
        <w:numId w:val="0"/>
      </w:numPr>
      <w:adjustRightInd w:val="0"/>
      <w:snapToGrid w:val="0"/>
      <w:spacing w:line="360" w:lineRule="auto"/>
      <w:jc w:val="center"/>
    </w:pPr>
    <w:rPr>
      <w:rFonts w:ascii="Times New Roman" w:hAnsi="Times New Roman" w:eastAsia="仿宋_GB2312" w:cs="Times New Roman"/>
      <w:snapToGrid w:val="0"/>
      <w:color w:val="000000" w:themeColor="text1"/>
      <w:kern w:val="0"/>
      <w:sz w:val="21"/>
      <w:szCs w:val="24"/>
      <w:u w:val="none" w:color="auto"/>
      <w14:textFill>
        <w14:solidFill>
          <w14:schemeClr w14:val="tx1"/>
        </w14:solidFill>
      </w14:textFill>
    </w:rPr>
  </w:style>
  <w:style w:type="character" w:customStyle="1" w:styleId="27">
    <w:name w:val="标题 1 字符"/>
    <w:basedOn w:val="20"/>
    <w:link w:val="5"/>
    <w:qFormat/>
    <w:uiPriority w:val="9"/>
    <w:rPr>
      <w:rFonts w:ascii="Times New Roman" w:hAnsi="Times New Roman" w:eastAsia="仿宋_GB2312" w:cstheme="minorBidi"/>
      <w:b/>
      <w:bCs/>
      <w:kern w:val="44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2600</Words>
  <Characters>2667</Characters>
  <Lines>0</Lines>
  <Paragraphs>0</Paragraphs>
  <TotalTime>7</TotalTime>
  <ScaleCrop>false</ScaleCrop>
  <LinksUpToDate>false</LinksUpToDate>
  <CharactersWithSpaces>2756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2023-03-27T10:59:00Z</dcterms:created>
  <dc:creator>YLP</dc:creator>
  <cp:lastModifiedBy>greatwall</cp:lastModifiedBy>
  <cp:lastPrinted>2023-04-22T04:22:00Z</cp:lastPrinted>
  <dcterms:modified xsi:type="dcterms:W3CDTF">2023-04-21T16:51:48Z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C4C6181D592C41A8B607AAEA9202A5CD</vt:lpwstr>
  </property>
</Properties>
</file>