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rPr>
          <w:rFonts w:eastAsia="黑体"/>
          <w:b/>
          <w:color w:val="auto"/>
          <w:kern w:val="0"/>
          <w:sz w:val="32"/>
          <w:szCs w:val="32"/>
          <w:u w:val="none"/>
        </w:rPr>
      </w:pPr>
    </w:p>
    <w:p>
      <w:pPr>
        <w:pStyle w:val="62"/>
      </w:pPr>
    </w:p>
    <w:p>
      <w:pPr>
        <w:ind w:firstLine="643"/>
        <w:rPr>
          <w:rFonts w:eastAsia="黑体"/>
          <w:b/>
          <w:color w:val="auto"/>
          <w:kern w:val="0"/>
          <w:sz w:val="32"/>
          <w:szCs w:val="32"/>
          <w:u w:val="none"/>
        </w:rPr>
      </w:pPr>
    </w:p>
    <w:p>
      <w:pPr>
        <w:ind w:firstLine="480"/>
        <w:rPr>
          <w:rFonts w:hint="eastAsia"/>
          <w:color w:val="auto"/>
          <w:kern w:val="0"/>
          <w:u w:val="none"/>
        </w:rPr>
      </w:pPr>
    </w:p>
    <w:p>
      <w:pPr>
        <w:ind w:firstLine="480"/>
        <w:rPr>
          <w:color w:val="auto"/>
          <w:kern w:val="0"/>
          <w:u w:val="none"/>
        </w:rPr>
      </w:pPr>
    </w:p>
    <w:p>
      <w:pPr>
        <w:ind w:firstLine="480"/>
        <w:rPr>
          <w:rFonts w:hint="eastAsia"/>
          <w:color w:val="auto"/>
          <w:kern w:val="0"/>
          <w:u w:val="none"/>
        </w:rPr>
      </w:pPr>
    </w:p>
    <w:p>
      <w:pPr>
        <w:ind w:firstLine="0" w:firstLineChars="0"/>
        <w:jc w:val="center"/>
        <w:rPr>
          <w:rFonts w:hint="eastAsia" w:eastAsia="黑体"/>
          <w:b/>
          <w:color w:val="auto"/>
          <w:kern w:val="0"/>
          <w:sz w:val="72"/>
          <w:szCs w:val="72"/>
          <w:u w:val="none"/>
          <w:lang w:eastAsia="zh-CN"/>
        </w:rPr>
      </w:pPr>
      <w:r>
        <w:rPr>
          <w:rFonts w:hint="eastAsia" w:eastAsia="黑体"/>
          <w:b/>
          <w:color w:val="auto"/>
          <w:w w:val="90"/>
          <w:kern w:val="0"/>
          <w:sz w:val="48"/>
          <w:szCs w:val="48"/>
          <w:u w:val="none"/>
          <w:lang w:eastAsia="zh-CN"/>
        </w:rPr>
        <w:t>湖南永顺经济开发区猛洞河产业园污水处理厂建设项目</w:t>
      </w:r>
    </w:p>
    <w:p>
      <w:pPr>
        <w:ind w:firstLine="0" w:firstLineChars="0"/>
        <w:jc w:val="center"/>
        <w:rPr>
          <w:rFonts w:eastAsia="黑体"/>
          <w:b/>
          <w:color w:val="auto"/>
          <w:kern w:val="0"/>
          <w:sz w:val="72"/>
          <w:szCs w:val="72"/>
          <w:u w:val="none"/>
        </w:rPr>
      </w:pPr>
      <w:r>
        <w:rPr>
          <w:rFonts w:hint="eastAsia" w:eastAsia="黑体"/>
          <w:b/>
          <w:color w:val="auto"/>
          <w:kern w:val="0"/>
          <w:sz w:val="72"/>
          <w:szCs w:val="72"/>
          <w:u w:val="none"/>
        </w:rPr>
        <w:t>环境影响报告书</w:t>
      </w:r>
    </w:p>
    <w:p>
      <w:pPr>
        <w:ind w:firstLine="155" w:firstLineChars="35"/>
        <w:jc w:val="center"/>
        <w:rPr>
          <w:rFonts w:eastAsia="黑体"/>
          <w:b/>
          <w:color w:val="auto"/>
          <w:kern w:val="0"/>
          <w:sz w:val="44"/>
          <w:szCs w:val="44"/>
          <w:u w:val="none"/>
        </w:rPr>
      </w:pPr>
      <w:r>
        <w:rPr>
          <w:rFonts w:hint="eastAsia" w:eastAsia="黑体"/>
          <w:b/>
          <w:color w:val="auto"/>
          <w:kern w:val="0"/>
          <w:sz w:val="44"/>
          <w:szCs w:val="44"/>
          <w:u w:val="none"/>
        </w:rPr>
        <w:t>（</w:t>
      </w:r>
      <w:r>
        <w:rPr>
          <w:rFonts w:hint="eastAsia" w:eastAsia="黑体"/>
          <w:b/>
          <w:color w:val="auto"/>
          <w:kern w:val="0"/>
          <w:sz w:val="44"/>
          <w:szCs w:val="44"/>
          <w:u w:val="none"/>
          <w:lang w:eastAsia="zh-CN"/>
        </w:rPr>
        <w:t>报批</w:t>
      </w:r>
      <w:r>
        <w:rPr>
          <w:rFonts w:hint="eastAsia" w:eastAsia="黑体"/>
          <w:b/>
          <w:color w:val="auto"/>
          <w:kern w:val="0"/>
          <w:sz w:val="44"/>
          <w:szCs w:val="44"/>
          <w:u w:val="none"/>
        </w:rPr>
        <w:t>稿）</w:t>
      </w:r>
    </w:p>
    <w:p>
      <w:pPr>
        <w:ind w:firstLine="1120"/>
        <w:rPr>
          <w:color w:val="auto"/>
          <w:kern w:val="0"/>
          <w:sz w:val="56"/>
          <w:szCs w:val="56"/>
          <w:u w:val="none"/>
        </w:rPr>
      </w:pPr>
    </w:p>
    <w:p>
      <w:pPr>
        <w:ind w:firstLine="1120"/>
        <w:rPr>
          <w:color w:val="auto"/>
          <w:kern w:val="0"/>
          <w:sz w:val="56"/>
          <w:szCs w:val="56"/>
          <w:u w:val="none"/>
        </w:rPr>
      </w:pPr>
    </w:p>
    <w:p>
      <w:pPr>
        <w:tabs>
          <w:tab w:val="left" w:pos="2391"/>
        </w:tabs>
        <w:ind w:firstLine="1120"/>
        <w:rPr>
          <w:rFonts w:hint="eastAsia"/>
          <w:color w:val="auto"/>
          <w:kern w:val="0"/>
          <w:sz w:val="56"/>
          <w:szCs w:val="56"/>
          <w:u w:val="none"/>
        </w:rPr>
      </w:pPr>
    </w:p>
    <w:p>
      <w:pPr>
        <w:tabs>
          <w:tab w:val="left" w:pos="2391"/>
        </w:tabs>
        <w:ind w:firstLine="1120"/>
        <w:rPr>
          <w:rFonts w:hint="eastAsia"/>
          <w:color w:val="auto"/>
          <w:kern w:val="0"/>
          <w:sz w:val="56"/>
          <w:szCs w:val="56"/>
          <w:u w:val="none"/>
        </w:rPr>
      </w:pPr>
    </w:p>
    <w:p>
      <w:pPr>
        <w:tabs>
          <w:tab w:val="left" w:pos="2391"/>
        </w:tabs>
        <w:ind w:firstLine="1120"/>
        <w:rPr>
          <w:rFonts w:hint="eastAsia"/>
          <w:color w:val="auto"/>
          <w:kern w:val="0"/>
          <w:sz w:val="56"/>
          <w:szCs w:val="56"/>
          <w:u w:val="none"/>
        </w:rPr>
      </w:pPr>
    </w:p>
    <w:p>
      <w:pPr>
        <w:tabs>
          <w:tab w:val="left" w:pos="2391"/>
        </w:tabs>
        <w:ind w:firstLine="643"/>
        <w:jc w:val="center"/>
        <w:rPr>
          <w:rFonts w:hint="eastAsia" w:eastAsia="黑体"/>
          <w:b/>
          <w:color w:val="auto"/>
          <w:kern w:val="0"/>
          <w:sz w:val="32"/>
          <w:szCs w:val="32"/>
          <w:u w:val="none"/>
          <w:lang w:eastAsia="zh-CN"/>
        </w:rPr>
      </w:pPr>
      <w:r>
        <w:rPr>
          <w:rFonts w:hint="eastAsia" w:eastAsia="黑体"/>
          <w:b/>
          <w:color w:val="auto"/>
          <w:kern w:val="0"/>
          <w:sz w:val="32"/>
          <w:szCs w:val="32"/>
          <w:u w:val="none"/>
          <w:lang w:eastAsia="zh-CN"/>
        </w:rPr>
        <w:t>长沙博大环保科技有限公司</w:t>
      </w:r>
    </w:p>
    <w:p>
      <w:pPr>
        <w:tabs>
          <w:tab w:val="left" w:pos="3138"/>
        </w:tabs>
        <w:ind w:firstLine="643"/>
        <w:jc w:val="center"/>
        <w:rPr>
          <w:rFonts w:hint="eastAsia" w:eastAsia="黑体"/>
          <w:b/>
          <w:color w:val="auto"/>
          <w:kern w:val="0"/>
          <w:sz w:val="32"/>
          <w:szCs w:val="32"/>
          <w:u w:val="none"/>
        </w:rPr>
      </w:pPr>
      <w:r>
        <w:rPr>
          <w:rFonts w:hint="eastAsia" w:eastAsia="黑体"/>
          <w:b/>
          <w:color w:val="auto"/>
          <w:kern w:val="0"/>
          <w:sz w:val="32"/>
          <w:szCs w:val="32"/>
          <w:u w:val="none"/>
        </w:rPr>
        <w:t>二〇二</w:t>
      </w:r>
      <w:r>
        <w:rPr>
          <w:rFonts w:hint="eastAsia" w:eastAsia="黑体"/>
          <w:b/>
          <w:color w:val="auto"/>
          <w:kern w:val="0"/>
          <w:sz w:val="32"/>
          <w:szCs w:val="32"/>
          <w:u w:val="none"/>
          <w:lang w:val="en-US" w:eastAsia="zh-CN"/>
        </w:rPr>
        <w:t>三</w:t>
      </w:r>
      <w:r>
        <w:rPr>
          <w:rFonts w:hint="eastAsia" w:eastAsia="黑体"/>
          <w:b/>
          <w:color w:val="auto"/>
          <w:kern w:val="0"/>
          <w:sz w:val="32"/>
          <w:szCs w:val="32"/>
          <w:u w:val="none"/>
        </w:rPr>
        <w:t>年</w:t>
      </w:r>
      <w:r>
        <w:rPr>
          <w:rFonts w:hint="eastAsia" w:eastAsia="黑体"/>
          <w:b/>
          <w:color w:val="auto"/>
          <w:kern w:val="0"/>
          <w:sz w:val="32"/>
          <w:szCs w:val="32"/>
          <w:u w:val="none"/>
          <w:lang w:eastAsia="zh-CN"/>
        </w:rPr>
        <w:t>二</w:t>
      </w:r>
      <w:r>
        <w:rPr>
          <w:rFonts w:hint="eastAsia" w:eastAsia="黑体"/>
          <w:b/>
          <w:color w:val="auto"/>
          <w:kern w:val="0"/>
          <w:sz w:val="32"/>
          <w:szCs w:val="32"/>
          <w:u w:val="none"/>
        </w:rPr>
        <w:t>月</w:t>
      </w:r>
    </w:p>
    <w:p>
      <w:pPr>
        <w:tabs>
          <w:tab w:val="left" w:pos="3138"/>
        </w:tabs>
        <w:ind w:firstLine="643"/>
        <w:jc w:val="center"/>
        <w:rPr>
          <w:rFonts w:hint="eastAsia" w:eastAsia="黑体"/>
          <w:b/>
          <w:color w:val="auto"/>
          <w:kern w:val="0"/>
          <w:sz w:val="32"/>
          <w:szCs w:val="32"/>
          <w:u w:val="none"/>
        </w:rPr>
      </w:pPr>
    </w:p>
    <w:p>
      <w:pPr>
        <w:tabs>
          <w:tab w:val="left" w:pos="3138"/>
        </w:tabs>
        <w:ind w:firstLine="643"/>
        <w:jc w:val="center"/>
        <w:rPr>
          <w:rFonts w:hint="eastAsia" w:eastAsia="黑体"/>
          <w:b/>
          <w:color w:val="auto"/>
          <w:kern w:val="0"/>
          <w:sz w:val="32"/>
          <w:szCs w:val="32"/>
          <w:u w:val="none"/>
        </w:rPr>
      </w:pPr>
    </w:p>
    <w:p>
      <w:pPr>
        <w:tabs>
          <w:tab w:val="left" w:pos="3138"/>
        </w:tabs>
        <w:ind w:firstLine="643"/>
        <w:jc w:val="center"/>
        <w:rPr>
          <w:rFonts w:hint="eastAsia" w:eastAsia="黑体"/>
          <w:b/>
          <w:color w:val="auto"/>
          <w:kern w:val="0"/>
          <w:sz w:val="32"/>
          <w:szCs w:val="32"/>
          <w:u w:val="none"/>
        </w:rPr>
      </w:pPr>
    </w:p>
    <w:p>
      <w:pPr>
        <w:tabs>
          <w:tab w:val="left" w:pos="3138"/>
        </w:tabs>
        <w:ind w:firstLine="643"/>
        <w:jc w:val="center"/>
        <w:rPr>
          <w:rFonts w:hint="eastAsia" w:eastAsia="黑体"/>
          <w:b/>
          <w:color w:val="auto"/>
          <w:kern w:val="0"/>
          <w:sz w:val="32"/>
          <w:szCs w:val="32"/>
          <w:u w:val="none"/>
        </w:rPr>
      </w:pPr>
    </w:p>
    <w:p>
      <w:pPr>
        <w:tabs>
          <w:tab w:val="left" w:pos="3138"/>
        </w:tabs>
        <w:ind w:firstLine="643"/>
        <w:jc w:val="center"/>
        <w:rPr>
          <w:rFonts w:eastAsia="黑体"/>
          <w:b/>
          <w:color w:val="auto"/>
          <w:kern w:val="0"/>
          <w:sz w:val="32"/>
          <w:szCs w:val="32"/>
          <w:u w:val="none"/>
        </w:rPr>
        <w:sectPr>
          <w:headerReference r:id="rId7" w:type="first"/>
          <w:footerReference r:id="rId10" w:type="first"/>
          <w:headerReference r:id="rId5" w:type="default"/>
          <w:footerReference r:id="rId8" w:type="default"/>
          <w:headerReference r:id="rId6" w:type="even"/>
          <w:footerReference r:id="rId9" w:type="even"/>
          <w:pgSz w:w="11850" w:h="16790"/>
          <w:pgMar w:top="1440" w:right="1800" w:bottom="1440" w:left="1800" w:header="720" w:footer="720" w:gutter="0"/>
          <w:pgBorders w:offsetFrom="page">
            <w:top w:val="none" w:sz="0" w:space="0"/>
            <w:left w:val="none" w:sz="0" w:space="0"/>
            <w:bottom w:val="none" w:sz="0" w:space="0"/>
            <w:right w:val="none" w:sz="0" w:space="0"/>
          </w:pgBorders>
          <w:pgNumType w:fmt="upperRoman"/>
          <w:cols w:space="720" w:num="1"/>
          <w:docGrid w:linePitch="326" w:charSpace="0"/>
        </w:sectPr>
      </w:pPr>
    </w:p>
    <w:p>
      <w:pPr>
        <w:ind w:left="0" w:leftChars="0" w:firstLine="0" w:firstLineChars="0"/>
        <w:jc w:val="center"/>
        <w:rPr>
          <w:rFonts w:hint="eastAsia"/>
          <w:lang w:eastAsia="zh-CN"/>
        </w:rPr>
        <w:sectPr>
          <w:headerReference r:id="rId11" w:type="default"/>
          <w:footerReference r:id="rId12" w:type="default"/>
          <w:pgSz w:w="16790" w:h="11850" w:orient="landscape"/>
          <w:pgMar w:top="0" w:right="0" w:bottom="0" w:left="0" w:header="0" w:footer="0" w:gutter="0"/>
          <w:pgBorders w:offsetFrom="page">
            <w:top w:val="none" w:sz="0" w:space="0"/>
            <w:left w:val="none" w:sz="0" w:space="0"/>
            <w:bottom w:val="none" w:sz="0" w:space="0"/>
            <w:right w:val="none" w:sz="0" w:space="0"/>
          </w:pgBorders>
          <w:pgNumType w:fmt="upperRoman" w:start="1"/>
          <w:cols w:space="720" w:num="1"/>
          <w:docGrid w:linePitch="326" w:charSpace="0"/>
        </w:sectPr>
      </w:pPr>
      <w:r>
        <w:rPr>
          <w:rFonts w:hint="eastAsia"/>
          <w:b/>
          <w:bCs/>
          <w:sz w:val="28"/>
          <w:szCs w:val="28"/>
          <w:lang w:eastAsia="zh-CN"/>
        </w:rPr>
        <w:drawing>
          <wp:inline distT="0" distB="0" distL="114300" distR="114300">
            <wp:extent cx="7386955" cy="9915525"/>
            <wp:effectExtent l="0" t="0" r="5715" b="4445"/>
            <wp:docPr id="16" name="图片 16" descr="复核签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复核签字_00"/>
                    <pic:cNvPicPr>
                      <a:picLocks noChangeAspect="1"/>
                    </pic:cNvPicPr>
                  </pic:nvPicPr>
                  <pic:blipFill>
                    <a:blip r:embed="rId25"/>
                    <a:srcRect b="4826"/>
                    <a:stretch>
                      <a:fillRect/>
                    </a:stretch>
                  </pic:blipFill>
                  <pic:spPr>
                    <a:xfrm rot="16200000">
                      <a:off x="0" y="0"/>
                      <a:ext cx="7386955" cy="9915525"/>
                    </a:xfrm>
                    <a:prstGeom prst="rect">
                      <a:avLst/>
                    </a:prstGeom>
                  </pic:spPr>
                </pic:pic>
              </a:graphicData>
            </a:graphic>
          </wp:inline>
        </w:drawing>
      </w:r>
      <w:r>
        <w:rPr>
          <w:rFonts w:hint="eastAsia"/>
          <w:lang w:eastAsia="zh-CN"/>
        </w:rPr>
        <w:drawing>
          <wp:inline distT="0" distB="0" distL="114300" distR="114300">
            <wp:extent cx="10658475" cy="6911340"/>
            <wp:effectExtent l="0" t="0" r="9525" b="7620"/>
            <wp:docPr id="17" name="图片 17" descr="复核签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复核签字_01"/>
                    <pic:cNvPicPr>
                      <a:picLocks noChangeAspect="1"/>
                    </pic:cNvPicPr>
                  </pic:nvPicPr>
                  <pic:blipFill>
                    <a:blip r:embed="rId26"/>
                    <a:srcRect b="8231"/>
                    <a:stretch>
                      <a:fillRect/>
                    </a:stretch>
                  </pic:blipFill>
                  <pic:spPr>
                    <a:xfrm>
                      <a:off x="0" y="0"/>
                      <a:ext cx="10658475" cy="6911340"/>
                    </a:xfrm>
                    <a:prstGeom prst="rect">
                      <a:avLst/>
                    </a:prstGeom>
                  </pic:spPr>
                </pic:pic>
              </a:graphicData>
            </a:graphic>
          </wp:inline>
        </w:drawing>
      </w:r>
    </w:p>
    <w:p>
      <w:pPr>
        <w:ind w:firstLine="0" w:firstLineChars="0"/>
        <w:jc w:val="center"/>
        <w:rPr>
          <w:rFonts w:hint="eastAsia"/>
          <w:b/>
          <w:color w:val="auto"/>
          <w:kern w:val="0"/>
          <w:sz w:val="28"/>
          <w:szCs w:val="28"/>
          <w:u w:val="none"/>
        </w:rPr>
      </w:pPr>
      <w:r>
        <w:rPr>
          <w:rFonts w:hint="eastAsia"/>
          <w:b/>
          <w:color w:val="auto"/>
          <w:kern w:val="0"/>
          <w:sz w:val="28"/>
          <w:szCs w:val="28"/>
          <w:u w:val="none"/>
        </w:rPr>
        <w:t>目 录</w:t>
      </w:r>
    </w:p>
    <w:p>
      <w:pPr>
        <w:pStyle w:val="25"/>
        <w:tabs>
          <w:tab w:val="right" w:leader="dot" w:pos="8250"/>
          <w:tab w:val="clear" w:pos="8240"/>
        </w:tabs>
      </w:pPr>
      <w:r>
        <w:rPr>
          <w:b w:val="0"/>
          <w:color w:val="auto"/>
          <w:kern w:val="0"/>
          <w:u w:val="none"/>
        </w:rPr>
        <w:fldChar w:fldCharType="begin"/>
      </w:r>
      <w:r>
        <w:rPr>
          <w:b w:val="0"/>
          <w:color w:val="auto"/>
          <w:kern w:val="0"/>
          <w:u w:val="none"/>
        </w:rPr>
        <w:instrText xml:space="preserve"> TOC \o "1-1" \h \z \u \t "2,2" </w:instrText>
      </w:r>
      <w:r>
        <w:rPr>
          <w:b w:val="0"/>
          <w:color w:val="auto"/>
          <w:kern w:val="0"/>
          <w:u w:val="none"/>
        </w:rPr>
        <w:fldChar w:fldCharType="separate"/>
      </w:r>
      <w:r>
        <w:rPr>
          <w:color w:val="auto"/>
          <w:kern w:val="0"/>
          <w:u w:val="none"/>
        </w:rPr>
        <w:fldChar w:fldCharType="begin"/>
      </w:r>
      <w:r>
        <w:rPr>
          <w:kern w:val="0"/>
        </w:rPr>
        <w:instrText xml:space="preserve"> HYPERLINK \l _Toc2843 </w:instrText>
      </w:r>
      <w:r>
        <w:rPr>
          <w:kern w:val="0"/>
        </w:rPr>
        <w:fldChar w:fldCharType="separate"/>
      </w:r>
      <w:r>
        <w:rPr>
          <w:rFonts w:hint="eastAsia"/>
          <w:kern w:val="0"/>
        </w:rPr>
        <w:t>概述</w:t>
      </w:r>
      <w:r>
        <w:tab/>
      </w:r>
      <w:r>
        <w:fldChar w:fldCharType="begin"/>
      </w:r>
      <w:r>
        <w:instrText xml:space="preserve"> PAGEREF _Toc2843 \h </w:instrText>
      </w:r>
      <w:r>
        <w:fldChar w:fldCharType="separate"/>
      </w:r>
      <w:r>
        <w:t>1</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_Toc3919 </w:instrText>
      </w:r>
      <w:r>
        <w:rPr>
          <w:kern w:val="0"/>
        </w:rPr>
        <w:fldChar w:fldCharType="separate"/>
      </w:r>
      <w:r>
        <w:rPr>
          <w:rFonts w:hint="eastAsia"/>
          <w:kern w:val="0"/>
        </w:rPr>
        <w:t>1、建设项目特点</w:t>
      </w:r>
      <w:r>
        <w:tab/>
      </w:r>
      <w:r>
        <w:fldChar w:fldCharType="begin"/>
      </w:r>
      <w:r>
        <w:instrText xml:space="preserve"> PAGEREF _Toc3919 \h </w:instrText>
      </w:r>
      <w:r>
        <w:fldChar w:fldCharType="separate"/>
      </w:r>
      <w:r>
        <w:t>1</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_Toc18952 </w:instrText>
      </w:r>
      <w:r>
        <w:rPr>
          <w:kern w:val="0"/>
        </w:rPr>
        <w:fldChar w:fldCharType="separate"/>
      </w:r>
      <w:r>
        <w:rPr>
          <w:rFonts w:hint="eastAsia"/>
          <w:kern w:val="0"/>
        </w:rPr>
        <w:t>2、环境影响评价的工作过程</w:t>
      </w:r>
      <w:r>
        <w:tab/>
      </w:r>
      <w:r>
        <w:fldChar w:fldCharType="begin"/>
      </w:r>
      <w:r>
        <w:instrText xml:space="preserve"> PAGEREF _Toc18952 \h </w:instrText>
      </w:r>
      <w:r>
        <w:fldChar w:fldCharType="separate"/>
      </w:r>
      <w:r>
        <w:t>2</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_Toc17108 </w:instrText>
      </w:r>
      <w:r>
        <w:rPr>
          <w:kern w:val="0"/>
        </w:rPr>
        <w:fldChar w:fldCharType="separate"/>
      </w:r>
      <w:r>
        <w:rPr>
          <w:rFonts w:hint="eastAsia"/>
          <w:kern w:val="0"/>
        </w:rPr>
        <w:t>3、分析判定相关情况</w:t>
      </w:r>
      <w:r>
        <w:tab/>
      </w:r>
      <w:r>
        <w:fldChar w:fldCharType="begin"/>
      </w:r>
      <w:r>
        <w:instrText xml:space="preserve"> PAGEREF _Toc17108 \h </w:instrText>
      </w:r>
      <w:r>
        <w:fldChar w:fldCharType="separate"/>
      </w:r>
      <w:r>
        <w:t>4</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_Toc8378 </w:instrText>
      </w:r>
      <w:r>
        <w:rPr>
          <w:kern w:val="0"/>
        </w:rPr>
        <w:fldChar w:fldCharType="separate"/>
      </w:r>
      <w:r>
        <w:rPr>
          <w:rFonts w:hint="eastAsia"/>
          <w:kern w:val="0"/>
        </w:rPr>
        <w:t>4、关注的主要环境问题及环境影响</w:t>
      </w:r>
      <w:r>
        <w:tab/>
      </w:r>
      <w:r>
        <w:fldChar w:fldCharType="begin"/>
      </w:r>
      <w:r>
        <w:instrText xml:space="preserve"> PAGEREF _Toc8378 \h </w:instrText>
      </w:r>
      <w:r>
        <w:fldChar w:fldCharType="separate"/>
      </w:r>
      <w:r>
        <w:t>39</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_Toc9369 </w:instrText>
      </w:r>
      <w:r>
        <w:rPr>
          <w:kern w:val="0"/>
        </w:rPr>
        <w:fldChar w:fldCharType="separate"/>
      </w:r>
      <w:r>
        <w:rPr>
          <w:rFonts w:hint="eastAsia"/>
          <w:kern w:val="0"/>
        </w:rPr>
        <w:t>5、环境影响评价的主要结论</w:t>
      </w:r>
      <w:r>
        <w:tab/>
      </w:r>
      <w:r>
        <w:fldChar w:fldCharType="begin"/>
      </w:r>
      <w:r>
        <w:instrText xml:space="preserve"> PAGEREF _Toc9369 \h </w:instrText>
      </w:r>
      <w:r>
        <w:fldChar w:fldCharType="separate"/>
      </w:r>
      <w:r>
        <w:t>40</w:t>
      </w:r>
      <w:r>
        <w:fldChar w:fldCharType="end"/>
      </w:r>
      <w:r>
        <w:rPr>
          <w:color w:val="auto"/>
          <w:kern w:val="0"/>
          <w:u w:val="none"/>
        </w:rPr>
        <w:fldChar w:fldCharType="end"/>
      </w:r>
    </w:p>
    <w:p>
      <w:pPr>
        <w:pStyle w:val="25"/>
        <w:tabs>
          <w:tab w:val="right" w:leader="dot" w:pos="8250"/>
          <w:tab w:val="clear" w:pos="8240"/>
        </w:tabs>
      </w:pPr>
      <w:r>
        <w:rPr>
          <w:color w:val="auto"/>
          <w:kern w:val="0"/>
          <w:u w:val="none"/>
        </w:rPr>
        <w:fldChar w:fldCharType="begin"/>
      </w:r>
      <w:r>
        <w:rPr>
          <w:kern w:val="0"/>
        </w:rPr>
        <w:instrText xml:space="preserve"> HYPERLINK \l _Toc7421 </w:instrText>
      </w:r>
      <w:r>
        <w:rPr>
          <w:kern w:val="0"/>
        </w:rPr>
        <w:fldChar w:fldCharType="separate"/>
      </w:r>
      <w:r>
        <w:rPr>
          <w:rFonts w:hint="eastAsia"/>
          <w:kern w:val="0"/>
          <w:szCs w:val="32"/>
        </w:rPr>
        <w:t>第1章  总则</w:t>
      </w:r>
      <w:r>
        <w:tab/>
      </w:r>
      <w:r>
        <w:fldChar w:fldCharType="begin"/>
      </w:r>
      <w:r>
        <w:instrText xml:space="preserve"> PAGEREF _Toc7421 \h </w:instrText>
      </w:r>
      <w:r>
        <w:fldChar w:fldCharType="separate"/>
      </w:r>
      <w:r>
        <w:t>41</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_Toc20924 </w:instrText>
      </w:r>
      <w:r>
        <w:rPr>
          <w:kern w:val="0"/>
        </w:rPr>
        <w:fldChar w:fldCharType="separate"/>
      </w:r>
      <w:r>
        <w:rPr>
          <w:rFonts w:hint="eastAsia"/>
          <w:kern w:val="0"/>
        </w:rPr>
        <w:t>1.1编制依据</w:t>
      </w:r>
      <w:r>
        <w:tab/>
      </w:r>
      <w:r>
        <w:fldChar w:fldCharType="begin"/>
      </w:r>
      <w:r>
        <w:instrText xml:space="preserve"> PAGEREF _Toc20924 \h </w:instrText>
      </w:r>
      <w:r>
        <w:fldChar w:fldCharType="separate"/>
      </w:r>
      <w:r>
        <w:t>41</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_Toc7151 </w:instrText>
      </w:r>
      <w:r>
        <w:rPr>
          <w:kern w:val="0"/>
        </w:rPr>
        <w:fldChar w:fldCharType="separate"/>
      </w:r>
      <w:r>
        <w:rPr>
          <w:kern w:val="0"/>
        </w:rPr>
        <w:t>1.2评价目的及评价原则</w:t>
      </w:r>
      <w:r>
        <w:tab/>
      </w:r>
      <w:r>
        <w:fldChar w:fldCharType="begin"/>
      </w:r>
      <w:r>
        <w:instrText xml:space="preserve"> PAGEREF _Toc7151 \h </w:instrText>
      </w:r>
      <w:r>
        <w:fldChar w:fldCharType="separate"/>
      </w:r>
      <w:r>
        <w:t>44</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_Toc32118 </w:instrText>
      </w:r>
      <w:r>
        <w:rPr>
          <w:kern w:val="0"/>
        </w:rPr>
        <w:fldChar w:fldCharType="separate"/>
      </w:r>
      <w:r>
        <w:rPr>
          <w:rFonts w:hint="eastAsia"/>
        </w:rPr>
        <w:t>1.3总体构思</w:t>
      </w:r>
      <w:r>
        <w:tab/>
      </w:r>
      <w:r>
        <w:fldChar w:fldCharType="begin"/>
      </w:r>
      <w:r>
        <w:instrText xml:space="preserve"> PAGEREF _Toc32118 \h </w:instrText>
      </w:r>
      <w:r>
        <w:fldChar w:fldCharType="separate"/>
      </w:r>
      <w:r>
        <w:t>45</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_Toc27693 </w:instrText>
      </w:r>
      <w:r>
        <w:rPr>
          <w:kern w:val="0"/>
        </w:rPr>
        <w:fldChar w:fldCharType="separate"/>
      </w:r>
      <w:r>
        <w:rPr>
          <w:rFonts w:hint="eastAsia"/>
          <w:kern w:val="0"/>
        </w:rPr>
        <w:t>1.4 环境影响识别</w:t>
      </w:r>
      <w:r>
        <w:tab/>
      </w:r>
      <w:r>
        <w:fldChar w:fldCharType="begin"/>
      </w:r>
      <w:r>
        <w:instrText xml:space="preserve"> PAGEREF _Toc27693 \h </w:instrText>
      </w:r>
      <w:r>
        <w:fldChar w:fldCharType="separate"/>
      </w:r>
      <w:r>
        <w:t>46</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_Toc11026 </w:instrText>
      </w:r>
      <w:r>
        <w:rPr>
          <w:kern w:val="0"/>
        </w:rPr>
        <w:fldChar w:fldCharType="separate"/>
      </w:r>
      <w:r>
        <w:rPr>
          <w:kern w:val="0"/>
        </w:rPr>
        <w:t>1.</w:t>
      </w:r>
      <w:r>
        <w:rPr>
          <w:rFonts w:hint="eastAsia"/>
          <w:kern w:val="0"/>
        </w:rPr>
        <w:t>5 评价因子</w:t>
      </w:r>
      <w:r>
        <w:tab/>
      </w:r>
      <w:r>
        <w:fldChar w:fldCharType="begin"/>
      </w:r>
      <w:r>
        <w:instrText xml:space="preserve"> PAGEREF _Toc11026 \h </w:instrText>
      </w:r>
      <w:r>
        <w:fldChar w:fldCharType="separate"/>
      </w:r>
      <w:r>
        <w:t>46</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_Toc15988 </w:instrText>
      </w:r>
      <w:r>
        <w:rPr>
          <w:kern w:val="0"/>
        </w:rPr>
        <w:fldChar w:fldCharType="separate"/>
      </w:r>
      <w:r>
        <w:rPr>
          <w:rFonts w:hint="eastAsia"/>
          <w:kern w:val="0"/>
        </w:rPr>
        <w:t>1.6 评价标准</w:t>
      </w:r>
      <w:r>
        <w:tab/>
      </w:r>
      <w:r>
        <w:fldChar w:fldCharType="begin"/>
      </w:r>
      <w:r>
        <w:instrText xml:space="preserve"> PAGEREF _Toc15988 \h </w:instrText>
      </w:r>
      <w:r>
        <w:fldChar w:fldCharType="separate"/>
      </w:r>
      <w:r>
        <w:t>47</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_Toc140 </w:instrText>
      </w:r>
      <w:r>
        <w:rPr>
          <w:kern w:val="0"/>
        </w:rPr>
        <w:fldChar w:fldCharType="separate"/>
      </w:r>
      <w:r>
        <w:rPr>
          <w:rFonts w:hint="eastAsia"/>
          <w:kern w:val="0"/>
        </w:rPr>
        <w:t>1.7 评价等级及评价范围</w:t>
      </w:r>
      <w:r>
        <w:tab/>
      </w:r>
      <w:r>
        <w:fldChar w:fldCharType="begin"/>
      </w:r>
      <w:r>
        <w:instrText xml:space="preserve"> PAGEREF _Toc140 \h </w:instrText>
      </w:r>
      <w:r>
        <w:fldChar w:fldCharType="separate"/>
      </w:r>
      <w:r>
        <w:t>52</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_Toc16439 </w:instrText>
      </w:r>
      <w:r>
        <w:rPr>
          <w:kern w:val="0"/>
        </w:rPr>
        <w:fldChar w:fldCharType="separate"/>
      </w:r>
      <w:r>
        <w:rPr>
          <w:rFonts w:hint="eastAsia"/>
        </w:rPr>
        <w:t>1.8 评价内容、重点及时段</w:t>
      </w:r>
      <w:r>
        <w:tab/>
      </w:r>
      <w:r>
        <w:fldChar w:fldCharType="begin"/>
      </w:r>
      <w:r>
        <w:instrText xml:space="preserve"> PAGEREF _Toc16439 \h </w:instrText>
      </w:r>
      <w:r>
        <w:fldChar w:fldCharType="separate"/>
      </w:r>
      <w:r>
        <w:t>60</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_Toc16204 </w:instrText>
      </w:r>
      <w:r>
        <w:rPr>
          <w:kern w:val="0"/>
        </w:rPr>
        <w:fldChar w:fldCharType="separate"/>
      </w:r>
      <w:r>
        <w:rPr>
          <w:rFonts w:hint="eastAsia"/>
        </w:rPr>
        <w:t>1.9 环境功能区划分</w:t>
      </w:r>
      <w:r>
        <w:tab/>
      </w:r>
      <w:r>
        <w:fldChar w:fldCharType="begin"/>
      </w:r>
      <w:r>
        <w:instrText xml:space="preserve"> PAGEREF _Toc16204 \h </w:instrText>
      </w:r>
      <w:r>
        <w:fldChar w:fldCharType="separate"/>
      </w:r>
      <w:r>
        <w:t>61</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_Toc22522 </w:instrText>
      </w:r>
      <w:r>
        <w:rPr>
          <w:kern w:val="0"/>
        </w:rPr>
        <w:fldChar w:fldCharType="separate"/>
      </w:r>
      <w:r>
        <w:rPr>
          <w:rFonts w:hint="eastAsia"/>
        </w:rPr>
        <w:t>1.10 污染控制及环境保护目标</w:t>
      </w:r>
      <w:r>
        <w:tab/>
      </w:r>
      <w:r>
        <w:fldChar w:fldCharType="begin"/>
      </w:r>
      <w:r>
        <w:instrText xml:space="preserve"> PAGEREF _Toc22522 \h </w:instrText>
      </w:r>
      <w:r>
        <w:fldChar w:fldCharType="separate"/>
      </w:r>
      <w:r>
        <w:t>62</w:t>
      </w:r>
      <w:r>
        <w:fldChar w:fldCharType="end"/>
      </w:r>
      <w:r>
        <w:rPr>
          <w:color w:val="auto"/>
          <w:kern w:val="0"/>
          <w:u w:val="none"/>
        </w:rPr>
        <w:fldChar w:fldCharType="end"/>
      </w:r>
    </w:p>
    <w:p>
      <w:pPr>
        <w:pStyle w:val="25"/>
        <w:tabs>
          <w:tab w:val="right" w:leader="dot" w:pos="8250"/>
          <w:tab w:val="clear" w:pos="8240"/>
        </w:tabs>
      </w:pPr>
      <w:r>
        <w:rPr>
          <w:color w:val="auto"/>
          <w:kern w:val="0"/>
          <w:u w:val="none"/>
        </w:rPr>
        <w:fldChar w:fldCharType="begin"/>
      </w:r>
      <w:r>
        <w:rPr>
          <w:kern w:val="0"/>
        </w:rPr>
        <w:instrText xml:space="preserve"> HYPERLINK \l _Toc7065 </w:instrText>
      </w:r>
      <w:r>
        <w:rPr>
          <w:kern w:val="0"/>
        </w:rPr>
        <w:fldChar w:fldCharType="separate"/>
      </w:r>
      <w:r>
        <w:rPr>
          <w:rFonts w:hint="eastAsia"/>
          <w:kern w:val="0"/>
        </w:rPr>
        <w:t>第2章  建设项目工程分析</w:t>
      </w:r>
      <w:r>
        <w:tab/>
      </w:r>
      <w:r>
        <w:fldChar w:fldCharType="begin"/>
      </w:r>
      <w:r>
        <w:instrText xml:space="preserve"> PAGEREF _Toc7065 \h </w:instrText>
      </w:r>
      <w:r>
        <w:fldChar w:fldCharType="separate"/>
      </w:r>
      <w:r>
        <w:t>66</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_Toc31092 </w:instrText>
      </w:r>
      <w:r>
        <w:rPr>
          <w:kern w:val="0"/>
        </w:rPr>
        <w:fldChar w:fldCharType="separate"/>
      </w:r>
      <w:r>
        <w:rPr>
          <w:rFonts w:hint="eastAsia"/>
          <w:kern w:val="0"/>
        </w:rPr>
        <w:t>2.</w:t>
      </w:r>
      <w:r>
        <w:rPr>
          <w:kern w:val="0"/>
        </w:rPr>
        <w:t>1</w:t>
      </w:r>
      <w:r>
        <w:rPr>
          <w:rFonts w:hint="eastAsia"/>
          <w:kern w:val="0"/>
        </w:rPr>
        <w:t xml:space="preserve"> 建设项目概况</w:t>
      </w:r>
      <w:r>
        <w:tab/>
      </w:r>
      <w:r>
        <w:fldChar w:fldCharType="begin"/>
      </w:r>
      <w:r>
        <w:instrText xml:space="preserve"> PAGEREF _Toc31092 \h </w:instrText>
      </w:r>
      <w:r>
        <w:fldChar w:fldCharType="separate"/>
      </w:r>
      <w:r>
        <w:t>66</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_Toc12465 </w:instrText>
      </w:r>
      <w:r>
        <w:rPr>
          <w:kern w:val="0"/>
        </w:rPr>
        <w:fldChar w:fldCharType="separate"/>
      </w:r>
      <w:r>
        <w:rPr>
          <w:rFonts w:hint="eastAsia"/>
          <w:kern w:val="0"/>
        </w:rPr>
        <w:t>2.</w:t>
      </w:r>
      <w:r>
        <w:rPr>
          <w:kern w:val="0"/>
        </w:rPr>
        <w:t>2</w:t>
      </w:r>
      <w:r>
        <w:rPr>
          <w:rFonts w:hint="eastAsia"/>
          <w:kern w:val="0"/>
        </w:rPr>
        <w:t>公用及辅助工程</w:t>
      </w:r>
      <w:r>
        <w:tab/>
      </w:r>
      <w:r>
        <w:fldChar w:fldCharType="begin"/>
      </w:r>
      <w:r>
        <w:instrText xml:space="preserve"> PAGEREF _Toc12465 \h </w:instrText>
      </w:r>
      <w:r>
        <w:fldChar w:fldCharType="separate"/>
      </w:r>
      <w:r>
        <w:t>80</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_Toc30655 </w:instrText>
      </w:r>
      <w:r>
        <w:rPr>
          <w:kern w:val="0"/>
        </w:rPr>
        <w:fldChar w:fldCharType="separate"/>
      </w:r>
      <w:r>
        <w:rPr>
          <w:rFonts w:hint="eastAsia"/>
          <w:kern w:val="0"/>
        </w:rPr>
        <w:t>2</w:t>
      </w:r>
      <w:r>
        <w:rPr>
          <w:kern w:val="0"/>
        </w:rPr>
        <w:t>.3</w:t>
      </w:r>
      <w:r>
        <w:rPr>
          <w:rFonts w:hint="eastAsia"/>
          <w:kern w:val="0"/>
        </w:rPr>
        <w:t>工程分析</w:t>
      </w:r>
      <w:r>
        <w:tab/>
      </w:r>
      <w:r>
        <w:fldChar w:fldCharType="begin"/>
      </w:r>
      <w:r>
        <w:instrText xml:space="preserve"> PAGEREF _Toc30655 \h </w:instrText>
      </w:r>
      <w:r>
        <w:fldChar w:fldCharType="separate"/>
      </w:r>
      <w:r>
        <w:t>87</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_Toc32436 </w:instrText>
      </w:r>
      <w:r>
        <w:rPr>
          <w:kern w:val="0"/>
        </w:rPr>
        <w:fldChar w:fldCharType="separate"/>
      </w:r>
      <w:r>
        <w:rPr>
          <w:rFonts w:hint="eastAsia"/>
          <w:kern w:val="0"/>
        </w:rPr>
        <w:t>2.</w:t>
      </w:r>
      <w:r>
        <w:rPr>
          <w:kern w:val="0"/>
        </w:rPr>
        <w:t>4</w:t>
      </w:r>
      <w:r>
        <w:rPr>
          <w:rFonts w:hint="eastAsia"/>
          <w:kern w:val="0"/>
        </w:rPr>
        <w:t>工程污染源分析</w:t>
      </w:r>
      <w:r>
        <w:tab/>
      </w:r>
      <w:r>
        <w:fldChar w:fldCharType="begin"/>
      </w:r>
      <w:r>
        <w:instrText xml:space="preserve"> PAGEREF _Toc32436 \h </w:instrText>
      </w:r>
      <w:r>
        <w:fldChar w:fldCharType="separate"/>
      </w:r>
      <w:r>
        <w:t>90</w:t>
      </w:r>
      <w:r>
        <w:fldChar w:fldCharType="end"/>
      </w:r>
      <w:r>
        <w:rPr>
          <w:color w:val="auto"/>
          <w:kern w:val="0"/>
          <w:u w:val="none"/>
        </w:rPr>
        <w:fldChar w:fldCharType="end"/>
      </w:r>
    </w:p>
    <w:p>
      <w:pPr>
        <w:pStyle w:val="25"/>
        <w:tabs>
          <w:tab w:val="right" w:leader="dot" w:pos="8250"/>
          <w:tab w:val="clear" w:pos="8240"/>
        </w:tabs>
      </w:pPr>
      <w:r>
        <w:rPr>
          <w:color w:val="auto"/>
          <w:kern w:val="0"/>
          <w:u w:val="none"/>
        </w:rPr>
        <w:fldChar w:fldCharType="begin"/>
      </w:r>
      <w:r>
        <w:rPr>
          <w:kern w:val="0"/>
        </w:rPr>
        <w:instrText xml:space="preserve"> HYPERLINK \l _Toc11817 </w:instrText>
      </w:r>
      <w:r>
        <w:rPr>
          <w:kern w:val="0"/>
        </w:rPr>
        <w:fldChar w:fldCharType="separate"/>
      </w:r>
      <w:r>
        <w:rPr>
          <w:rFonts w:hint="eastAsia"/>
          <w:kern w:val="0"/>
        </w:rPr>
        <w:t>第3章 环境现状调查与评价</w:t>
      </w:r>
      <w:r>
        <w:tab/>
      </w:r>
      <w:r>
        <w:fldChar w:fldCharType="begin"/>
      </w:r>
      <w:r>
        <w:instrText xml:space="preserve"> PAGEREF _Toc11817 \h </w:instrText>
      </w:r>
      <w:r>
        <w:fldChar w:fldCharType="separate"/>
      </w:r>
      <w:r>
        <w:t>115</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_Toc2236 </w:instrText>
      </w:r>
      <w:r>
        <w:rPr>
          <w:kern w:val="0"/>
        </w:rPr>
        <w:fldChar w:fldCharType="separate"/>
      </w:r>
      <w:r>
        <w:rPr>
          <w:rFonts w:hint="eastAsia"/>
          <w:kern w:val="0"/>
        </w:rPr>
        <w:t>3.1</w:t>
      </w:r>
      <w:r>
        <w:t>自然环境</w:t>
      </w:r>
      <w:r>
        <w:rPr>
          <w:rFonts w:hint="eastAsia"/>
        </w:rPr>
        <w:t>现状调查与评价</w:t>
      </w:r>
      <w:r>
        <w:tab/>
      </w:r>
      <w:r>
        <w:fldChar w:fldCharType="begin"/>
      </w:r>
      <w:r>
        <w:instrText xml:space="preserve"> PAGEREF _Toc2236 \h </w:instrText>
      </w:r>
      <w:r>
        <w:fldChar w:fldCharType="separate"/>
      </w:r>
      <w:r>
        <w:t>115</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_Toc23647 </w:instrText>
      </w:r>
      <w:r>
        <w:rPr>
          <w:kern w:val="0"/>
        </w:rPr>
        <w:fldChar w:fldCharType="separate"/>
      </w:r>
      <w:r>
        <w:rPr>
          <w:rFonts w:hint="eastAsia"/>
          <w:kern w:val="0"/>
        </w:rPr>
        <w:t>3.2区域相关规划</w:t>
      </w:r>
      <w:r>
        <w:tab/>
      </w:r>
      <w:r>
        <w:fldChar w:fldCharType="begin"/>
      </w:r>
      <w:r>
        <w:instrText xml:space="preserve"> PAGEREF _Toc23647 \h </w:instrText>
      </w:r>
      <w:r>
        <w:fldChar w:fldCharType="separate"/>
      </w:r>
      <w:r>
        <w:t>117</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_Toc7382 </w:instrText>
      </w:r>
      <w:r>
        <w:rPr>
          <w:kern w:val="0"/>
        </w:rPr>
        <w:fldChar w:fldCharType="separate"/>
      </w:r>
      <w:r>
        <w:rPr>
          <w:rFonts w:hint="eastAsia"/>
        </w:rPr>
        <w:t>3.3区域污染源调查</w:t>
      </w:r>
      <w:r>
        <w:tab/>
      </w:r>
      <w:r>
        <w:fldChar w:fldCharType="begin"/>
      </w:r>
      <w:r>
        <w:instrText xml:space="preserve"> PAGEREF _Toc7382 \h </w:instrText>
      </w:r>
      <w:r>
        <w:fldChar w:fldCharType="separate"/>
      </w:r>
      <w:r>
        <w:t>121</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_Toc14593 </w:instrText>
      </w:r>
      <w:r>
        <w:rPr>
          <w:kern w:val="0"/>
        </w:rPr>
        <w:fldChar w:fldCharType="separate"/>
      </w:r>
      <w:r>
        <w:rPr>
          <w:rFonts w:hint="eastAsia"/>
        </w:rPr>
        <w:t>3.4环境质量现状调查与评价</w:t>
      </w:r>
      <w:r>
        <w:tab/>
      </w:r>
      <w:r>
        <w:fldChar w:fldCharType="begin"/>
      </w:r>
      <w:r>
        <w:instrText xml:space="preserve"> PAGEREF _Toc14593 \h </w:instrText>
      </w:r>
      <w:r>
        <w:fldChar w:fldCharType="separate"/>
      </w:r>
      <w:r>
        <w:t>123</w:t>
      </w:r>
      <w:r>
        <w:fldChar w:fldCharType="end"/>
      </w:r>
      <w:r>
        <w:rPr>
          <w:color w:val="auto"/>
          <w:kern w:val="0"/>
          <w:u w:val="none"/>
        </w:rPr>
        <w:fldChar w:fldCharType="end"/>
      </w:r>
    </w:p>
    <w:p>
      <w:pPr>
        <w:pStyle w:val="25"/>
        <w:tabs>
          <w:tab w:val="right" w:leader="dot" w:pos="8250"/>
          <w:tab w:val="clear" w:pos="8240"/>
        </w:tabs>
      </w:pPr>
      <w:r>
        <w:rPr>
          <w:color w:val="auto"/>
          <w:kern w:val="0"/>
          <w:u w:val="none"/>
        </w:rPr>
        <w:fldChar w:fldCharType="begin"/>
      </w:r>
      <w:r>
        <w:rPr>
          <w:kern w:val="0"/>
        </w:rPr>
        <w:instrText xml:space="preserve"> HYPERLINK \l _Toc23745 </w:instrText>
      </w:r>
      <w:r>
        <w:rPr>
          <w:kern w:val="0"/>
        </w:rPr>
        <w:fldChar w:fldCharType="separate"/>
      </w:r>
      <w:r>
        <w:rPr>
          <w:rFonts w:hint="eastAsia"/>
        </w:rPr>
        <w:t>第4章 环境影响预测与评价</w:t>
      </w:r>
      <w:r>
        <w:tab/>
      </w:r>
      <w:r>
        <w:fldChar w:fldCharType="begin"/>
      </w:r>
      <w:r>
        <w:instrText xml:space="preserve"> PAGEREF _Toc23745 \h </w:instrText>
      </w:r>
      <w:r>
        <w:fldChar w:fldCharType="separate"/>
      </w:r>
      <w:r>
        <w:t>143</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_Toc5612 </w:instrText>
      </w:r>
      <w:r>
        <w:rPr>
          <w:kern w:val="0"/>
        </w:rPr>
        <w:fldChar w:fldCharType="separate"/>
      </w:r>
      <w:r>
        <w:rPr>
          <w:rFonts w:hint="eastAsia"/>
        </w:rPr>
        <w:t>4.1施工期环境影响分析评价</w:t>
      </w:r>
      <w:r>
        <w:tab/>
      </w:r>
      <w:r>
        <w:fldChar w:fldCharType="begin"/>
      </w:r>
      <w:r>
        <w:instrText xml:space="preserve"> PAGEREF _Toc5612 \h </w:instrText>
      </w:r>
      <w:r>
        <w:fldChar w:fldCharType="separate"/>
      </w:r>
      <w:r>
        <w:t>143</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_Toc5528 </w:instrText>
      </w:r>
      <w:r>
        <w:rPr>
          <w:kern w:val="0"/>
        </w:rPr>
        <w:fldChar w:fldCharType="separate"/>
      </w:r>
      <w:r>
        <w:rPr>
          <w:rFonts w:hint="eastAsia"/>
          <w:kern w:val="0"/>
        </w:rPr>
        <w:t>4.</w:t>
      </w:r>
      <w:r>
        <w:rPr>
          <w:kern w:val="0"/>
        </w:rPr>
        <w:t>2</w:t>
      </w:r>
      <w:r>
        <w:rPr>
          <w:rFonts w:hint="eastAsia"/>
          <w:kern w:val="0"/>
        </w:rPr>
        <w:t>工程运营期环境影响分析与评价</w:t>
      </w:r>
      <w:r>
        <w:tab/>
      </w:r>
      <w:r>
        <w:fldChar w:fldCharType="begin"/>
      </w:r>
      <w:r>
        <w:instrText xml:space="preserve"> PAGEREF _Toc5528 \h </w:instrText>
      </w:r>
      <w:r>
        <w:fldChar w:fldCharType="separate"/>
      </w:r>
      <w:r>
        <w:t>153</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_Toc3002 </w:instrText>
      </w:r>
      <w:r>
        <w:rPr>
          <w:kern w:val="0"/>
        </w:rPr>
        <w:fldChar w:fldCharType="separate"/>
      </w:r>
      <w:r>
        <w:rPr>
          <w:rFonts w:hint="eastAsia"/>
          <w:kern w:val="0"/>
        </w:rPr>
        <w:t>4.</w:t>
      </w:r>
      <w:r>
        <w:rPr>
          <w:kern w:val="0"/>
        </w:rPr>
        <w:t>3</w:t>
      </w:r>
      <w:r>
        <w:rPr>
          <w:rFonts w:hint="eastAsia"/>
        </w:rPr>
        <w:t>环境风险评价</w:t>
      </w:r>
      <w:r>
        <w:tab/>
      </w:r>
      <w:r>
        <w:fldChar w:fldCharType="begin"/>
      </w:r>
      <w:r>
        <w:instrText xml:space="preserve"> PAGEREF _Toc3002 \h </w:instrText>
      </w:r>
      <w:r>
        <w:fldChar w:fldCharType="separate"/>
      </w:r>
      <w:r>
        <w:t>177</w:t>
      </w:r>
      <w:r>
        <w:fldChar w:fldCharType="end"/>
      </w:r>
      <w:r>
        <w:rPr>
          <w:color w:val="auto"/>
          <w:kern w:val="0"/>
          <w:u w:val="none"/>
        </w:rPr>
        <w:fldChar w:fldCharType="end"/>
      </w:r>
    </w:p>
    <w:p>
      <w:pPr>
        <w:pStyle w:val="25"/>
        <w:tabs>
          <w:tab w:val="right" w:leader="dot" w:pos="8250"/>
          <w:tab w:val="clear" w:pos="8240"/>
        </w:tabs>
      </w:pPr>
      <w:r>
        <w:rPr>
          <w:color w:val="auto"/>
          <w:kern w:val="0"/>
          <w:u w:val="none"/>
        </w:rPr>
        <w:fldChar w:fldCharType="begin"/>
      </w:r>
      <w:r>
        <w:rPr>
          <w:kern w:val="0"/>
        </w:rPr>
        <w:instrText xml:space="preserve"> HYPERLINK \l _Toc9682 </w:instrText>
      </w:r>
      <w:r>
        <w:rPr>
          <w:kern w:val="0"/>
        </w:rPr>
        <w:fldChar w:fldCharType="separate"/>
      </w:r>
      <w:r>
        <w:rPr>
          <w:rFonts w:hint="eastAsia"/>
          <w:kern w:val="0"/>
        </w:rPr>
        <w:t>第5章 环境保护措施及其可行性论证</w:t>
      </w:r>
      <w:r>
        <w:tab/>
      </w:r>
      <w:r>
        <w:fldChar w:fldCharType="begin"/>
      </w:r>
      <w:r>
        <w:instrText xml:space="preserve"> PAGEREF _Toc9682 \h </w:instrText>
      </w:r>
      <w:r>
        <w:fldChar w:fldCharType="separate"/>
      </w:r>
      <w:r>
        <w:t>204</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_Toc3648 </w:instrText>
      </w:r>
      <w:r>
        <w:rPr>
          <w:kern w:val="0"/>
        </w:rPr>
        <w:fldChar w:fldCharType="separate"/>
      </w:r>
      <w:r>
        <w:rPr>
          <w:rFonts w:hint="eastAsia"/>
          <w:kern w:val="0"/>
        </w:rPr>
        <w:t>5.1施工期环境保护措施分析</w:t>
      </w:r>
      <w:r>
        <w:tab/>
      </w:r>
      <w:r>
        <w:fldChar w:fldCharType="begin"/>
      </w:r>
      <w:r>
        <w:instrText xml:space="preserve"> PAGEREF _Toc3648 \h </w:instrText>
      </w:r>
      <w:r>
        <w:fldChar w:fldCharType="separate"/>
      </w:r>
      <w:r>
        <w:t>204</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_Toc27710 </w:instrText>
      </w:r>
      <w:r>
        <w:rPr>
          <w:kern w:val="0"/>
        </w:rPr>
        <w:fldChar w:fldCharType="separate"/>
      </w:r>
      <w:r>
        <w:rPr>
          <w:rFonts w:hint="eastAsia"/>
        </w:rPr>
        <w:t>5.2营运期环境保护措施分析</w:t>
      </w:r>
      <w:r>
        <w:tab/>
      </w:r>
      <w:r>
        <w:fldChar w:fldCharType="begin"/>
      </w:r>
      <w:r>
        <w:instrText xml:space="preserve"> PAGEREF _Toc27710 \h </w:instrText>
      </w:r>
      <w:r>
        <w:fldChar w:fldCharType="separate"/>
      </w:r>
      <w:r>
        <w:t>211</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_Toc6686 </w:instrText>
      </w:r>
      <w:r>
        <w:rPr>
          <w:kern w:val="0"/>
        </w:rPr>
        <w:fldChar w:fldCharType="separate"/>
      </w:r>
      <w:r>
        <w:rPr>
          <w:rFonts w:hint="eastAsia"/>
        </w:rPr>
        <w:t>5.3污染防治措施结论</w:t>
      </w:r>
      <w:r>
        <w:tab/>
      </w:r>
      <w:r>
        <w:fldChar w:fldCharType="begin"/>
      </w:r>
      <w:r>
        <w:instrText xml:space="preserve"> PAGEREF _Toc6686 \h </w:instrText>
      </w:r>
      <w:r>
        <w:fldChar w:fldCharType="separate"/>
      </w:r>
      <w:r>
        <w:t>224</w:t>
      </w:r>
      <w:r>
        <w:fldChar w:fldCharType="end"/>
      </w:r>
      <w:r>
        <w:rPr>
          <w:color w:val="auto"/>
          <w:kern w:val="0"/>
          <w:u w:val="none"/>
        </w:rPr>
        <w:fldChar w:fldCharType="end"/>
      </w:r>
    </w:p>
    <w:p>
      <w:pPr>
        <w:pStyle w:val="25"/>
        <w:tabs>
          <w:tab w:val="right" w:leader="dot" w:pos="8250"/>
          <w:tab w:val="clear" w:pos="8240"/>
        </w:tabs>
      </w:pPr>
      <w:r>
        <w:rPr>
          <w:color w:val="auto"/>
          <w:kern w:val="0"/>
          <w:u w:val="none"/>
        </w:rPr>
        <w:fldChar w:fldCharType="begin"/>
      </w:r>
      <w:r>
        <w:rPr>
          <w:kern w:val="0"/>
        </w:rPr>
        <w:instrText xml:space="preserve"> HYPERLINK \l _Toc20452 </w:instrText>
      </w:r>
      <w:r>
        <w:rPr>
          <w:kern w:val="0"/>
        </w:rPr>
        <w:fldChar w:fldCharType="separate"/>
      </w:r>
      <w:r>
        <w:rPr>
          <w:rFonts w:hint="eastAsia"/>
        </w:rPr>
        <w:t>第6章 环境影响经济损益分析</w:t>
      </w:r>
      <w:r>
        <w:tab/>
      </w:r>
      <w:r>
        <w:fldChar w:fldCharType="begin"/>
      </w:r>
      <w:r>
        <w:instrText xml:space="preserve"> PAGEREF _Toc20452 \h </w:instrText>
      </w:r>
      <w:r>
        <w:fldChar w:fldCharType="separate"/>
      </w:r>
      <w:r>
        <w:t>225</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_Toc27538 </w:instrText>
      </w:r>
      <w:r>
        <w:rPr>
          <w:kern w:val="0"/>
        </w:rPr>
        <w:fldChar w:fldCharType="separate"/>
      </w:r>
      <w:r>
        <w:rPr>
          <w:rFonts w:hint="eastAsia"/>
          <w:kern w:val="0"/>
        </w:rPr>
        <w:t>6.1环境保护投资</w:t>
      </w:r>
      <w:r>
        <w:tab/>
      </w:r>
      <w:r>
        <w:fldChar w:fldCharType="begin"/>
      </w:r>
      <w:r>
        <w:instrText xml:space="preserve"> PAGEREF _Toc27538 \h </w:instrText>
      </w:r>
      <w:r>
        <w:fldChar w:fldCharType="separate"/>
      </w:r>
      <w:r>
        <w:t>225</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_Toc12277 </w:instrText>
      </w:r>
      <w:r>
        <w:rPr>
          <w:kern w:val="0"/>
        </w:rPr>
        <w:fldChar w:fldCharType="separate"/>
      </w:r>
      <w:r>
        <w:rPr>
          <w:rFonts w:hint="eastAsia"/>
          <w:kern w:val="0"/>
        </w:rPr>
        <w:t>6.2环境损益分析</w:t>
      </w:r>
      <w:r>
        <w:tab/>
      </w:r>
      <w:r>
        <w:fldChar w:fldCharType="begin"/>
      </w:r>
      <w:r>
        <w:instrText xml:space="preserve"> PAGEREF _Toc12277 \h </w:instrText>
      </w:r>
      <w:r>
        <w:fldChar w:fldCharType="separate"/>
      </w:r>
      <w:r>
        <w:t>225</w:t>
      </w:r>
      <w:r>
        <w:fldChar w:fldCharType="end"/>
      </w:r>
      <w:r>
        <w:rPr>
          <w:color w:val="auto"/>
          <w:kern w:val="0"/>
          <w:u w:val="none"/>
        </w:rPr>
        <w:fldChar w:fldCharType="end"/>
      </w:r>
    </w:p>
    <w:p>
      <w:pPr>
        <w:pStyle w:val="25"/>
        <w:tabs>
          <w:tab w:val="right" w:leader="dot" w:pos="8250"/>
          <w:tab w:val="clear" w:pos="8240"/>
        </w:tabs>
      </w:pPr>
      <w:r>
        <w:rPr>
          <w:color w:val="auto"/>
          <w:kern w:val="0"/>
          <w:u w:val="none"/>
        </w:rPr>
        <w:fldChar w:fldCharType="begin"/>
      </w:r>
      <w:r>
        <w:rPr>
          <w:kern w:val="0"/>
        </w:rPr>
        <w:instrText xml:space="preserve"> HYPERLINK \l _Toc28981 </w:instrText>
      </w:r>
      <w:r>
        <w:rPr>
          <w:kern w:val="0"/>
        </w:rPr>
        <w:fldChar w:fldCharType="separate"/>
      </w:r>
      <w:r>
        <w:rPr>
          <w:rFonts w:hint="eastAsia"/>
          <w:kern w:val="0"/>
        </w:rPr>
        <w:t>第7章 环境管理及监测计划</w:t>
      </w:r>
      <w:r>
        <w:tab/>
      </w:r>
      <w:r>
        <w:fldChar w:fldCharType="begin"/>
      </w:r>
      <w:r>
        <w:instrText xml:space="preserve"> PAGEREF _Toc28981 \h </w:instrText>
      </w:r>
      <w:r>
        <w:fldChar w:fldCharType="separate"/>
      </w:r>
      <w:r>
        <w:t>227</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_Toc17454 </w:instrText>
      </w:r>
      <w:r>
        <w:rPr>
          <w:kern w:val="0"/>
        </w:rPr>
        <w:fldChar w:fldCharType="separate"/>
      </w:r>
      <w:r>
        <w:rPr>
          <w:rFonts w:hint="eastAsia"/>
          <w:kern w:val="0"/>
        </w:rPr>
        <w:t>7.1环境管理基本任务</w:t>
      </w:r>
      <w:r>
        <w:tab/>
      </w:r>
      <w:r>
        <w:fldChar w:fldCharType="begin"/>
      </w:r>
      <w:r>
        <w:instrText xml:space="preserve"> PAGEREF _Toc17454 \h </w:instrText>
      </w:r>
      <w:r>
        <w:fldChar w:fldCharType="separate"/>
      </w:r>
      <w:r>
        <w:t>227</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_Toc328 </w:instrText>
      </w:r>
      <w:r>
        <w:rPr>
          <w:kern w:val="0"/>
        </w:rPr>
        <w:fldChar w:fldCharType="separate"/>
      </w:r>
      <w:r>
        <w:rPr>
          <w:rFonts w:hint="eastAsia"/>
          <w:kern w:val="0"/>
        </w:rPr>
        <w:t>7.2环境管理机制</w:t>
      </w:r>
      <w:r>
        <w:tab/>
      </w:r>
      <w:r>
        <w:fldChar w:fldCharType="begin"/>
      </w:r>
      <w:r>
        <w:instrText xml:space="preserve"> PAGEREF _Toc328 \h </w:instrText>
      </w:r>
      <w:r>
        <w:fldChar w:fldCharType="separate"/>
      </w:r>
      <w:r>
        <w:t>227</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_Toc31065 </w:instrText>
      </w:r>
      <w:r>
        <w:rPr>
          <w:kern w:val="0"/>
        </w:rPr>
        <w:fldChar w:fldCharType="separate"/>
      </w:r>
      <w:r>
        <w:rPr>
          <w:rFonts w:hint="eastAsia"/>
          <w:kern w:val="0"/>
        </w:rPr>
        <w:t>7.3排污口规范化管理</w:t>
      </w:r>
      <w:r>
        <w:tab/>
      </w:r>
      <w:r>
        <w:fldChar w:fldCharType="begin"/>
      </w:r>
      <w:r>
        <w:instrText xml:space="preserve"> PAGEREF _Toc31065 \h </w:instrText>
      </w:r>
      <w:r>
        <w:fldChar w:fldCharType="separate"/>
      </w:r>
      <w:r>
        <w:t>228</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_Toc20153 </w:instrText>
      </w:r>
      <w:r>
        <w:rPr>
          <w:kern w:val="0"/>
        </w:rPr>
        <w:fldChar w:fldCharType="separate"/>
      </w:r>
      <w:r>
        <w:rPr>
          <w:rFonts w:hint="eastAsia"/>
          <w:kern w:val="0"/>
        </w:rPr>
        <w:t>7.4总量控制</w:t>
      </w:r>
      <w:r>
        <w:tab/>
      </w:r>
      <w:r>
        <w:fldChar w:fldCharType="begin"/>
      </w:r>
      <w:r>
        <w:instrText xml:space="preserve"> PAGEREF _Toc20153 \h </w:instrText>
      </w:r>
      <w:r>
        <w:fldChar w:fldCharType="separate"/>
      </w:r>
      <w:r>
        <w:t>229</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_Toc29394 </w:instrText>
      </w:r>
      <w:r>
        <w:rPr>
          <w:kern w:val="0"/>
        </w:rPr>
        <w:fldChar w:fldCharType="separate"/>
      </w:r>
      <w:r>
        <w:rPr>
          <w:rFonts w:hint="eastAsia"/>
          <w:kern w:val="0"/>
        </w:rPr>
        <w:t>7.5环境监测</w:t>
      </w:r>
      <w:r>
        <w:tab/>
      </w:r>
      <w:r>
        <w:fldChar w:fldCharType="begin"/>
      </w:r>
      <w:r>
        <w:instrText xml:space="preserve"> PAGEREF _Toc29394 \h </w:instrText>
      </w:r>
      <w:r>
        <w:fldChar w:fldCharType="separate"/>
      </w:r>
      <w:r>
        <w:t>230</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_Toc17164 </w:instrText>
      </w:r>
      <w:r>
        <w:rPr>
          <w:kern w:val="0"/>
        </w:rPr>
        <w:fldChar w:fldCharType="separate"/>
      </w:r>
      <w:r>
        <w:rPr>
          <w:rFonts w:hint="eastAsia"/>
          <w:kern w:val="0"/>
        </w:rPr>
        <w:t>7.6环境保护竣工验收要求</w:t>
      </w:r>
      <w:r>
        <w:tab/>
      </w:r>
      <w:r>
        <w:fldChar w:fldCharType="begin"/>
      </w:r>
      <w:r>
        <w:instrText xml:space="preserve"> PAGEREF _Toc17164 \h </w:instrText>
      </w:r>
      <w:r>
        <w:fldChar w:fldCharType="separate"/>
      </w:r>
      <w:r>
        <w:t>233</w:t>
      </w:r>
      <w:r>
        <w:fldChar w:fldCharType="end"/>
      </w:r>
      <w:r>
        <w:rPr>
          <w:color w:val="auto"/>
          <w:kern w:val="0"/>
          <w:u w:val="none"/>
        </w:rPr>
        <w:fldChar w:fldCharType="end"/>
      </w:r>
    </w:p>
    <w:p>
      <w:pPr>
        <w:pStyle w:val="25"/>
        <w:tabs>
          <w:tab w:val="right" w:leader="dot" w:pos="8250"/>
          <w:tab w:val="clear" w:pos="8240"/>
        </w:tabs>
      </w:pPr>
      <w:r>
        <w:rPr>
          <w:color w:val="auto"/>
          <w:kern w:val="0"/>
          <w:u w:val="none"/>
        </w:rPr>
        <w:fldChar w:fldCharType="begin"/>
      </w:r>
      <w:r>
        <w:rPr>
          <w:kern w:val="0"/>
        </w:rPr>
        <w:instrText xml:space="preserve"> HYPERLINK \l _Toc24890 </w:instrText>
      </w:r>
      <w:r>
        <w:rPr>
          <w:kern w:val="0"/>
        </w:rPr>
        <w:fldChar w:fldCharType="separate"/>
      </w:r>
      <w:r>
        <w:rPr>
          <w:rFonts w:hint="eastAsia" w:ascii="Times New Roman" w:hAnsi="Times New Roman" w:eastAsia="宋体" w:cs="Times New Roman"/>
        </w:rPr>
        <w:t>第8章 入河排污口设置论证</w:t>
      </w:r>
      <w:r>
        <w:tab/>
      </w:r>
      <w:r>
        <w:fldChar w:fldCharType="begin"/>
      </w:r>
      <w:r>
        <w:instrText xml:space="preserve"> PAGEREF _Toc24890 \h </w:instrText>
      </w:r>
      <w:r>
        <w:fldChar w:fldCharType="separate"/>
      </w:r>
      <w:r>
        <w:t>235</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_Toc19658 </w:instrText>
      </w:r>
      <w:r>
        <w:rPr>
          <w:kern w:val="0"/>
        </w:rPr>
        <w:fldChar w:fldCharType="separate"/>
      </w:r>
      <w:r>
        <w:rPr>
          <w:rFonts w:hint="eastAsia"/>
          <w:lang w:val="en-US" w:eastAsia="zh-CN"/>
        </w:rPr>
        <w:t>8.1</w:t>
      </w:r>
      <w:r>
        <w:t>总则</w:t>
      </w:r>
      <w:r>
        <w:tab/>
      </w:r>
      <w:r>
        <w:fldChar w:fldCharType="begin"/>
      </w:r>
      <w:r>
        <w:instrText xml:space="preserve"> PAGEREF _Toc19658 \h </w:instrText>
      </w:r>
      <w:r>
        <w:fldChar w:fldCharType="separate"/>
      </w:r>
      <w:r>
        <w:t>235</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_Toc8127 </w:instrText>
      </w:r>
      <w:r>
        <w:rPr>
          <w:kern w:val="0"/>
        </w:rPr>
        <w:fldChar w:fldCharType="separate"/>
      </w:r>
      <w:r>
        <w:rPr>
          <w:rFonts w:hint="eastAsia"/>
          <w:lang w:val="en-US" w:eastAsia="zh-CN"/>
        </w:rPr>
        <w:t>8.2</w:t>
      </w:r>
      <w:r>
        <w:rPr>
          <w:rFonts w:hint="eastAsia"/>
        </w:rPr>
        <w:t>水功能区管理要求和现有取排水状况</w:t>
      </w:r>
      <w:r>
        <w:tab/>
      </w:r>
      <w:r>
        <w:fldChar w:fldCharType="begin"/>
      </w:r>
      <w:r>
        <w:instrText xml:space="preserve"> PAGEREF _Toc8127 \h </w:instrText>
      </w:r>
      <w:r>
        <w:fldChar w:fldCharType="separate"/>
      </w:r>
      <w:r>
        <w:t>243</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_Toc28194 </w:instrText>
      </w:r>
      <w:r>
        <w:rPr>
          <w:kern w:val="0"/>
        </w:rPr>
        <w:fldChar w:fldCharType="separate"/>
      </w:r>
      <w:r>
        <w:rPr>
          <w:rFonts w:hint="eastAsia"/>
          <w:lang w:val="en-US" w:eastAsia="zh-CN"/>
        </w:rPr>
        <w:t>8.3</w:t>
      </w:r>
      <w:r>
        <w:rPr>
          <w:rFonts w:hint="eastAsia"/>
        </w:rPr>
        <w:t>拟建入河排污口情况</w:t>
      </w:r>
      <w:r>
        <w:tab/>
      </w:r>
      <w:r>
        <w:fldChar w:fldCharType="begin"/>
      </w:r>
      <w:r>
        <w:instrText xml:space="preserve"> PAGEREF _Toc28194 \h </w:instrText>
      </w:r>
      <w:r>
        <w:fldChar w:fldCharType="separate"/>
      </w:r>
      <w:r>
        <w:t>249</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_Toc21664 </w:instrText>
      </w:r>
      <w:r>
        <w:rPr>
          <w:kern w:val="0"/>
        </w:rPr>
        <w:fldChar w:fldCharType="separate"/>
      </w:r>
      <w:r>
        <w:rPr>
          <w:rFonts w:hint="eastAsia"/>
          <w:lang w:val="en-US" w:eastAsia="zh-CN"/>
        </w:rPr>
        <w:t>8.4</w:t>
      </w:r>
      <w:r>
        <w:rPr>
          <w:rFonts w:hint="eastAsia"/>
        </w:rPr>
        <w:t>入河排污口设置可行性分析</w:t>
      </w:r>
      <w:r>
        <w:tab/>
      </w:r>
      <w:r>
        <w:fldChar w:fldCharType="begin"/>
      </w:r>
      <w:r>
        <w:instrText xml:space="preserve"> PAGEREF _Toc21664 \h </w:instrText>
      </w:r>
      <w:r>
        <w:fldChar w:fldCharType="separate"/>
      </w:r>
      <w:r>
        <w:t>250</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_Toc30179 </w:instrText>
      </w:r>
      <w:r>
        <w:rPr>
          <w:kern w:val="0"/>
        </w:rPr>
        <w:fldChar w:fldCharType="separate"/>
      </w:r>
      <w:r>
        <w:rPr>
          <w:rFonts w:hint="eastAsia"/>
          <w:lang w:val="en-US" w:eastAsia="zh-CN"/>
        </w:rPr>
        <w:t>8.5</w:t>
      </w:r>
      <w:r>
        <w:rPr>
          <w:rFonts w:hint="eastAsia"/>
        </w:rPr>
        <w:t>入河排污口设置合理性分析</w:t>
      </w:r>
      <w:r>
        <w:tab/>
      </w:r>
      <w:r>
        <w:fldChar w:fldCharType="begin"/>
      </w:r>
      <w:r>
        <w:instrText xml:space="preserve"> PAGEREF _Toc30179 \h </w:instrText>
      </w:r>
      <w:r>
        <w:fldChar w:fldCharType="separate"/>
      </w:r>
      <w:r>
        <w:t>254</w:t>
      </w:r>
      <w:r>
        <w:fldChar w:fldCharType="end"/>
      </w:r>
      <w:r>
        <w:rPr>
          <w:color w:val="auto"/>
          <w:kern w:val="0"/>
          <w:u w:val="none"/>
        </w:rPr>
        <w:fldChar w:fldCharType="end"/>
      </w:r>
    </w:p>
    <w:p>
      <w:pPr>
        <w:pStyle w:val="25"/>
        <w:tabs>
          <w:tab w:val="right" w:leader="dot" w:pos="8250"/>
          <w:tab w:val="clear" w:pos="8240"/>
        </w:tabs>
      </w:pPr>
      <w:r>
        <w:rPr>
          <w:color w:val="auto"/>
          <w:kern w:val="0"/>
          <w:u w:val="none"/>
        </w:rPr>
        <w:fldChar w:fldCharType="begin"/>
      </w:r>
      <w:r>
        <w:rPr>
          <w:kern w:val="0"/>
        </w:rPr>
        <w:instrText xml:space="preserve"> HYPERLINK \l _Toc23801 </w:instrText>
      </w:r>
      <w:r>
        <w:rPr>
          <w:kern w:val="0"/>
        </w:rPr>
        <w:fldChar w:fldCharType="separate"/>
      </w:r>
      <w:r>
        <w:rPr>
          <w:rFonts w:hint="eastAsia"/>
        </w:rPr>
        <w:t>第</w:t>
      </w:r>
      <w:r>
        <w:rPr>
          <w:rFonts w:hint="eastAsia"/>
          <w:lang w:val="en-US" w:eastAsia="zh-CN"/>
        </w:rPr>
        <w:t>9</w:t>
      </w:r>
      <w:r>
        <w:rPr>
          <w:rFonts w:hint="eastAsia"/>
        </w:rPr>
        <w:t>章 环境影响评价结论</w:t>
      </w:r>
      <w:r>
        <w:tab/>
      </w:r>
      <w:r>
        <w:fldChar w:fldCharType="begin"/>
      </w:r>
      <w:r>
        <w:instrText xml:space="preserve"> PAGEREF _Toc23801 \h </w:instrText>
      </w:r>
      <w:r>
        <w:fldChar w:fldCharType="separate"/>
      </w:r>
      <w:r>
        <w:t>268</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_Toc27148 </w:instrText>
      </w:r>
      <w:r>
        <w:rPr>
          <w:kern w:val="0"/>
        </w:rPr>
        <w:fldChar w:fldCharType="separate"/>
      </w:r>
      <w:r>
        <w:rPr>
          <w:rFonts w:hint="eastAsia"/>
          <w:lang w:val="en-US" w:eastAsia="zh-CN"/>
        </w:rPr>
        <w:t>9</w:t>
      </w:r>
      <w:r>
        <w:rPr>
          <w:rFonts w:hint="eastAsia"/>
        </w:rPr>
        <w:t>.1项目概况</w:t>
      </w:r>
      <w:r>
        <w:tab/>
      </w:r>
      <w:r>
        <w:fldChar w:fldCharType="begin"/>
      </w:r>
      <w:r>
        <w:instrText xml:space="preserve"> PAGEREF _Toc27148 \h </w:instrText>
      </w:r>
      <w:r>
        <w:fldChar w:fldCharType="separate"/>
      </w:r>
      <w:r>
        <w:t>268</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_Toc21773 </w:instrText>
      </w:r>
      <w:r>
        <w:rPr>
          <w:kern w:val="0"/>
        </w:rPr>
        <w:fldChar w:fldCharType="separate"/>
      </w:r>
      <w:r>
        <w:rPr>
          <w:rFonts w:hint="eastAsia"/>
          <w:lang w:val="en-US" w:eastAsia="zh-CN"/>
        </w:rPr>
        <w:t>9</w:t>
      </w:r>
      <w:r>
        <w:rPr>
          <w:rFonts w:hint="eastAsia"/>
        </w:rPr>
        <w:t>.2环境质量现状</w:t>
      </w:r>
      <w:r>
        <w:tab/>
      </w:r>
      <w:r>
        <w:fldChar w:fldCharType="begin"/>
      </w:r>
      <w:r>
        <w:instrText xml:space="preserve"> PAGEREF _Toc21773 \h </w:instrText>
      </w:r>
      <w:r>
        <w:fldChar w:fldCharType="separate"/>
      </w:r>
      <w:r>
        <w:t>269</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_Toc11084 </w:instrText>
      </w:r>
      <w:r>
        <w:rPr>
          <w:kern w:val="0"/>
        </w:rPr>
        <w:fldChar w:fldCharType="separate"/>
      </w:r>
      <w:r>
        <w:rPr>
          <w:rFonts w:hint="eastAsia"/>
          <w:kern w:val="0"/>
          <w:lang w:val="en-US" w:eastAsia="zh-CN"/>
        </w:rPr>
        <w:t>9</w:t>
      </w:r>
      <w:r>
        <w:rPr>
          <w:rFonts w:hint="eastAsia"/>
          <w:kern w:val="0"/>
        </w:rPr>
        <w:t>.3环保投资及总量控制</w:t>
      </w:r>
      <w:r>
        <w:tab/>
      </w:r>
      <w:r>
        <w:fldChar w:fldCharType="begin"/>
      </w:r>
      <w:r>
        <w:instrText xml:space="preserve"> PAGEREF _Toc11084 \h </w:instrText>
      </w:r>
      <w:r>
        <w:fldChar w:fldCharType="separate"/>
      </w:r>
      <w:r>
        <w:t>270</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_Toc14592 </w:instrText>
      </w:r>
      <w:r>
        <w:rPr>
          <w:kern w:val="0"/>
        </w:rPr>
        <w:fldChar w:fldCharType="separate"/>
      </w:r>
      <w:r>
        <w:rPr>
          <w:rFonts w:hint="eastAsia"/>
          <w:kern w:val="0"/>
          <w:lang w:val="en-US" w:eastAsia="zh-CN"/>
        </w:rPr>
        <w:t>9</w:t>
      </w:r>
      <w:r>
        <w:rPr>
          <w:rFonts w:hint="eastAsia"/>
          <w:kern w:val="0"/>
        </w:rPr>
        <w:t>.4主要环境影响评价</w:t>
      </w:r>
      <w:r>
        <w:tab/>
      </w:r>
      <w:r>
        <w:fldChar w:fldCharType="begin"/>
      </w:r>
      <w:r>
        <w:instrText xml:space="preserve"> PAGEREF _Toc14592 \h </w:instrText>
      </w:r>
      <w:r>
        <w:fldChar w:fldCharType="separate"/>
      </w:r>
      <w:r>
        <w:t>270</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_Toc7169 </w:instrText>
      </w:r>
      <w:r>
        <w:rPr>
          <w:kern w:val="0"/>
        </w:rPr>
        <w:fldChar w:fldCharType="separate"/>
      </w:r>
      <w:r>
        <w:rPr>
          <w:rFonts w:hint="eastAsia"/>
          <w:lang w:val="en-US" w:eastAsia="zh-CN"/>
        </w:rPr>
        <w:t>9</w:t>
      </w:r>
      <w:r>
        <w:rPr>
          <w:rFonts w:hint="eastAsia"/>
        </w:rPr>
        <w:t>.</w:t>
      </w:r>
      <w:r>
        <w:t>5</w:t>
      </w:r>
      <w:r>
        <w:rPr>
          <w:rFonts w:hint="eastAsia"/>
        </w:rPr>
        <w:t>污染控制措施评述及污染物达标排放</w:t>
      </w:r>
      <w:r>
        <w:tab/>
      </w:r>
      <w:r>
        <w:fldChar w:fldCharType="begin"/>
      </w:r>
      <w:r>
        <w:instrText xml:space="preserve"> PAGEREF _Toc7169 \h </w:instrText>
      </w:r>
      <w:r>
        <w:fldChar w:fldCharType="separate"/>
      </w:r>
      <w:r>
        <w:t>271</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_Toc22098 </w:instrText>
      </w:r>
      <w:r>
        <w:rPr>
          <w:kern w:val="0"/>
        </w:rPr>
        <w:fldChar w:fldCharType="separate"/>
      </w:r>
      <w:r>
        <w:rPr>
          <w:rFonts w:hint="eastAsia"/>
          <w:kern w:val="0"/>
          <w:lang w:val="en-US" w:eastAsia="zh-CN"/>
        </w:rPr>
        <w:t>9</w:t>
      </w:r>
      <w:r>
        <w:rPr>
          <w:rFonts w:hint="eastAsia"/>
          <w:kern w:val="0"/>
        </w:rPr>
        <w:t>.</w:t>
      </w:r>
      <w:r>
        <w:rPr>
          <w:kern w:val="0"/>
        </w:rPr>
        <w:t>6</w:t>
      </w:r>
      <w:r>
        <w:rPr>
          <w:rFonts w:hint="eastAsia"/>
          <w:kern w:val="0"/>
        </w:rPr>
        <w:t>环境监测计划</w:t>
      </w:r>
      <w:r>
        <w:tab/>
      </w:r>
      <w:r>
        <w:fldChar w:fldCharType="begin"/>
      </w:r>
      <w:r>
        <w:instrText xml:space="preserve"> PAGEREF _Toc22098 \h </w:instrText>
      </w:r>
      <w:r>
        <w:fldChar w:fldCharType="separate"/>
      </w:r>
      <w:r>
        <w:t>273</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_Toc9807 </w:instrText>
      </w:r>
      <w:r>
        <w:rPr>
          <w:kern w:val="0"/>
        </w:rPr>
        <w:fldChar w:fldCharType="separate"/>
      </w:r>
      <w:r>
        <w:rPr>
          <w:rFonts w:hint="eastAsia"/>
          <w:lang w:val="en-US" w:eastAsia="zh-CN"/>
        </w:rPr>
        <w:t>9</w:t>
      </w:r>
      <w:r>
        <w:t>.7公众参与调查结论</w:t>
      </w:r>
      <w:r>
        <w:tab/>
      </w:r>
      <w:r>
        <w:fldChar w:fldCharType="begin"/>
      </w:r>
      <w:r>
        <w:instrText xml:space="preserve"> PAGEREF _Toc9807 \h </w:instrText>
      </w:r>
      <w:r>
        <w:fldChar w:fldCharType="separate"/>
      </w:r>
      <w:r>
        <w:t>273</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_Toc32442 </w:instrText>
      </w:r>
      <w:r>
        <w:rPr>
          <w:kern w:val="0"/>
        </w:rPr>
        <w:fldChar w:fldCharType="separate"/>
      </w:r>
      <w:r>
        <w:rPr>
          <w:rFonts w:hint="eastAsia"/>
          <w:kern w:val="0"/>
          <w:lang w:val="en-US" w:eastAsia="zh-CN"/>
        </w:rPr>
        <w:t>9</w:t>
      </w:r>
      <w:r>
        <w:rPr>
          <w:rFonts w:hint="eastAsia"/>
          <w:kern w:val="0"/>
        </w:rPr>
        <w:t>.</w:t>
      </w:r>
      <w:r>
        <w:rPr>
          <w:kern w:val="0"/>
        </w:rPr>
        <w:t>8</w:t>
      </w:r>
      <w:r>
        <w:rPr>
          <w:rFonts w:hint="eastAsia"/>
          <w:kern w:val="0"/>
        </w:rPr>
        <w:t>环评总结论</w:t>
      </w:r>
      <w:r>
        <w:tab/>
      </w:r>
      <w:r>
        <w:fldChar w:fldCharType="begin"/>
      </w:r>
      <w:r>
        <w:instrText xml:space="preserve"> PAGEREF _Toc32442 \h </w:instrText>
      </w:r>
      <w:r>
        <w:fldChar w:fldCharType="separate"/>
      </w:r>
      <w:r>
        <w:t>273</w:t>
      </w:r>
      <w:r>
        <w:fldChar w:fldCharType="end"/>
      </w:r>
      <w:r>
        <w:rPr>
          <w:color w:val="auto"/>
          <w:kern w:val="0"/>
          <w:u w:val="none"/>
        </w:rPr>
        <w:fldChar w:fldCharType="end"/>
      </w:r>
    </w:p>
    <w:p>
      <w:pPr>
        <w:pStyle w:val="31"/>
        <w:tabs>
          <w:tab w:val="right" w:leader="dot" w:pos="8250"/>
        </w:tabs>
      </w:pPr>
      <w:r>
        <w:rPr>
          <w:color w:val="auto"/>
          <w:kern w:val="0"/>
          <w:u w:val="none"/>
        </w:rPr>
        <w:fldChar w:fldCharType="begin"/>
      </w:r>
      <w:r>
        <w:rPr>
          <w:kern w:val="0"/>
        </w:rPr>
        <w:instrText xml:space="preserve"> HYPERLINK \l _Toc3267 </w:instrText>
      </w:r>
      <w:r>
        <w:rPr>
          <w:kern w:val="0"/>
        </w:rPr>
        <w:fldChar w:fldCharType="separate"/>
      </w:r>
      <w:r>
        <w:rPr>
          <w:rFonts w:hint="eastAsia"/>
          <w:kern w:val="0"/>
          <w:lang w:val="en-US" w:eastAsia="zh-CN"/>
        </w:rPr>
        <w:t>9</w:t>
      </w:r>
      <w:r>
        <w:rPr>
          <w:rFonts w:hint="eastAsia"/>
          <w:kern w:val="0"/>
        </w:rPr>
        <w:t>.</w:t>
      </w:r>
      <w:r>
        <w:rPr>
          <w:kern w:val="0"/>
        </w:rPr>
        <w:t>9</w:t>
      </w:r>
      <w:r>
        <w:rPr>
          <w:rFonts w:hint="eastAsia"/>
          <w:kern w:val="0"/>
        </w:rPr>
        <w:t>建议</w:t>
      </w:r>
      <w:r>
        <w:tab/>
      </w:r>
      <w:r>
        <w:fldChar w:fldCharType="begin"/>
      </w:r>
      <w:r>
        <w:instrText xml:space="preserve"> PAGEREF _Toc3267 \h </w:instrText>
      </w:r>
      <w:r>
        <w:fldChar w:fldCharType="separate"/>
      </w:r>
      <w:r>
        <w:t>274</w:t>
      </w:r>
      <w:r>
        <w:fldChar w:fldCharType="end"/>
      </w:r>
      <w:r>
        <w:rPr>
          <w:color w:val="auto"/>
          <w:kern w:val="0"/>
          <w:u w:val="none"/>
        </w:rPr>
        <w:fldChar w:fldCharType="end"/>
      </w:r>
    </w:p>
    <w:p>
      <w:pPr>
        <w:ind w:firstLine="0" w:firstLineChars="0"/>
        <w:rPr>
          <w:rFonts w:hint="eastAsia"/>
          <w:color w:val="auto"/>
          <w:kern w:val="0"/>
          <w:u w:val="none"/>
        </w:rPr>
      </w:pPr>
      <w:r>
        <w:rPr>
          <w:color w:val="auto"/>
          <w:kern w:val="0"/>
          <w:u w:val="none"/>
        </w:rPr>
        <w:fldChar w:fldCharType="end"/>
      </w:r>
    </w:p>
    <w:p>
      <w:pPr>
        <w:ind w:firstLine="482"/>
        <w:rPr>
          <w:rFonts w:hint="eastAsia"/>
          <w:b/>
          <w:color w:val="auto"/>
          <w:kern w:val="0"/>
          <w:u w:val="none"/>
        </w:rPr>
      </w:pPr>
      <w:bookmarkStart w:id="0" w:name="_Toc489349946"/>
      <w:bookmarkStart w:id="1" w:name="_Toc489349329"/>
      <w:bookmarkStart w:id="2" w:name="_Toc489350097"/>
    </w:p>
    <w:p>
      <w:pPr>
        <w:ind w:firstLine="0" w:firstLineChars="0"/>
        <w:rPr>
          <w:b/>
          <w:color w:val="auto"/>
          <w:kern w:val="0"/>
          <w:u w:val="none"/>
        </w:rPr>
        <w:sectPr>
          <w:pgSz w:w="11850" w:h="16790"/>
          <w:pgMar w:top="1440" w:right="1800" w:bottom="1440" w:left="1800" w:header="720" w:footer="720" w:gutter="0"/>
          <w:pgBorders w:offsetFrom="page">
            <w:top w:val="none" w:sz="0" w:space="0"/>
            <w:left w:val="none" w:sz="0" w:space="0"/>
            <w:bottom w:val="none" w:sz="0" w:space="0"/>
            <w:right w:val="none" w:sz="0" w:space="0"/>
          </w:pgBorders>
          <w:pgNumType w:fmt="upperRoman" w:start="1"/>
          <w:cols w:space="720" w:num="1"/>
          <w:docGrid w:linePitch="326" w:charSpace="0"/>
        </w:sectPr>
      </w:pPr>
    </w:p>
    <w:p>
      <w:pPr>
        <w:ind w:firstLine="0" w:firstLineChars="0"/>
        <w:rPr>
          <w:rFonts w:hint="eastAsia"/>
          <w:b/>
          <w:color w:val="auto"/>
          <w:kern w:val="0"/>
          <w:u w:val="none"/>
        </w:rPr>
      </w:pPr>
      <w:r>
        <w:rPr>
          <w:b/>
          <w:color w:val="auto"/>
          <w:kern w:val="0"/>
          <w:u w:val="none"/>
        </w:rPr>
        <w:br w:type="page"/>
      </w:r>
      <w:r>
        <w:rPr>
          <w:rFonts w:hint="eastAsia"/>
          <w:b/>
          <w:color w:val="auto"/>
          <w:kern w:val="0"/>
          <w:u w:val="none"/>
        </w:rPr>
        <w:t>附图、附件以及附表：</w:t>
      </w:r>
    </w:p>
    <w:p>
      <w:pPr>
        <w:ind w:firstLine="0" w:firstLineChars="0"/>
        <w:rPr>
          <w:rFonts w:hint="eastAsia"/>
          <w:b/>
          <w:bCs/>
          <w:color w:val="auto"/>
          <w:kern w:val="0"/>
          <w:u w:val="none"/>
        </w:rPr>
      </w:pPr>
      <w:r>
        <w:rPr>
          <w:rFonts w:hint="eastAsia"/>
          <w:b/>
          <w:bCs/>
          <w:color w:val="auto"/>
          <w:kern w:val="0"/>
          <w:u w:val="none"/>
        </w:rPr>
        <w:t>附图：</w:t>
      </w:r>
    </w:p>
    <w:p>
      <w:pPr>
        <w:ind w:firstLine="480"/>
        <w:rPr>
          <w:rFonts w:hint="eastAsia"/>
          <w:color w:val="auto"/>
          <w:kern w:val="0"/>
          <w:u w:val="none"/>
        </w:rPr>
      </w:pPr>
      <w:r>
        <w:rPr>
          <w:rFonts w:hint="eastAsia"/>
          <w:color w:val="auto"/>
          <w:kern w:val="0"/>
          <w:u w:val="none"/>
        </w:rPr>
        <w:t>附图1  项目地理位置图</w:t>
      </w:r>
    </w:p>
    <w:p>
      <w:pPr>
        <w:ind w:firstLine="480"/>
        <w:rPr>
          <w:rFonts w:hint="eastAsia"/>
          <w:color w:val="auto"/>
          <w:kern w:val="0"/>
          <w:u w:val="none"/>
        </w:rPr>
      </w:pPr>
      <w:r>
        <w:rPr>
          <w:rFonts w:hint="eastAsia"/>
          <w:color w:val="auto"/>
          <w:kern w:val="0"/>
          <w:u w:val="none"/>
        </w:rPr>
        <w:t>附图2  项目监测布点图</w:t>
      </w:r>
    </w:p>
    <w:p>
      <w:pPr>
        <w:ind w:firstLine="480"/>
        <w:rPr>
          <w:rFonts w:hint="eastAsia" w:eastAsia="宋体"/>
          <w:color w:val="auto"/>
          <w:kern w:val="0"/>
          <w:u w:val="none"/>
          <w:lang w:eastAsia="zh-CN"/>
        </w:rPr>
      </w:pPr>
      <w:r>
        <w:rPr>
          <w:rFonts w:hint="eastAsia"/>
          <w:color w:val="auto"/>
          <w:kern w:val="0"/>
          <w:u w:val="none"/>
        </w:rPr>
        <w:t xml:space="preserve">附图3  </w:t>
      </w:r>
      <w:r>
        <w:rPr>
          <w:rFonts w:hint="eastAsia"/>
          <w:color w:val="auto"/>
          <w:kern w:val="0"/>
          <w:u w:val="none"/>
          <w:lang w:eastAsia="zh-CN"/>
        </w:rPr>
        <w:t>引用监测点位图</w:t>
      </w:r>
    </w:p>
    <w:p>
      <w:pPr>
        <w:ind w:firstLine="480"/>
        <w:rPr>
          <w:rFonts w:hint="eastAsia"/>
          <w:color w:val="auto"/>
          <w:kern w:val="0"/>
          <w:u w:val="none"/>
        </w:rPr>
      </w:pPr>
      <w:r>
        <w:rPr>
          <w:rFonts w:hint="eastAsia"/>
          <w:color w:val="auto"/>
          <w:kern w:val="0"/>
          <w:u w:val="none"/>
          <w:lang w:eastAsia="zh-CN"/>
        </w:rPr>
        <w:t>附图</w:t>
      </w:r>
      <w:r>
        <w:rPr>
          <w:rFonts w:hint="eastAsia"/>
          <w:color w:val="auto"/>
          <w:kern w:val="0"/>
          <w:u w:val="none"/>
          <w:lang w:val="en-US" w:eastAsia="zh-CN"/>
        </w:rPr>
        <w:t xml:space="preserve">4  </w:t>
      </w:r>
      <w:r>
        <w:rPr>
          <w:rFonts w:hint="eastAsia"/>
          <w:color w:val="auto"/>
          <w:kern w:val="0"/>
          <w:u w:val="none"/>
        </w:rPr>
        <w:t>项目外环境关系图</w:t>
      </w:r>
    </w:p>
    <w:p>
      <w:pPr>
        <w:ind w:firstLine="480"/>
        <w:rPr>
          <w:rFonts w:hint="eastAsia"/>
          <w:color w:val="auto"/>
          <w:kern w:val="0"/>
          <w:u w:val="none"/>
        </w:rPr>
      </w:pPr>
      <w:r>
        <w:rPr>
          <w:rFonts w:hint="eastAsia"/>
          <w:color w:val="auto"/>
          <w:kern w:val="0"/>
          <w:u w:val="none"/>
        </w:rPr>
        <w:t>附图</w:t>
      </w:r>
      <w:r>
        <w:rPr>
          <w:rFonts w:hint="eastAsia"/>
          <w:color w:val="auto"/>
          <w:kern w:val="0"/>
          <w:u w:val="none"/>
          <w:lang w:val="en-US" w:eastAsia="zh-CN"/>
        </w:rPr>
        <w:t>5</w:t>
      </w:r>
      <w:r>
        <w:rPr>
          <w:rFonts w:hint="eastAsia"/>
          <w:color w:val="auto"/>
          <w:kern w:val="0"/>
          <w:u w:val="none"/>
        </w:rPr>
        <w:t xml:space="preserve">  项目周边水系图</w:t>
      </w:r>
    </w:p>
    <w:p>
      <w:pPr>
        <w:ind w:firstLine="480"/>
        <w:rPr>
          <w:rFonts w:hint="eastAsia"/>
          <w:color w:val="auto"/>
          <w:kern w:val="0"/>
          <w:u w:val="none"/>
        </w:rPr>
      </w:pPr>
      <w:bookmarkStart w:id="3" w:name="_Hlk24473621"/>
      <w:r>
        <w:rPr>
          <w:rFonts w:hint="eastAsia"/>
          <w:color w:val="auto"/>
          <w:kern w:val="0"/>
          <w:u w:val="none"/>
        </w:rPr>
        <w:t>附图</w:t>
      </w:r>
      <w:r>
        <w:rPr>
          <w:rFonts w:hint="eastAsia"/>
          <w:color w:val="auto"/>
          <w:kern w:val="0"/>
          <w:u w:val="none"/>
          <w:lang w:val="en-US" w:eastAsia="zh-CN"/>
        </w:rPr>
        <w:t>6</w:t>
      </w:r>
      <w:r>
        <w:rPr>
          <w:rFonts w:hint="eastAsia"/>
          <w:color w:val="auto"/>
          <w:kern w:val="0"/>
          <w:u w:val="none"/>
        </w:rPr>
        <w:t xml:space="preserve">  项目平面布置图</w:t>
      </w:r>
    </w:p>
    <w:bookmarkEnd w:id="3"/>
    <w:p>
      <w:pPr>
        <w:ind w:firstLine="480"/>
        <w:rPr>
          <w:color w:val="auto"/>
          <w:kern w:val="0"/>
          <w:u w:val="none"/>
        </w:rPr>
      </w:pPr>
      <w:r>
        <w:rPr>
          <w:rFonts w:hint="eastAsia"/>
          <w:color w:val="auto"/>
          <w:kern w:val="0"/>
          <w:u w:val="none"/>
        </w:rPr>
        <w:t>附图</w:t>
      </w:r>
      <w:r>
        <w:rPr>
          <w:rFonts w:hint="eastAsia"/>
          <w:color w:val="auto"/>
          <w:kern w:val="0"/>
          <w:u w:val="none"/>
          <w:lang w:val="en-US" w:eastAsia="zh-CN"/>
        </w:rPr>
        <w:t>7</w:t>
      </w:r>
      <w:bookmarkStart w:id="4" w:name="_Hlk24474283"/>
      <w:r>
        <w:rPr>
          <w:rFonts w:hint="eastAsia"/>
          <w:color w:val="auto"/>
          <w:kern w:val="0"/>
          <w:u w:val="none"/>
        </w:rPr>
        <w:t xml:space="preserve">  污水收集管网平面布置图</w:t>
      </w:r>
    </w:p>
    <w:p>
      <w:pPr>
        <w:ind w:firstLine="480"/>
        <w:rPr>
          <w:color w:val="auto"/>
          <w:kern w:val="0"/>
          <w:u w:val="none"/>
        </w:rPr>
      </w:pPr>
      <w:r>
        <w:rPr>
          <w:rFonts w:hint="eastAsia"/>
          <w:color w:val="auto"/>
          <w:kern w:val="0"/>
          <w:u w:val="none"/>
        </w:rPr>
        <w:t>附图</w:t>
      </w:r>
      <w:r>
        <w:rPr>
          <w:rFonts w:hint="eastAsia"/>
          <w:color w:val="auto"/>
          <w:kern w:val="0"/>
          <w:u w:val="none"/>
          <w:lang w:val="en-US" w:eastAsia="zh-CN"/>
        </w:rPr>
        <w:t>8</w:t>
      </w:r>
      <w:r>
        <w:rPr>
          <w:rFonts w:hint="eastAsia"/>
          <w:color w:val="auto"/>
          <w:kern w:val="0"/>
          <w:u w:val="none"/>
        </w:rPr>
        <w:t xml:space="preserve">  污水排放管网平面布置图</w:t>
      </w:r>
    </w:p>
    <w:p>
      <w:pPr>
        <w:ind w:firstLine="480"/>
        <w:rPr>
          <w:color w:val="auto"/>
          <w:kern w:val="0"/>
          <w:u w:val="none"/>
        </w:rPr>
      </w:pPr>
      <w:r>
        <w:rPr>
          <w:rFonts w:hint="eastAsia"/>
          <w:color w:val="auto"/>
          <w:kern w:val="0"/>
          <w:u w:val="none"/>
        </w:rPr>
        <w:t>附图</w:t>
      </w:r>
      <w:r>
        <w:rPr>
          <w:rFonts w:hint="eastAsia"/>
          <w:color w:val="auto"/>
          <w:kern w:val="0"/>
          <w:u w:val="none"/>
          <w:lang w:val="en-US" w:eastAsia="zh-CN"/>
        </w:rPr>
        <w:t>9</w:t>
      </w:r>
      <w:r>
        <w:rPr>
          <w:color w:val="auto"/>
          <w:kern w:val="0"/>
          <w:u w:val="none"/>
        </w:rPr>
        <w:t xml:space="preserve"> </w:t>
      </w:r>
      <w:r>
        <w:rPr>
          <w:rFonts w:hint="eastAsia"/>
          <w:color w:val="auto"/>
          <w:kern w:val="0"/>
          <w:u w:val="none"/>
        </w:rPr>
        <w:t>项目评价等级范围图</w:t>
      </w:r>
    </w:p>
    <w:p>
      <w:pPr>
        <w:ind w:firstLine="480"/>
        <w:rPr>
          <w:color w:val="auto"/>
          <w:kern w:val="0"/>
          <w:u w:val="none"/>
        </w:rPr>
      </w:pPr>
      <w:bookmarkStart w:id="5" w:name="_Hlk26030945"/>
      <w:r>
        <w:rPr>
          <w:rFonts w:hint="eastAsia"/>
          <w:color w:val="auto"/>
          <w:kern w:val="0"/>
          <w:u w:val="none"/>
        </w:rPr>
        <w:t>附图</w:t>
      </w:r>
      <w:r>
        <w:rPr>
          <w:rFonts w:hint="eastAsia"/>
          <w:color w:val="auto"/>
          <w:kern w:val="0"/>
          <w:u w:val="none"/>
          <w:lang w:val="en-US" w:eastAsia="zh-CN"/>
        </w:rPr>
        <w:t>10</w:t>
      </w:r>
      <w:r>
        <w:rPr>
          <w:color w:val="auto"/>
          <w:kern w:val="0"/>
          <w:u w:val="none"/>
        </w:rPr>
        <w:t xml:space="preserve"> </w:t>
      </w:r>
      <w:r>
        <w:rPr>
          <w:rFonts w:hint="eastAsia"/>
          <w:color w:val="auto"/>
          <w:kern w:val="0"/>
          <w:u w:val="none"/>
        </w:rPr>
        <w:t>本项目与饮用水源位置关系图</w:t>
      </w:r>
    </w:p>
    <w:bookmarkEnd w:id="5"/>
    <w:p>
      <w:pPr>
        <w:ind w:firstLine="480"/>
        <w:rPr>
          <w:color w:val="auto"/>
          <w:kern w:val="0"/>
          <w:u w:val="none"/>
        </w:rPr>
      </w:pPr>
      <w:r>
        <w:rPr>
          <w:rFonts w:hint="eastAsia"/>
          <w:color w:val="auto"/>
          <w:kern w:val="0"/>
          <w:u w:val="none"/>
        </w:rPr>
        <w:t>附图</w:t>
      </w:r>
      <w:bookmarkStart w:id="6" w:name="_Hlk27646679"/>
      <w:r>
        <w:rPr>
          <w:rFonts w:hint="eastAsia"/>
          <w:color w:val="auto"/>
          <w:kern w:val="0"/>
          <w:u w:val="none"/>
          <w:lang w:val="en-US" w:eastAsia="zh-CN"/>
        </w:rPr>
        <w:t>11</w:t>
      </w:r>
      <w:r>
        <w:rPr>
          <w:color w:val="auto"/>
          <w:kern w:val="0"/>
          <w:u w:val="none"/>
        </w:rPr>
        <w:t xml:space="preserve"> </w:t>
      </w:r>
      <w:r>
        <w:rPr>
          <w:rFonts w:hint="eastAsia"/>
          <w:color w:val="auto"/>
          <w:lang w:eastAsia="zh-CN"/>
        </w:rPr>
        <w:t>永顺经济开发区猛洞河产业园</w:t>
      </w:r>
      <w:r>
        <w:rPr>
          <w:rFonts w:hint="eastAsia"/>
          <w:color w:val="auto"/>
          <w:kern w:val="0"/>
          <w:u w:val="none"/>
        </w:rPr>
        <w:t>土地利用总体规划图</w:t>
      </w:r>
    </w:p>
    <w:bookmarkEnd w:id="6"/>
    <w:p>
      <w:pPr>
        <w:ind w:firstLine="480"/>
        <w:rPr>
          <w:color w:val="auto"/>
          <w:kern w:val="0"/>
          <w:u w:val="none"/>
        </w:rPr>
      </w:pPr>
      <w:r>
        <w:rPr>
          <w:rFonts w:hint="eastAsia"/>
          <w:color w:val="auto"/>
          <w:kern w:val="0"/>
          <w:u w:val="none"/>
        </w:rPr>
        <w:t>附图1</w:t>
      </w:r>
      <w:r>
        <w:rPr>
          <w:color w:val="auto"/>
          <w:kern w:val="0"/>
          <w:u w:val="none"/>
        </w:rPr>
        <w:t xml:space="preserve">2 </w:t>
      </w:r>
      <w:r>
        <w:rPr>
          <w:rFonts w:hint="eastAsia"/>
          <w:color w:val="auto"/>
          <w:lang w:eastAsia="zh-CN"/>
        </w:rPr>
        <w:t>永顺经济开发区猛洞河产业园给排水</w:t>
      </w:r>
      <w:r>
        <w:rPr>
          <w:rFonts w:hint="eastAsia"/>
          <w:color w:val="auto"/>
        </w:rPr>
        <w:t>规划图</w:t>
      </w:r>
    </w:p>
    <w:p>
      <w:pPr>
        <w:ind w:firstLine="480"/>
        <w:rPr>
          <w:color w:val="auto"/>
          <w:kern w:val="0"/>
          <w:u w:val="none"/>
        </w:rPr>
      </w:pPr>
      <w:r>
        <w:rPr>
          <w:rFonts w:hint="eastAsia"/>
          <w:color w:val="auto"/>
          <w:kern w:val="0"/>
          <w:u w:val="none"/>
        </w:rPr>
        <w:t>附图1</w:t>
      </w:r>
      <w:r>
        <w:rPr>
          <w:color w:val="auto"/>
          <w:kern w:val="0"/>
          <w:u w:val="none"/>
        </w:rPr>
        <w:t xml:space="preserve">3 </w:t>
      </w:r>
      <w:r>
        <w:rPr>
          <w:rFonts w:hint="eastAsia"/>
          <w:color w:val="auto"/>
        </w:rPr>
        <w:t>项目分区防渗图</w:t>
      </w:r>
    </w:p>
    <w:p>
      <w:pPr>
        <w:ind w:firstLine="480"/>
        <w:rPr>
          <w:color w:val="auto"/>
          <w:kern w:val="0"/>
          <w:u w:val="none"/>
        </w:rPr>
      </w:pPr>
      <w:r>
        <w:rPr>
          <w:rFonts w:hint="eastAsia"/>
          <w:color w:val="auto"/>
          <w:kern w:val="0"/>
          <w:u w:val="none"/>
        </w:rPr>
        <w:t>附图</w:t>
      </w:r>
      <w:r>
        <w:rPr>
          <w:rFonts w:hint="eastAsia"/>
          <w:color w:val="auto"/>
          <w:kern w:val="0"/>
          <w:u w:val="none"/>
          <w:lang w:val="en-US" w:eastAsia="zh-CN"/>
        </w:rPr>
        <w:t>14</w:t>
      </w:r>
      <w:r>
        <w:rPr>
          <w:color w:val="auto"/>
          <w:kern w:val="0"/>
          <w:u w:val="none"/>
        </w:rPr>
        <w:t xml:space="preserve"> </w:t>
      </w:r>
      <w:r>
        <w:rPr>
          <w:rFonts w:hint="eastAsia"/>
          <w:color w:val="auto"/>
          <w:kern w:val="0"/>
          <w:u w:val="none"/>
        </w:rPr>
        <w:t>项目纳污范围图</w:t>
      </w:r>
    </w:p>
    <w:p>
      <w:pPr>
        <w:ind w:firstLine="480"/>
        <w:rPr>
          <w:color w:val="auto"/>
          <w:kern w:val="0"/>
          <w:u w:val="none"/>
        </w:rPr>
      </w:pPr>
      <w:r>
        <w:rPr>
          <w:rFonts w:hint="eastAsia"/>
          <w:color w:val="auto"/>
          <w:kern w:val="0"/>
          <w:u w:val="none"/>
        </w:rPr>
        <w:t>附图</w:t>
      </w:r>
      <w:r>
        <w:rPr>
          <w:rFonts w:hint="eastAsia"/>
          <w:color w:val="auto"/>
          <w:kern w:val="0"/>
          <w:u w:val="none"/>
          <w:lang w:val="en-US" w:eastAsia="zh-CN"/>
        </w:rPr>
        <w:t>15</w:t>
      </w:r>
      <w:r>
        <w:rPr>
          <w:color w:val="auto"/>
          <w:kern w:val="0"/>
          <w:u w:val="none"/>
        </w:rPr>
        <w:t xml:space="preserve"> </w:t>
      </w:r>
      <w:r>
        <w:rPr>
          <w:rFonts w:hint="eastAsia" w:ascii="宋体" w:hAnsi="宋体" w:eastAsia="宋体" w:cs="宋体"/>
          <w:color w:val="auto"/>
          <w:sz w:val="24"/>
          <w:szCs w:val="24"/>
          <w:u w:val="none"/>
        </w:rPr>
        <w:t>永顺县</w:t>
      </w:r>
      <w:r>
        <w:rPr>
          <w:rFonts w:hint="default" w:ascii="Times New Roman" w:hAnsi="Times New Roman" w:eastAsia="宋体" w:cs="Times New Roman"/>
          <w:color w:val="auto"/>
          <w:sz w:val="24"/>
          <w:szCs w:val="24"/>
          <w:u w:val="none"/>
        </w:rPr>
        <w:t>城市总体规划（20</w:t>
      </w:r>
      <w:r>
        <w:rPr>
          <w:rFonts w:hint="default" w:ascii="Times New Roman" w:hAnsi="Times New Roman" w:eastAsia="宋体" w:cs="Times New Roman"/>
          <w:color w:val="auto"/>
          <w:sz w:val="24"/>
          <w:szCs w:val="24"/>
          <w:u w:val="none"/>
          <w:lang w:val="en-US" w:eastAsia="zh-CN"/>
        </w:rPr>
        <w:t>10</w:t>
      </w:r>
      <w:r>
        <w:rPr>
          <w:rFonts w:hint="default" w:ascii="Times New Roman" w:hAnsi="Times New Roman" w:eastAsia="宋体" w:cs="Times New Roman"/>
          <w:color w:val="auto"/>
          <w:sz w:val="24"/>
          <w:szCs w:val="24"/>
          <w:u w:val="none"/>
        </w:rPr>
        <w:t>-2020年）</w:t>
      </w:r>
      <w:r>
        <w:rPr>
          <w:rFonts w:hint="eastAsia" w:ascii="宋体" w:hAnsi="宋体" w:eastAsia="宋体" w:cs="宋体"/>
          <w:color w:val="auto"/>
          <w:sz w:val="24"/>
          <w:szCs w:val="24"/>
          <w:u w:val="none"/>
          <w:lang w:eastAsia="zh-CN"/>
        </w:rPr>
        <w:t>及与猛洞河产业园关系图</w:t>
      </w:r>
    </w:p>
    <w:p>
      <w:pPr>
        <w:ind w:firstLine="480"/>
        <w:rPr>
          <w:rFonts w:hint="default" w:eastAsia="宋体"/>
          <w:color w:val="auto"/>
          <w:kern w:val="0"/>
          <w:u w:val="none"/>
          <w:lang w:val="en-US" w:eastAsia="zh-CN"/>
        </w:rPr>
      </w:pPr>
      <w:r>
        <w:rPr>
          <w:rFonts w:hint="eastAsia"/>
          <w:color w:val="auto"/>
          <w:kern w:val="0"/>
          <w:u w:val="none"/>
          <w:lang w:eastAsia="zh-CN"/>
        </w:rPr>
        <w:t>附图</w:t>
      </w:r>
      <w:r>
        <w:rPr>
          <w:rFonts w:hint="eastAsia"/>
          <w:color w:val="auto"/>
          <w:kern w:val="0"/>
          <w:u w:val="none"/>
          <w:lang w:val="en-US" w:eastAsia="zh-CN"/>
        </w:rPr>
        <w:t xml:space="preserve">16 </w:t>
      </w:r>
      <w:r>
        <w:rPr>
          <w:rFonts w:hint="eastAsia"/>
          <w:color w:val="auto"/>
          <w:lang w:val="en-US" w:eastAsia="zh-CN"/>
        </w:rPr>
        <w:t>项目与湖南不二门国家级森林公园位置关系</w:t>
      </w:r>
    </w:p>
    <w:p>
      <w:pPr>
        <w:keepNext w:val="0"/>
        <w:keepLines w:val="0"/>
        <w:pageBreakBefore w:val="0"/>
        <w:widowControl/>
        <w:kinsoku/>
        <w:wordWrap/>
        <w:overflowPunct/>
        <w:topLinePunct w:val="0"/>
        <w:autoSpaceDE/>
        <w:autoSpaceDN/>
        <w:bidi w:val="0"/>
        <w:adjustRightInd/>
        <w:snapToGrid/>
        <w:ind w:left="0" w:leftChars="0" w:firstLine="480" w:firstLineChars="200"/>
        <w:jc w:val="left"/>
        <w:textAlignment w:val="auto"/>
        <w:rPr>
          <w:rFonts w:hint="default" w:eastAsia="宋体"/>
          <w:color w:val="auto"/>
          <w:lang w:val="en-US" w:eastAsia="zh-CN"/>
        </w:rPr>
      </w:pPr>
      <w:r>
        <w:rPr>
          <w:rFonts w:hint="eastAsia"/>
          <w:color w:val="auto"/>
          <w:lang w:val="en-US" w:eastAsia="zh-CN"/>
        </w:rPr>
        <w:t>附图17 项目与湖南永顺猛洞河地质公园位置关系</w:t>
      </w:r>
    </w:p>
    <w:p>
      <w:pPr>
        <w:ind w:firstLine="480"/>
        <w:rPr>
          <w:rFonts w:hint="default" w:eastAsia="宋体"/>
          <w:color w:val="auto"/>
          <w:kern w:val="0"/>
          <w:u w:val="none"/>
          <w:lang w:val="en-US" w:eastAsia="zh-CN"/>
        </w:rPr>
      </w:pPr>
      <w:r>
        <w:rPr>
          <w:rFonts w:hint="eastAsia"/>
          <w:color w:val="auto"/>
          <w:kern w:val="0"/>
          <w:u w:val="none"/>
          <w:lang w:val="en-US" w:eastAsia="zh-CN"/>
        </w:rPr>
        <w:t>附图18 项目与湖南永顺猛洞河国家湿地公园位置关系</w:t>
      </w:r>
    </w:p>
    <w:p>
      <w:pPr>
        <w:ind w:firstLine="480"/>
        <w:rPr>
          <w:rFonts w:hint="default" w:eastAsia="宋体"/>
          <w:color w:val="auto"/>
          <w:kern w:val="0"/>
          <w:u w:val="none"/>
          <w:lang w:val="en-US" w:eastAsia="zh-CN"/>
        </w:rPr>
      </w:pPr>
      <w:r>
        <w:rPr>
          <w:rFonts w:hint="eastAsia"/>
          <w:color w:val="auto"/>
          <w:kern w:val="0"/>
          <w:u w:val="none"/>
          <w:lang w:eastAsia="zh-CN"/>
        </w:rPr>
        <w:t>附图</w:t>
      </w:r>
      <w:r>
        <w:rPr>
          <w:rFonts w:hint="eastAsia"/>
          <w:color w:val="auto"/>
          <w:kern w:val="0"/>
          <w:u w:val="none"/>
          <w:lang w:val="en-US" w:eastAsia="zh-CN"/>
        </w:rPr>
        <w:t>19 项目与猛洞河国家级风景名胜区位置关系</w:t>
      </w:r>
    </w:p>
    <w:p>
      <w:pPr>
        <w:ind w:firstLine="480"/>
        <w:rPr>
          <w:rFonts w:hint="eastAsia"/>
          <w:color w:val="auto"/>
          <w:kern w:val="0"/>
          <w:u w:val="none"/>
          <w:lang w:val="en-US" w:eastAsia="zh-CN"/>
        </w:rPr>
      </w:pPr>
      <w:r>
        <w:rPr>
          <w:rFonts w:hint="eastAsia"/>
          <w:color w:val="auto"/>
          <w:kern w:val="0"/>
          <w:u w:val="none"/>
          <w:lang w:eastAsia="zh-CN"/>
        </w:rPr>
        <w:t>附图</w:t>
      </w:r>
      <w:r>
        <w:rPr>
          <w:rFonts w:hint="eastAsia"/>
          <w:color w:val="auto"/>
          <w:kern w:val="0"/>
          <w:u w:val="none"/>
          <w:lang w:val="en-US" w:eastAsia="zh-CN"/>
        </w:rPr>
        <w:t>20 项目与永顺县猛洞河湿地保护区位置关系</w:t>
      </w:r>
    </w:p>
    <w:p>
      <w:pPr>
        <w:ind w:firstLine="480"/>
        <w:rPr>
          <w:rFonts w:hint="eastAsia"/>
          <w:color w:val="auto"/>
          <w:kern w:val="0"/>
          <w:u w:val="none"/>
          <w:lang w:val="en-US" w:eastAsia="zh-CN"/>
        </w:rPr>
      </w:pPr>
      <w:r>
        <w:rPr>
          <w:rFonts w:hint="eastAsia"/>
          <w:color w:val="auto"/>
          <w:kern w:val="0"/>
          <w:u w:val="none"/>
          <w:lang w:eastAsia="zh-CN"/>
        </w:rPr>
        <w:t>附图</w:t>
      </w:r>
      <w:r>
        <w:rPr>
          <w:rFonts w:hint="eastAsia"/>
          <w:color w:val="auto"/>
          <w:kern w:val="0"/>
          <w:u w:val="none"/>
          <w:lang w:val="en-US" w:eastAsia="zh-CN"/>
        </w:rPr>
        <w:t>21 湘西州一级水功能区划图（局部）</w:t>
      </w:r>
    </w:p>
    <w:p>
      <w:pPr>
        <w:ind w:firstLine="480"/>
        <w:rPr>
          <w:rFonts w:hint="eastAsia"/>
          <w:color w:val="auto"/>
          <w:kern w:val="0"/>
          <w:u w:val="none"/>
          <w:lang w:val="en-US" w:eastAsia="zh-CN"/>
        </w:rPr>
      </w:pPr>
      <w:r>
        <w:rPr>
          <w:rFonts w:hint="eastAsia"/>
          <w:color w:val="auto"/>
          <w:kern w:val="0"/>
          <w:u w:val="none"/>
          <w:lang w:eastAsia="zh-CN"/>
        </w:rPr>
        <w:t>附图</w:t>
      </w:r>
      <w:r>
        <w:rPr>
          <w:rFonts w:hint="eastAsia"/>
          <w:color w:val="auto"/>
          <w:kern w:val="0"/>
          <w:u w:val="none"/>
          <w:lang w:val="en-US" w:eastAsia="zh-CN"/>
        </w:rPr>
        <w:t>22 论证范围与论证影响范围图</w:t>
      </w:r>
    </w:p>
    <w:p>
      <w:pPr>
        <w:ind w:firstLine="480"/>
        <w:rPr>
          <w:rFonts w:hint="eastAsia"/>
          <w:color w:val="auto"/>
          <w:kern w:val="0"/>
          <w:u w:val="none"/>
        </w:rPr>
      </w:pPr>
      <w:r>
        <w:rPr>
          <w:rFonts w:hint="eastAsia"/>
          <w:color w:val="auto"/>
          <w:kern w:val="0"/>
          <w:u w:val="none"/>
          <w:lang w:eastAsia="zh-CN"/>
        </w:rPr>
        <w:t>附图</w:t>
      </w:r>
      <w:r>
        <w:rPr>
          <w:rFonts w:hint="eastAsia"/>
          <w:color w:val="auto"/>
          <w:kern w:val="0"/>
          <w:u w:val="none"/>
          <w:lang w:val="en-US" w:eastAsia="zh-CN"/>
        </w:rPr>
        <w:t xml:space="preserve">23 </w:t>
      </w:r>
      <w:r>
        <w:rPr>
          <w:rFonts w:hint="eastAsia"/>
          <w:color w:val="auto"/>
          <w:kern w:val="0"/>
          <w:u w:val="none"/>
        </w:rPr>
        <w:t>项目现场照片图</w:t>
      </w:r>
      <w:bookmarkEnd w:id="4"/>
    </w:p>
    <w:p>
      <w:pPr>
        <w:ind w:firstLine="0" w:firstLineChars="0"/>
        <w:rPr>
          <w:rFonts w:hint="eastAsia"/>
          <w:b/>
          <w:bCs/>
          <w:color w:val="auto"/>
          <w:kern w:val="0"/>
          <w:u w:val="none"/>
        </w:rPr>
      </w:pPr>
      <w:r>
        <w:rPr>
          <w:rFonts w:hint="eastAsia"/>
          <w:b/>
          <w:bCs/>
          <w:color w:val="auto"/>
          <w:kern w:val="0"/>
          <w:u w:val="none"/>
        </w:rPr>
        <w:t>附件：</w:t>
      </w:r>
    </w:p>
    <w:p>
      <w:pPr>
        <w:ind w:firstLine="480"/>
        <w:rPr>
          <w:rFonts w:hint="eastAsia"/>
          <w:color w:val="auto"/>
          <w:kern w:val="0"/>
          <w:u w:val="none"/>
        </w:rPr>
      </w:pPr>
      <w:r>
        <w:rPr>
          <w:rFonts w:hint="eastAsia"/>
          <w:color w:val="auto"/>
          <w:kern w:val="0"/>
          <w:u w:val="none"/>
        </w:rPr>
        <w:t>附件1  项目环评委托书</w:t>
      </w:r>
    </w:p>
    <w:p>
      <w:pPr>
        <w:ind w:firstLine="480"/>
        <w:rPr>
          <w:rFonts w:hint="eastAsia" w:ascii="Times New Roman" w:hAnsi="Times New Roman" w:eastAsia="宋体" w:cs="Times New Roman"/>
          <w:color w:val="auto"/>
          <w:kern w:val="0"/>
          <w:u w:val="none"/>
        </w:rPr>
      </w:pPr>
      <w:r>
        <w:rPr>
          <w:rFonts w:hint="eastAsia" w:ascii="Times New Roman" w:hAnsi="Times New Roman" w:eastAsia="宋体" w:cs="Times New Roman"/>
          <w:color w:val="auto"/>
          <w:kern w:val="0"/>
          <w:u w:val="none"/>
        </w:rPr>
        <w:t>附件2  项目现状监测监测报告及质保单</w:t>
      </w:r>
    </w:p>
    <w:p>
      <w:pPr>
        <w:ind w:firstLine="480"/>
        <w:rPr>
          <w:rFonts w:hint="eastAsia" w:ascii="Times New Roman" w:hAnsi="Times New Roman" w:eastAsia="宋体" w:cs="Times New Roman"/>
          <w:color w:val="auto"/>
          <w:kern w:val="0"/>
          <w:u w:val="none"/>
        </w:rPr>
      </w:pPr>
      <w:r>
        <w:rPr>
          <w:rFonts w:hint="eastAsia" w:ascii="Times New Roman" w:hAnsi="Times New Roman" w:eastAsia="宋体" w:cs="Times New Roman"/>
          <w:color w:val="auto"/>
          <w:kern w:val="0"/>
          <w:u w:val="none"/>
        </w:rPr>
        <w:t>附件3</w:t>
      </w:r>
      <w:r>
        <w:rPr>
          <w:rFonts w:hint="eastAsia" w:ascii="Times New Roman" w:hAnsi="Times New Roman" w:eastAsia="宋体" w:cs="Times New Roman"/>
          <w:color w:val="auto"/>
          <w:kern w:val="0"/>
          <w:u w:val="none"/>
          <w:lang w:val="en-US" w:eastAsia="zh-CN"/>
        </w:rPr>
        <w:t xml:space="preserve">  </w:t>
      </w:r>
      <w:r>
        <w:rPr>
          <w:rFonts w:hint="eastAsia" w:ascii="Times New Roman" w:hAnsi="Times New Roman" w:eastAsia="宋体" w:cs="Times New Roman"/>
          <w:color w:val="auto"/>
          <w:kern w:val="0"/>
          <w:u w:val="none"/>
        </w:rPr>
        <w:t>项目建设单位营业执照</w:t>
      </w:r>
    </w:p>
    <w:p>
      <w:pPr>
        <w:ind w:firstLine="480"/>
        <w:rPr>
          <w:rFonts w:hint="eastAsia" w:ascii="Times New Roman" w:hAnsi="Times New Roman" w:eastAsia="宋体" w:cs="Times New Roman"/>
          <w:color w:val="auto"/>
          <w:kern w:val="0"/>
          <w:u w:val="none"/>
          <w:lang w:eastAsia="zh-CN"/>
        </w:rPr>
      </w:pPr>
      <w:r>
        <w:rPr>
          <w:rFonts w:hint="eastAsia" w:ascii="Times New Roman" w:hAnsi="Times New Roman" w:eastAsia="宋体" w:cs="Times New Roman"/>
          <w:color w:val="auto"/>
          <w:kern w:val="0"/>
          <w:u w:val="none"/>
        </w:rPr>
        <w:t>附件</w:t>
      </w:r>
      <w:r>
        <w:rPr>
          <w:rFonts w:hint="eastAsia" w:ascii="Times New Roman" w:hAnsi="Times New Roman" w:eastAsia="宋体" w:cs="Times New Roman"/>
          <w:color w:val="auto"/>
          <w:kern w:val="0"/>
          <w:u w:val="none"/>
          <w:lang w:val="en-US" w:eastAsia="zh-CN"/>
        </w:rPr>
        <w:t>4</w:t>
      </w:r>
      <w:r>
        <w:rPr>
          <w:rFonts w:hint="eastAsia" w:ascii="Times New Roman" w:hAnsi="Times New Roman" w:eastAsia="宋体" w:cs="Times New Roman"/>
          <w:color w:val="auto"/>
          <w:kern w:val="0"/>
          <w:u w:val="none"/>
        </w:rPr>
        <w:t xml:space="preserve">  </w:t>
      </w:r>
      <w:r>
        <w:rPr>
          <w:rFonts w:hint="eastAsia" w:ascii="Times New Roman" w:hAnsi="Times New Roman" w:eastAsia="宋体" w:cs="Times New Roman"/>
          <w:color w:val="auto"/>
          <w:kern w:val="0"/>
          <w:u w:val="none"/>
          <w:lang w:eastAsia="zh-CN"/>
        </w:rPr>
        <w:t>可研批复</w:t>
      </w:r>
    </w:p>
    <w:p>
      <w:pPr>
        <w:ind w:firstLine="480"/>
        <w:rPr>
          <w:rFonts w:hint="default" w:ascii="Times New Roman" w:hAnsi="Times New Roman" w:eastAsia="宋体" w:cs="Times New Roman"/>
          <w:color w:val="auto"/>
          <w:kern w:val="0"/>
          <w:u w:val="none"/>
          <w:lang w:val="en-US" w:eastAsia="zh-CN"/>
        </w:rPr>
      </w:pPr>
      <w:r>
        <w:rPr>
          <w:rFonts w:hint="eastAsia" w:ascii="Times New Roman" w:hAnsi="Times New Roman" w:eastAsia="宋体" w:cs="Times New Roman"/>
          <w:color w:val="auto"/>
          <w:kern w:val="0"/>
          <w:u w:val="none"/>
          <w:lang w:eastAsia="zh-CN"/>
        </w:rPr>
        <w:t>附件</w:t>
      </w:r>
      <w:r>
        <w:rPr>
          <w:rFonts w:hint="eastAsia" w:ascii="Times New Roman" w:hAnsi="Times New Roman" w:eastAsia="宋体" w:cs="Times New Roman"/>
          <w:color w:val="auto"/>
          <w:kern w:val="0"/>
          <w:u w:val="none"/>
          <w:lang w:val="en-US" w:eastAsia="zh-CN"/>
        </w:rPr>
        <w:t>5  永顺经开区调扩区审查意见（批复）</w:t>
      </w:r>
    </w:p>
    <w:p>
      <w:pPr>
        <w:bidi w:val="0"/>
        <w:rPr>
          <w:rFonts w:hint="eastAsia"/>
          <w:u w:val="single"/>
        </w:rPr>
      </w:pPr>
      <w:r>
        <w:rPr>
          <w:rFonts w:hint="eastAsia"/>
          <w:u w:val="single"/>
        </w:rPr>
        <w:t>附件6  湖南永顺不二门国家级森林公园管理处同意本项目建设意见</w:t>
      </w:r>
    </w:p>
    <w:p>
      <w:pPr>
        <w:bidi w:val="0"/>
        <w:rPr>
          <w:rFonts w:hint="eastAsia"/>
          <w:u w:val="single"/>
        </w:rPr>
      </w:pPr>
      <w:r>
        <w:rPr>
          <w:rFonts w:hint="eastAsia"/>
          <w:u w:val="single"/>
        </w:rPr>
        <w:t>附件7 湖南猛洞河风景名胜区管理处同意本项目建设的意见</w:t>
      </w:r>
    </w:p>
    <w:p>
      <w:pPr>
        <w:bidi w:val="0"/>
        <w:rPr>
          <w:rFonts w:hint="eastAsia"/>
          <w:u w:val="single"/>
        </w:rPr>
      </w:pPr>
      <w:r>
        <w:rPr>
          <w:rFonts w:hint="eastAsia"/>
          <w:u w:val="single"/>
        </w:rPr>
        <w:t>附件8 永顺县自然资源局对本项目不在生态红线的回复</w:t>
      </w:r>
    </w:p>
    <w:p>
      <w:pPr>
        <w:bidi w:val="0"/>
        <w:rPr>
          <w:rFonts w:hint="eastAsia"/>
          <w:u w:val="single"/>
        </w:rPr>
      </w:pPr>
      <w:r>
        <w:rPr>
          <w:rFonts w:hint="eastAsia"/>
          <w:u w:val="single"/>
        </w:rPr>
        <w:t>附件9 补充检测报告</w:t>
      </w:r>
    </w:p>
    <w:p>
      <w:pPr>
        <w:bidi w:val="0"/>
        <w:rPr>
          <w:rFonts w:hint="default" w:eastAsia="宋体"/>
          <w:u w:val="single"/>
          <w:lang w:val="en-US" w:eastAsia="zh-CN"/>
        </w:rPr>
      </w:pPr>
      <w:r>
        <w:rPr>
          <w:rFonts w:hint="eastAsia"/>
          <w:u w:val="single"/>
          <w:lang w:eastAsia="zh-CN"/>
        </w:rPr>
        <w:t>附件</w:t>
      </w:r>
      <w:r>
        <w:rPr>
          <w:rFonts w:hint="eastAsia"/>
          <w:u w:val="single"/>
          <w:lang w:val="en-US" w:eastAsia="zh-CN"/>
        </w:rPr>
        <w:t>10 专家评审意见及签到表</w:t>
      </w:r>
    </w:p>
    <w:p>
      <w:pPr>
        <w:ind w:firstLine="0" w:firstLineChars="0"/>
        <w:rPr>
          <w:rFonts w:hint="eastAsia"/>
          <w:b/>
          <w:bCs/>
          <w:color w:val="auto"/>
          <w:kern w:val="0"/>
          <w:u w:val="none"/>
        </w:rPr>
      </w:pPr>
      <w:r>
        <w:rPr>
          <w:rFonts w:hint="eastAsia"/>
          <w:b/>
          <w:bCs/>
          <w:color w:val="auto"/>
          <w:kern w:val="0"/>
          <w:u w:val="none"/>
        </w:rPr>
        <w:t xml:space="preserve">附表：  </w:t>
      </w:r>
    </w:p>
    <w:p>
      <w:pPr>
        <w:ind w:firstLine="480"/>
        <w:rPr>
          <w:color w:val="auto"/>
          <w:kern w:val="0"/>
          <w:u w:val="single"/>
        </w:rPr>
      </w:pPr>
      <w:r>
        <w:rPr>
          <w:rFonts w:hint="eastAsia"/>
          <w:color w:val="auto"/>
          <w:kern w:val="0"/>
          <w:u w:val="single"/>
        </w:rPr>
        <w:t>附表</w:t>
      </w:r>
      <w:r>
        <w:rPr>
          <w:color w:val="auto"/>
          <w:kern w:val="0"/>
          <w:u w:val="single"/>
        </w:rPr>
        <w:t>1</w:t>
      </w:r>
      <w:r>
        <w:rPr>
          <w:rFonts w:hint="eastAsia"/>
          <w:color w:val="auto"/>
          <w:kern w:val="0"/>
          <w:u w:val="single"/>
        </w:rPr>
        <w:t xml:space="preserve"> </w:t>
      </w:r>
      <w:r>
        <w:rPr>
          <w:color w:val="auto"/>
          <w:kern w:val="0"/>
          <w:u w:val="single"/>
        </w:rPr>
        <w:t xml:space="preserve"> </w:t>
      </w:r>
      <w:r>
        <w:rPr>
          <w:rFonts w:hint="eastAsia"/>
          <w:color w:val="auto"/>
          <w:kern w:val="0"/>
          <w:u w:val="single"/>
        </w:rPr>
        <w:t>建设项目大气环境影响评价自查表</w:t>
      </w:r>
    </w:p>
    <w:p>
      <w:pPr>
        <w:ind w:firstLine="480"/>
        <w:rPr>
          <w:color w:val="auto"/>
          <w:kern w:val="0"/>
          <w:u w:val="single"/>
        </w:rPr>
      </w:pPr>
      <w:r>
        <w:rPr>
          <w:rFonts w:hint="eastAsia"/>
          <w:color w:val="auto"/>
          <w:kern w:val="0"/>
          <w:u w:val="single"/>
        </w:rPr>
        <w:t>附表</w:t>
      </w:r>
      <w:r>
        <w:rPr>
          <w:color w:val="auto"/>
          <w:kern w:val="0"/>
          <w:u w:val="single"/>
        </w:rPr>
        <w:t>2</w:t>
      </w:r>
      <w:r>
        <w:rPr>
          <w:rFonts w:hint="eastAsia"/>
          <w:color w:val="auto"/>
          <w:kern w:val="0"/>
          <w:u w:val="single"/>
        </w:rPr>
        <w:t xml:space="preserve"> </w:t>
      </w:r>
      <w:r>
        <w:rPr>
          <w:color w:val="auto"/>
          <w:kern w:val="0"/>
          <w:u w:val="single"/>
        </w:rPr>
        <w:t xml:space="preserve"> </w:t>
      </w:r>
      <w:r>
        <w:rPr>
          <w:rFonts w:hint="eastAsia"/>
          <w:color w:val="auto"/>
          <w:kern w:val="0"/>
          <w:u w:val="single"/>
        </w:rPr>
        <w:t>建设项目废水污染物排放信息表</w:t>
      </w:r>
    </w:p>
    <w:p>
      <w:pPr>
        <w:ind w:firstLine="480"/>
        <w:rPr>
          <w:color w:val="auto"/>
          <w:kern w:val="0"/>
          <w:u w:val="single"/>
        </w:rPr>
      </w:pPr>
      <w:r>
        <w:rPr>
          <w:rFonts w:hint="eastAsia"/>
          <w:color w:val="auto"/>
          <w:kern w:val="0"/>
          <w:u w:val="single"/>
        </w:rPr>
        <w:t>附表</w:t>
      </w:r>
      <w:r>
        <w:rPr>
          <w:color w:val="auto"/>
          <w:kern w:val="0"/>
          <w:u w:val="single"/>
        </w:rPr>
        <w:t>3</w:t>
      </w:r>
      <w:r>
        <w:rPr>
          <w:rFonts w:hint="eastAsia"/>
          <w:color w:val="auto"/>
          <w:kern w:val="0"/>
          <w:u w:val="single"/>
        </w:rPr>
        <w:t xml:space="preserve"> </w:t>
      </w:r>
      <w:r>
        <w:rPr>
          <w:color w:val="auto"/>
          <w:kern w:val="0"/>
          <w:u w:val="single"/>
        </w:rPr>
        <w:t xml:space="preserve"> </w:t>
      </w:r>
      <w:r>
        <w:rPr>
          <w:rFonts w:hint="eastAsia"/>
          <w:color w:val="auto"/>
          <w:kern w:val="0"/>
          <w:u w:val="single"/>
        </w:rPr>
        <w:t>建设项目地表水环境影响评价自查表</w:t>
      </w:r>
    </w:p>
    <w:p>
      <w:pPr>
        <w:ind w:firstLine="480"/>
        <w:rPr>
          <w:color w:val="auto"/>
          <w:kern w:val="0"/>
          <w:u w:val="single"/>
        </w:rPr>
      </w:pPr>
      <w:r>
        <w:rPr>
          <w:rFonts w:hint="eastAsia"/>
          <w:color w:val="auto"/>
          <w:kern w:val="0"/>
          <w:u w:val="single"/>
        </w:rPr>
        <w:t>附表</w:t>
      </w:r>
      <w:r>
        <w:rPr>
          <w:color w:val="auto"/>
          <w:kern w:val="0"/>
          <w:u w:val="single"/>
        </w:rPr>
        <w:t>4</w:t>
      </w:r>
      <w:r>
        <w:rPr>
          <w:rFonts w:hint="eastAsia"/>
          <w:color w:val="auto"/>
          <w:kern w:val="0"/>
          <w:u w:val="single"/>
        </w:rPr>
        <w:t xml:space="preserve"> </w:t>
      </w:r>
      <w:r>
        <w:rPr>
          <w:color w:val="auto"/>
          <w:kern w:val="0"/>
          <w:u w:val="single"/>
        </w:rPr>
        <w:t xml:space="preserve"> </w:t>
      </w:r>
      <w:r>
        <w:rPr>
          <w:rFonts w:hint="eastAsia"/>
          <w:color w:val="auto"/>
          <w:kern w:val="0"/>
          <w:u w:val="single"/>
        </w:rPr>
        <w:t>环境风险评价自查表</w:t>
      </w:r>
    </w:p>
    <w:p>
      <w:pPr>
        <w:ind w:firstLine="480"/>
        <w:rPr>
          <w:rFonts w:hint="eastAsia" w:ascii="Times New Roman" w:hAnsi="Times New Roman" w:eastAsia="宋体" w:cs="Times New Roman"/>
          <w:color w:val="auto"/>
          <w:kern w:val="0"/>
          <w:u w:val="single"/>
        </w:rPr>
      </w:pPr>
      <w:r>
        <w:rPr>
          <w:rFonts w:hint="eastAsia"/>
          <w:color w:val="auto"/>
          <w:kern w:val="0"/>
          <w:u w:val="single"/>
        </w:rPr>
        <w:t>附表</w:t>
      </w:r>
      <w:r>
        <w:rPr>
          <w:color w:val="auto"/>
          <w:kern w:val="0"/>
          <w:u w:val="single"/>
        </w:rPr>
        <w:t>5</w:t>
      </w:r>
      <w:r>
        <w:rPr>
          <w:rFonts w:hint="eastAsia"/>
          <w:color w:val="auto"/>
          <w:kern w:val="0"/>
          <w:u w:val="single"/>
        </w:rPr>
        <w:t xml:space="preserve"> </w:t>
      </w:r>
      <w:r>
        <w:rPr>
          <w:color w:val="auto"/>
          <w:kern w:val="0"/>
          <w:u w:val="single"/>
        </w:rPr>
        <w:t xml:space="preserve"> </w:t>
      </w:r>
      <w:r>
        <w:rPr>
          <w:rFonts w:hint="eastAsia"/>
          <w:color w:val="auto"/>
          <w:kern w:val="0"/>
          <w:u w:val="single"/>
        </w:rPr>
        <w:t>入河排</w:t>
      </w:r>
      <w:r>
        <w:rPr>
          <w:rFonts w:hint="eastAsia" w:ascii="Times New Roman" w:hAnsi="Times New Roman" w:eastAsia="宋体" w:cs="Times New Roman"/>
          <w:color w:val="auto"/>
          <w:kern w:val="0"/>
          <w:u w:val="single"/>
        </w:rPr>
        <w:t>污口设置论证报告书基本信息表</w:t>
      </w:r>
    </w:p>
    <w:p>
      <w:pPr>
        <w:ind w:firstLine="480"/>
        <w:rPr>
          <w:rFonts w:hint="default" w:ascii="Times New Roman" w:hAnsi="Times New Roman" w:eastAsia="宋体" w:cs="Times New Roman"/>
          <w:color w:val="auto"/>
          <w:kern w:val="0"/>
          <w:u w:val="single"/>
          <w:lang w:val="en-US" w:eastAsia="zh-CN"/>
        </w:rPr>
      </w:pPr>
      <w:r>
        <w:rPr>
          <w:rFonts w:hint="eastAsia" w:ascii="Times New Roman" w:hAnsi="Times New Roman" w:eastAsia="宋体" w:cs="Times New Roman"/>
          <w:color w:val="auto"/>
          <w:kern w:val="0"/>
          <w:u w:val="single"/>
        </w:rPr>
        <w:t>附表</w:t>
      </w:r>
      <w:r>
        <w:rPr>
          <w:rFonts w:hint="eastAsia" w:ascii="Times New Roman" w:hAnsi="Times New Roman" w:eastAsia="宋体" w:cs="Times New Roman"/>
          <w:color w:val="auto"/>
          <w:kern w:val="0"/>
          <w:u w:val="single"/>
          <w:lang w:val="en-US" w:eastAsia="zh-CN"/>
        </w:rPr>
        <w:t>6</w:t>
      </w:r>
      <w:r>
        <w:rPr>
          <w:rFonts w:hint="eastAsia" w:ascii="Times New Roman" w:hAnsi="Times New Roman" w:eastAsia="宋体" w:cs="Times New Roman"/>
          <w:color w:val="auto"/>
          <w:kern w:val="0"/>
          <w:u w:val="single"/>
        </w:rPr>
        <w:t xml:space="preserve"> </w:t>
      </w:r>
      <w:r>
        <w:rPr>
          <w:rFonts w:hint="eastAsia" w:ascii="Times New Roman" w:hAnsi="Times New Roman" w:eastAsia="宋体" w:cs="Times New Roman"/>
          <w:color w:val="auto"/>
          <w:kern w:val="0"/>
          <w:u w:val="single"/>
          <w:lang w:val="en-US" w:eastAsia="zh-CN"/>
        </w:rPr>
        <w:t>声环境影响评价自查表</w:t>
      </w:r>
    </w:p>
    <w:p>
      <w:pPr>
        <w:ind w:firstLine="480"/>
        <w:rPr>
          <w:rFonts w:hint="default" w:ascii="Times New Roman" w:hAnsi="Times New Roman" w:eastAsia="宋体" w:cs="Times New Roman"/>
          <w:color w:val="auto"/>
          <w:kern w:val="0"/>
          <w:u w:val="single"/>
          <w:lang w:val="en-US" w:eastAsia="zh-CN"/>
        </w:rPr>
      </w:pPr>
      <w:r>
        <w:rPr>
          <w:rFonts w:hint="eastAsia" w:ascii="Times New Roman" w:hAnsi="Times New Roman" w:eastAsia="宋体" w:cs="Times New Roman"/>
          <w:color w:val="auto"/>
          <w:kern w:val="0"/>
          <w:u w:val="single"/>
          <w:lang w:eastAsia="zh-CN"/>
        </w:rPr>
        <w:t>附表</w:t>
      </w:r>
      <w:r>
        <w:rPr>
          <w:rFonts w:hint="eastAsia" w:ascii="Times New Roman" w:hAnsi="Times New Roman" w:eastAsia="宋体" w:cs="Times New Roman"/>
          <w:color w:val="auto"/>
          <w:kern w:val="0"/>
          <w:u w:val="single"/>
          <w:lang w:val="en-US" w:eastAsia="zh-CN"/>
        </w:rPr>
        <w:t>7 土壤环境影响评价自查表</w:t>
      </w:r>
    </w:p>
    <w:p>
      <w:pPr>
        <w:ind w:firstLine="480"/>
        <w:rPr>
          <w:rFonts w:hint="eastAsia" w:ascii="Times New Roman" w:hAnsi="Times New Roman" w:eastAsia="宋体" w:cs="Times New Roman"/>
          <w:color w:val="auto"/>
          <w:kern w:val="0"/>
          <w:u w:val="single"/>
          <w:lang w:val="en-US" w:eastAsia="zh-CN"/>
        </w:rPr>
      </w:pPr>
      <w:r>
        <w:rPr>
          <w:rFonts w:hint="eastAsia" w:ascii="Times New Roman" w:hAnsi="Times New Roman" w:eastAsia="宋体" w:cs="Times New Roman"/>
          <w:color w:val="auto"/>
          <w:kern w:val="0"/>
          <w:u w:val="single"/>
          <w:lang w:eastAsia="zh-CN"/>
        </w:rPr>
        <w:t>附表</w:t>
      </w:r>
      <w:r>
        <w:rPr>
          <w:rFonts w:hint="eastAsia" w:ascii="Times New Roman" w:hAnsi="Times New Roman" w:eastAsia="宋体" w:cs="Times New Roman"/>
          <w:color w:val="auto"/>
          <w:kern w:val="0"/>
          <w:u w:val="single"/>
          <w:lang w:val="en-US" w:eastAsia="zh-CN"/>
        </w:rPr>
        <w:t>8 生态影响评价自查表</w:t>
      </w:r>
    </w:p>
    <w:p>
      <w:pPr>
        <w:ind w:firstLine="480"/>
        <w:rPr>
          <w:rFonts w:hint="default" w:ascii="Times New Roman" w:hAnsi="Times New Roman" w:eastAsia="宋体" w:cs="Times New Roman"/>
          <w:color w:val="auto"/>
          <w:kern w:val="0"/>
          <w:u w:val="single"/>
          <w:lang w:val="en-US" w:eastAsia="zh-CN"/>
        </w:rPr>
      </w:pPr>
      <w:r>
        <w:rPr>
          <w:rFonts w:hint="eastAsia" w:ascii="Times New Roman" w:hAnsi="Times New Roman" w:eastAsia="宋体" w:cs="Times New Roman"/>
          <w:color w:val="auto"/>
          <w:kern w:val="0"/>
          <w:u w:val="single"/>
          <w:lang w:val="en-US" w:eastAsia="zh-CN"/>
        </w:rPr>
        <w:t>附表9：建设项目环评审批基础信息表</w:t>
      </w:r>
    </w:p>
    <w:p>
      <w:pPr>
        <w:ind w:firstLine="480"/>
        <w:rPr>
          <w:rFonts w:hint="eastAsia" w:ascii="Times New Roman" w:hAnsi="Times New Roman" w:eastAsia="宋体" w:cs="Times New Roman"/>
          <w:color w:val="auto"/>
          <w:kern w:val="0"/>
          <w:u w:val="none"/>
        </w:rPr>
        <w:sectPr>
          <w:pgSz w:w="11850" w:h="16790"/>
          <w:pgMar w:top="1440" w:right="1800" w:bottom="1440" w:left="1800" w:header="720" w:footer="720" w:gutter="0"/>
          <w:pgBorders w:offsetFrom="page">
            <w:top w:val="none" w:sz="0" w:space="0"/>
            <w:left w:val="none" w:sz="0" w:space="0"/>
            <w:bottom w:val="none" w:sz="0" w:space="0"/>
            <w:right w:val="none" w:sz="0" w:space="0"/>
          </w:pgBorders>
          <w:pgNumType w:fmt="upperRoman" w:start="1"/>
          <w:cols w:space="720" w:num="1"/>
          <w:docGrid w:linePitch="326" w:charSpace="0"/>
        </w:sectPr>
      </w:pPr>
    </w:p>
    <w:bookmarkEnd w:id="0"/>
    <w:bookmarkEnd w:id="1"/>
    <w:bookmarkEnd w:id="2"/>
    <w:p>
      <w:pPr>
        <w:pStyle w:val="4"/>
        <w:ind w:firstLine="0" w:firstLineChars="0"/>
        <w:rPr>
          <w:rFonts w:hint="eastAsia"/>
          <w:color w:val="auto"/>
          <w:kern w:val="0"/>
          <w:u w:val="none"/>
        </w:rPr>
      </w:pPr>
      <w:bookmarkStart w:id="7" w:name="_Toc2843"/>
      <w:r>
        <w:rPr>
          <w:rFonts w:hint="eastAsia"/>
          <w:color w:val="auto"/>
          <w:kern w:val="0"/>
          <w:u w:val="none"/>
        </w:rPr>
        <w:t>概述</w:t>
      </w:r>
      <w:bookmarkEnd w:id="7"/>
    </w:p>
    <w:p>
      <w:pPr>
        <w:pStyle w:val="76"/>
        <w:spacing w:before="163" w:after="163"/>
        <w:rPr>
          <w:rFonts w:hint="eastAsia" w:eastAsia="宋体"/>
          <w:color w:val="auto"/>
          <w:kern w:val="0"/>
          <w:u w:val="none"/>
          <w:lang w:eastAsia="zh-CN"/>
        </w:rPr>
      </w:pPr>
      <w:bookmarkStart w:id="8" w:name="_Toc3919"/>
      <w:r>
        <w:rPr>
          <w:rFonts w:hint="eastAsia"/>
          <w:color w:val="auto"/>
          <w:kern w:val="0"/>
          <w:u w:val="none"/>
        </w:rPr>
        <w:t>1、</w:t>
      </w:r>
      <w:bookmarkEnd w:id="8"/>
      <w:r>
        <w:rPr>
          <w:rFonts w:hint="eastAsia"/>
          <w:color w:val="auto"/>
          <w:kern w:val="0"/>
          <w:u w:val="none"/>
          <w:lang w:eastAsia="zh-CN"/>
        </w:rPr>
        <w:t>项目由来</w:t>
      </w:r>
    </w:p>
    <w:p>
      <w:pPr>
        <w:ind w:firstLine="480"/>
        <w:jc w:val="both"/>
        <w:rPr>
          <w:color w:val="auto"/>
          <w:u w:val="none"/>
        </w:rPr>
      </w:pPr>
      <w:r>
        <w:rPr>
          <w:rFonts w:hint="eastAsia" w:ascii="宋体" w:hAnsi="宋体" w:eastAsia="宋体" w:cs="宋体"/>
          <w:color w:val="auto"/>
          <w:u w:val="none"/>
          <w:lang w:eastAsia="zh-CN"/>
        </w:rPr>
        <w:t>猛洞河产业园</w:t>
      </w:r>
      <w:r>
        <w:rPr>
          <w:rFonts w:hint="eastAsia" w:ascii="宋体" w:hAnsi="宋体" w:eastAsia="宋体" w:cs="宋体"/>
          <w:color w:val="auto"/>
          <w:u w:val="none"/>
        </w:rPr>
        <w:t>位于永顺县城所在地的灵溪镇</w:t>
      </w:r>
      <w:r>
        <w:rPr>
          <w:rFonts w:hint="eastAsia" w:ascii="宋体" w:hAnsi="宋体" w:cs="宋体"/>
          <w:color w:val="auto"/>
          <w:u w:val="none"/>
          <w:lang w:eastAsia="zh-CN"/>
        </w:rPr>
        <w:t>岔那村</w:t>
      </w:r>
      <w:r>
        <w:rPr>
          <w:rFonts w:hint="eastAsia" w:ascii="宋体" w:hAnsi="宋体" w:eastAsia="宋体" w:cs="宋体"/>
          <w:color w:val="auto"/>
          <w:u w:val="none"/>
        </w:rPr>
        <w:t>、</w:t>
      </w:r>
      <w:r>
        <w:rPr>
          <w:rFonts w:hint="eastAsia" w:ascii="宋体" w:hAnsi="宋体" w:eastAsia="宋体" w:cs="宋体"/>
          <w:bCs/>
          <w:color w:val="auto"/>
          <w:kern w:val="44"/>
          <w:u w:val="none"/>
        </w:rPr>
        <w:t>县城总体规划区的西南部，</w:t>
      </w:r>
      <w:r>
        <w:rPr>
          <w:rFonts w:hint="eastAsia" w:ascii="宋体" w:hAnsi="宋体" w:eastAsia="宋体" w:cs="宋体"/>
          <w:color w:val="auto"/>
          <w:u w:val="none"/>
        </w:rPr>
        <w:t>东临猛洞</w:t>
      </w:r>
      <w:r>
        <w:rPr>
          <w:rFonts w:hint="default" w:ascii="Times New Roman" w:hAnsi="Times New Roman" w:eastAsia="宋体" w:cs="Times New Roman"/>
          <w:color w:val="auto"/>
          <w:u w:val="none"/>
        </w:rPr>
        <w:t>河，南至岔那村风洞路，西抵岔那村老寨，北靠琵琶湾，规划占地面积</w:t>
      </w:r>
      <w:r>
        <w:rPr>
          <w:rFonts w:hint="default" w:ascii="Times New Roman" w:hAnsi="Times New Roman" w:eastAsia="宋体" w:cs="Times New Roman"/>
          <w:color w:val="auto"/>
          <w:u w:val="none"/>
          <w:lang w:val="en-US" w:eastAsia="zh-CN"/>
        </w:rPr>
        <w:t>187</w:t>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lang w:val="en-US" w:eastAsia="zh-CN"/>
        </w:rPr>
        <w:t>83</w:t>
      </w:r>
      <w:r>
        <w:rPr>
          <w:rFonts w:hint="default" w:ascii="Times New Roman" w:hAnsi="Times New Roman" w:eastAsia="宋体" w:cs="Times New Roman"/>
          <w:color w:val="auto"/>
          <w:u w:val="none"/>
        </w:rPr>
        <w:t>公顷</w:t>
      </w:r>
      <w:r>
        <w:rPr>
          <w:rFonts w:hint="default" w:ascii="Times New Roman" w:hAnsi="Times New Roman" w:eastAsia="宋体" w:cs="Times New Roman"/>
          <w:color w:val="auto"/>
          <w:szCs w:val="24"/>
          <w:u w:val="none"/>
        </w:rPr>
        <w:t>，</w:t>
      </w:r>
      <w:r>
        <w:rPr>
          <w:rFonts w:hint="default" w:ascii="Times New Roman" w:hAnsi="Times New Roman" w:eastAsia="宋体" w:cs="Times New Roman"/>
          <w:color w:val="auto"/>
          <w:szCs w:val="24"/>
          <w:u w:val="none"/>
          <w:lang w:eastAsia="zh-CN"/>
        </w:rPr>
        <w:t>发展</w:t>
      </w:r>
      <w:r>
        <w:rPr>
          <w:rFonts w:hint="default" w:ascii="Times New Roman" w:hAnsi="Times New Roman" w:eastAsia="宋体" w:cs="Times New Roman"/>
          <w:color w:val="auto"/>
          <w:szCs w:val="24"/>
          <w:u w:val="none"/>
        </w:rPr>
        <w:t>特色食品加工、电子信息、新型材料产业，配套发展电子商务、物流等其他综合产业</w:t>
      </w:r>
      <w:r>
        <w:rPr>
          <w:rFonts w:hint="default" w:ascii="Times New Roman" w:hAnsi="Times New Roman" w:cs="Times New Roman"/>
          <w:color w:val="auto"/>
          <w:u w:val="none"/>
        </w:rPr>
        <w:t>。</w:t>
      </w:r>
    </w:p>
    <w:p>
      <w:pPr>
        <w:ind w:firstLine="480"/>
        <w:jc w:val="both"/>
        <w:rPr>
          <w:color w:val="auto"/>
          <w:u w:val="none"/>
        </w:rPr>
      </w:pPr>
      <w:r>
        <w:rPr>
          <w:rFonts w:hint="eastAsia"/>
          <w:color w:val="auto"/>
          <w:u w:val="none"/>
          <w:lang w:eastAsia="zh-CN"/>
        </w:rPr>
        <w:t>目前永顺经济开发区猛洞河产业园内</w:t>
      </w:r>
      <w:r>
        <w:rPr>
          <w:rFonts w:hint="eastAsia"/>
          <w:color w:val="auto"/>
          <w:u w:val="none"/>
        </w:rPr>
        <w:t>无完整的污水处理系统，并且园区污水无法接入</w:t>
      </w:r>
      <w:r>
        <w:rPr>
          <w:rFonts w:hint="eastAsia"/>
          <w:color w:val="auto"/>
          <w:u w:val="none"/>
          <w:lang w:eastAsia="zh-CN"/>
        </w:rPr>
        <w:t>永顺县</w:t>
      </w:r>
      <w:r>
        <w:rPr>
          <w:rFonts w:hint="eastAsia"/>
          <w:color w:val="auto"/>
          <w:u w:val="none"/>
        </w:rPr>
        <w:t>县城污水处理厂，园区污水无去向，直接影响了园区的发展进度。</w:t>
      </w:r>
      <w:r>
        <w:rPr>
          <w:color w:val="auto"/>
          <w:u w:val="none"/>
        </w:rPr>
        <w:t>因此，尽快建设</w:t>
      </w:r>
      <w:r>
        <w:rPr>
          <w:rFonts w:hint="eastAsia"/>
          <w:color w:val="auto"/>
          <w:u w:val="none"/>
          <w:lang w:eastAsia="zh-CN"/>
        </w:rPr>
        <w:t>永顺经济开发区猛洞河产业园</w:t>
      </w:r>
      <w:r>
        <w:rPr>
          <w:color w:val="auto"/>
          <w:u w:val="none"/>
        </w:rPr>
        <w:t>污水处理项目是实现</w:t>
      </w:r>
      <w:r>
        <w:rPr>
          <w:rFonts w:hint="eastAsia"/>
          <w:color w:val="auto"/>
          <w:u w:val="none"/>
          <w:lang w:eastAsia="zh-CN"/>
        </w:rPr>
        <w:t>永顺经济开发区猛洞河产业园</w:t>
      </w:r>
      <w:r>
        <w:rPr>
          <w:color w:val="auto"/>
          <w:u w:val="none"/>
        </w:rPr>
        <w:t>控制性详细规划目标、完善园区基础设施配套建设的需要。</w:t>
      </w:r>
    </w:p>
    <w:p>
      <w:pPr>
        <w:jc w:val="both"/>
        <w:rPr>
          <w:color w:val="auto"/>
        </w:rPr>
      </w:pPr>
      <w:r>
        <w:rPr>
          <w:rFonts w:hint="eastAsia"/>
          <w:color w:val="auto"/>
          <w:kern w:val="0"/>
          <w:szCs w:val="21"/>
          <w:u w:val="none"/>
          <w:lang w:eastAsia="zh-CN"/>
        </w:rPr>
        <w:t>湘西猛洞河旅游生态开发区建设有限责任公司</w:t>
      </w:r>
      <w:r>
        <w:rPr>
          <w:rFonts w:hint="eastAsia"/>
          <w:color w:val="auto"/>
          <w:kern w:val="0"/>
          <w:szCs w:val="21"/>
          <w:u w:val="none"/>
        </w:rPr>
        <w:t>规划在</w:t>
      </w:r>
      <w:r>
        <w:rPr>
          <w:rFonts w:hint="eastAsia"/>
          <w:color w:val="auto"/>
          <w:kern w:val="0"/>
          <w:szCs w:val="21"/>
          <w:u w:val="none"/>
          <w:lang w:eastAsia="zh-CN"/>
        </w:rPr>
        <w:t>新城东路与岔那大道交叉口东侧</w:t>
      </w:r>
      <w:r>
        <w:rPr>
          <w:rFonts w:hint="eastAsia"/>
          <w:color w:val="auto"/>
          <w:kern w:val="0"/>
          <w:szCs w:val="21"/>
          <w:u w:val="none"/>
        </w:rPr>
        <w:t>建设</w:t>
      </w:r>
      <w:r>
        <w:rPr>
          <w:rFonts w:hint="eastAsia"/>
          <w:color w:val="auto"/>
          <w:u w:val="none"/>
          <w:lang w:eastAsia="zh-CN"/>
        </w:rPr>
        <w:t>永顺经济开发区猛洞河产业园</w:t>
      </w:r>
      <w:r>
        <w:rPr>
          <w:rFonts w:hint="eastAsia"/>
          <w:color w:val="auto"/>
          <w:kern w:val="0"/>
          <w:szCs w:val="21"/>
          <w:u w:val="none"/>
        </w:rPr>
        <w:t>污水处理厂，目前场地已平整，为</w:t>
      </w:r>
      <w:r>
        <w:rPr>
          <w:color w:val="auto"/>
          <w:u w:val="none"/>
        </w:rPr>
        <w:t>碎石回填区</w:t>
      </w:r>
      <w:r>
        <w:rPr>
          <w:rFonts w:hint="eastAsia"/>
          <w:color w:val="auto"/>
          <w:kern w:val="0"/>
          <w:szCs w:val="21"/>
          <w:u w:val="none"/>
        </w:rPr>
        <w:t>。</w:t>
      </w:r>
      <w:r>
        <w:rPr>
          <w:rFonts w:hint="eastAsia"/>
          <w:color w:val="auto"/>
          <w:kern w:val="0"/>
          <w:szCs w:val="21"/>
          <w:u w:val="none"/>
          <w:lang w:eastAsia="zh-CN"/>
        </w:rPr>
        <w:t>根据</w:t>
      </w:r>
      <w:r>
        <w:rPr>
          <w:rFonts w:hint="eastAsia"/>
          <w:color w:val="auto"/>
          <w:u w:val="none"/>
          <w:lang w:val="en-US" w:eastAsia="zh-CN"/>
        </w:rPr>
        <w:t>《永顺县发展和改革局关于湘西州永顺经济开发区猛洞河产业园基础设施建设项目可行性研究报告的批复》（永发改【2020】29号）可知：“新建污水处理厂：用地面积6100m</w:t>
      </w:r>
      <w:r>
        <w:rPr>
          <w:rFonts w:hint="eastAsia"/>
          <w:color w:val="auto"/>
          <w:u w:val="none"/>
          <w:vertAlign w:val="superscript"/>
          <w:lang w:val="en-US" w:eastAsia="zh-CN"/>
        </w:rPr>
        <w:t>2</w:t>
      </w:r>
      <w:r>
        <w:rPr>
          <w:rFonts w:hint="eastAsia"/>
          <w:color w:val="auto"/>
          <w:u w:val="none"/>
          <w:lang w:val="en-US" w:eastAsia="zh-CN"/>
        </w:rPr>
        <w:t>，总规模为0.5</w:t>
      </w:r>
      <w:r>
        <w:rPr>
          <w:rFonts w:hint="default" w:ascii="Arial" w:hAnsi="Arial" w:cs="Arial"/>
          <w:color w:val="auto"/>
          <w:u w:val="none"/>
          <w:lang w:val="en-US" w:eastAsia="zh-CN"/>
        </w:rPr>
        <w:t>×</w:t>
      </w:r>
      <w:r>
        <w:rPr>
          <w:rFonts w:hint="eastAsia"/>
          <w:color w:val="auto"/>
          <w:u w:val="none"/>
          <w:lang w:val="en-US" w:eastAsia="zh-CN"/>
        </w:rPr>
        <w:t>10</w:t>
      </w:r>
      <w:r>
        <w:rPr>
          <w:rFonts w:hint="eastAsia"/>
          <w:color w:val="auto"/>
          <w:u w:val="none"/>
          <w:vertAlign w:val="superscript"/>
          <w:lang w:val="en-US" w:eastAsia="zh-CN"/>
        </w:rPr>
        <w:t>4</w:t>
      </w:r>
      <w:r>
        <w:rPr>
          <w:rFonts w:hint="eastAsia"/>
          <w:color w:val="auto"/>
          <w:u w:val="none"/>
          <w:lang w:val="en-US" w:eastAsia="zh-CN"/>
        </w:rPr>
        <w:t>m</w:t>
      </w:r>
      <w:r>
        <w:rPr>
          <w:rFonts w:hint="eastAsia"/>
          <w:color w:val="auto"/>
          <w:u w:val="none"/>
          <w:vertAlign w:val="superscript"/>
          <w:lang w:val="en-US" w:eastAsia="zh-CN"/>
        </w:rPr>
        <w:t>3</w:t>
      </w:r>
      <w:r>
        <w:rPr>
          <w:rFonts w:hint="eastAsia"/>
          <w:color w:val="auto"/>
          <w:u w:val="none"/>
          <w:lang w:val="en-US" w:eastAsia="zh-CN"/>
        </w:rPr>
        <w:t>/d，建筑面积为5000平方米，配套污水管网、供排水等设施，投资估算4000万元。”</w:t>
      </w:r>
    </w:p>
    <w:p>
      <w:pPr>
        <w:jc w:val="both"/>
        <w:rPr>
          <w:color w:val="auto"/>
          <w:kern w:val="0"/>
          <w:szCs w:val="21"/>
          <w:u w:val="single"/>
        </w:rPr>
      </w:pPr>
      <w:r>
        <w:rPr>
          <w:rFonts w:hint="eastAsia"/>
          <w:color w:val="auto"/>
          <w:kern w:val="0"/>
          <w:u w:val="single"/>
          <w:lang w:eastAsia="zh-CN"/>
        </w:rPr>
        <w:t>由于猛洞河产业园内入驻企业较少且企业废水需要处理外排的废水量较少，基本上处理后回用，污水处理厂建成后主要用于接收猛洞河产业园南部工业集中区的企事业污水，需处理的废水量较少。</w:t>
      </w:r>
      <w:r>
        <w:rPr>
          <w:rFonts w:hint="eastAsia"/>
          <w:color w:val="auto"/>
          <w:kern w:val="0"/>
          <w:szCs w:val="21"/>
          <w:u w:val="single"/>
        </w:rPr>
        <w:t>根据</w:t>
      </w:r>
      <w:r>
        <w:rPr>
          <w:rFonts w:hint="eastAsia"/>
          <w:color w:val="auto"/>
          <w:kern w:val="0"/>
          <w:szCs w:val="21"/>
          <w:u w:val="single"/>
          <w:lang w:eastAsia="zh-CN"/>
        </w:rPr>
        <w:t>本项目污水量预测及实际纳污情况</w:t>
      </w:r>
      <w:r>
        <w:rPr>
          <w:rFonts w:hint="eastAsia"/>
          <w:color w:val="auto"/>
          <w:kern w:val="0"/>
          <w:szCs w:val="21"/>
          <w:u w:val="single"/>
        </w:rPr>
        <w:t>，确认</w:t>
      </w:r>
      <w:r>
        <w:rPr>
          <w:rFonts w:hint="eastAsia"/>
          <w:color w:val="auto"/>
          <w:u w:val="single"/>
          <w:lang w:eastAsia="zh-CN"/>
        </w:rPr>
        <w:t>永顺经济开发区猛洞河产业园</w:t>
      </w:r>
      <w:r>
        <w:rPr>
          <w:rFonts w:hint="eastAsia"/>
          <w:color w:val="auto"/>
          <w:kern w:val="0"/>
          <w:szCs w:val="21"/>
          <w:u w:val="single"/>
        </w:rPr>
        <w:t>污水处理厂</w:t>
      </w:r>
      <w:r>
        <w:rPr>
          <w:rFonts w:hint="eastAsia"/>
          <w:color w:val="auto"/>
          <w:kern w:val="0"/>
          <w:szCs w:val="21"/>
          <w:u w:val="single"/>
          <w:lang w:eastAsia="zh-CN"/>
        </w:rPr>
        <w:t>总建设规模为</w:t>
      </w:r>
      <w:r>
        <w:rPr>
          <w:rFonts w:hint="eastAsia"/>
          <w:color w:val="auto"/>
          <w:kern w:val="0"/>
          <w:szCs w:val="21"/>
          <w:u w:val="single"/>
          <w:lang w:val="en-US" w:eastAsia="zh-CN"/>
        </w:rPr>
        <w:t>1000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/d</w:t>
      </w:r>
      <w:r>
        <w:rPr>
          <w:rFonts w:hint="eastAsia"/>
          <w:color w:val="auto"/>
          <w:kern w:val="0"/>
          <w:szCs w:val="21"/>
          <w:u w:val="single"/>
          <w:lang w:eastAsia="zh-CN"/>
        </w:rPr>
        <w:t>，一期</w:t>
      </w:r>
      <w:r>
        <w:rPr>
          <w:rFonts w:hint="eastAsia"/>
          <w:color w:val="auto"/>
          <w:kern w:val="0"/>
          <w:szCs w:val="21"/>
          <w:u w:val="single"/>
        </w:rPr>
        <w:t>建设规模为</w:t>
      </w:r>
      <w:r>
        <w:rPr>
          <w:rFonts w:hint="eastAsia"/>
          <w:color w:val="auto"/>
          <w:kern w:val="0"/>
          <w:szCs w:val="21"/>
          <w:u w:val="single"/>
          <w:lang w:val="en-US" w:eastAsia="zh-CN"/>
        </w:rPr>
        <w:t>4</w:t>
      </w:r>
      <w:r>
        <w:rPr>
          <w:color w:val="auto"/>
          <w:kern w:val="0"/>
          <w:szCs w:val="21"/>
          <w:u w:val="single"/>
        </w:rPr>
        <w:t>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/d</w:t>
      </w:r>
      <w:r>
        <w:rPr>
          <w:rFonts w:hint="eastAsia"/>
          <w:color w:val="auto"/>
          <w:kern w:val="0"/>
          <w:szCs w:val="21"/>
          <w:u w:val="single"/>
          <w:lang w:eastAsia="zh-CN"/>
        </w:rPr>
        <w:t>，二期新增</w:t>
      </w:r>
      <w:r>
        <w:rPr>
          <w:rFonts w:hint="eastAsia"/>
          <w:color w:val="auto"/>
          <w:kern w:val="0"/>
          <w:szCs w:val="21"/>
          <w:u w:val="single"/>
          <w:lang w:val="en-US" w:eastAsia="zh-CN"/>
        </w:rPr>
        <w:t>3套MBR设备（单套处理规模200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/d</w:t>
      </w:r>
      <w:r>
        <w:rPr>
          <w:rFonts w:hint="eastAsia"/>
          <w:color w:val="auto"/>
          <w:kern w:val="0"/>
          <w:szCs w:val="21"/>
          <w:u w:val="single"/>
          <w:lang w:val="en-US" w:eastAsia="zh-CN"/>
        </w:rPr>
        <w:t>）后总</w:t>
      </w:r>
      <w:r>
        <w:rPr>
          <w:rFonts w:hint="eastAsia"/>
          <w:color w:val="auto"/>
          <w:kern w:val="0"/>
          <w:szCs w:val="21"/>
          <w:u w:val="single"/>
        </w:rPr>
        <w:t>建设规模为</w:t>
      </w:r>
      <w:r>
        <w:rPr>
          <w:rFonts w:hint="eastAsia"/>
          <w:color w:val="auto"/>
          <w:kern w:val="0"/>
          <w:szCs w:val="21"/>
          <w:u w:val="single"/>
          <w:lang w:val="en-US" w:eastAsia="zh-CN"/>
        </w:rPr>
        <w:t>10</w:t>
      </w:r>
      <w:r>
        <w:rPr>
          <w:color w:val="auto"/>
          <w:kern w:val="0"/>
          <w:szCs w:val="21"/>
          <w:u w:val="single"/>
        </w:rPr>
        <w:t>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/d</w:t>
      </w:r>
      <w:r>
        <w:rPr>
          <w:rFonts w:hint="eastAsia"/>
          <w:color w:val="auto"/>
          <w:kern w:val="0"/>
          <w:szCs w:val="21"/>
          <w:u w:val="single"/>
          <w:lang w:eastAsia="zh-CN"/>
        </w:rPr>
        <w:t>。</w:t>
      </w:r>
      <w:r>
        <w:rPr>
          <w:rFonts w:hint="eastAsia"/>
          <w:color w:val="auto"/>
          <w:kern w:val="0"/>
          <w:u w:val="single"/>
        </w:rPr>
        <w:t>本次评价包括</w:t>
      </w:r>
      <w:r>
        <w:rPr>
          <w:rFonts w:hint="eastAsia"/>
          <w:color w:val="auto"/>
          <w:u w:val="single"/>
          <w:lang w:eastAsia="zh-CN"/>
        </w:rPr>
        <w:t>永顺经济开发区猛洞河产业园</w:t>
      </w:r>
      <w:r>
        <w:rPr>
          <w:rFonts w:hint="eastAsia"/>
          <w:color w:val="auto"/>
          <w:kern w:val="0"/>
          <w:szCs w:val="21"/>
          <w:u w:val="single"/>
        </w:rPr>
        <w:t>污水处理厂</w:t>
      </w:r>
      <w:r>
        <w:rPr>
          <w:rFonts w:hint="eastAsia"/>
          <w:color w:val="auto"/>
          <w:kern w:val="0"/>
          <w:szCs w:val="21"/>
          <w:u w:val="single"/>
          <w:lang w:eastAsia="zh-CN"/>
        </w:rPr>
        <w:t>一期、二期</w:t>
      </w:r>
      <w:r>
        <w:rPr>
          <w:rFonts w:hint="eastAsia"/>
          <w:color w:val="auto"/>
          <w:kern w:val="0"/>
          <w:szCs w:val="21"/>
          <w:u w:val="single"/>
        </w:rPr>
        <w:t>建设</w:t>
      </w:r>
      <w:r>
        <w:rPr>
          <w:rFonts w:hint="eastAsia"/>
          <w:color w:val="auto"/>
          <w:kern w:val="0"/>
          <w:szCs w:val="21"/>
          <w:u w:val="single"/>
          <w:lang w:eastAsia="zh-CN"/>
        </w:rPr>
        <w:t>工程及管网铺设工程</w:t>
      </w:r>
      <w:r>
        <w:rPr>
          <w:rFonts w:hint="eastAsia"/>
          <w:color w:val="auto"/>
          <w:kern w:val="0"/>
          <w:u w:val="single"/>
        </w:rPr>
        <w:t>，</w:t>
      </w:r>
      <w:r>
        <w:rPr>
          <w:color w:val="auto"/>
          <w:kern w:val="0"/>
          <w:szCs w:val="21"/>
          <w:u w:val="single"/>
        </w:rPr>
        <w:t>本</w:t>
      </w:r>
      <w:r>
        <w:rPr>
          <w:rFonts w:hint="eastAsia"/>
          <w:color w:val="auto"/>
          <w:kern w:val="0"/>
          <w:szCs w:val="21"/>
          <w:u w:val="single"/>
        </w:rPr>
        <w:t>工程</w:t>
      </w:r>
      <w:r>
        <w:rPr>
          <w:color w:val="auto"/>
          <w:kern w:val="0"/>
          <w:szCs w:val="21"/>
          <w:u w:val="single"/>
        </w:rPr>
        <w:t>污水处理厂厂区总</w:t>
      </w:r>
      <w:r>
        <w:rPr>
          <w:rFonts w:hint="eastAsia"/>
          <w:color w:val="auto"/>
          <w:kern w:val="0"/>
          <w:szCs w:val="21"/>
          <w:u w:val="single"/>
        </w:rPr>
        <w:t>征地</w:t>
      </w:r>
      <w:r>
        <w:rPr>
          <w:color w:val="auto"/>
          <w:kern w:val="0"/>
          <w:szCs w:val="21"/>
          <w:u w:val="single"/>
        </w:rPr>
        <w:t>面积</w:t>
      </w:r>
      <w:r>
        <w:rPr>
          <w:rFonts w:hint="eastAsia"/>
          <w:color w:val="auto"/>
          <w:kern w:val="0"/>
          <w:szCs w:val="21"/>
          <w:u w:val="single"/>
          <w:lang w:val="en-US" w:eastAsia="zh-CN"/>
        </w:rPr>
        <w:t>816.48</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szCs w:val="21"/>
          <w:u w:val="single"/>
        </w:rPr>
        <w:t>，</w:t>
      </w:r>
      <w:r>
        <w:rPr>
          <w:rFonts w:hint="eastAsia"/>
          <w:color w:val="auto"/>
          <w:kern w:val="0"/>
          <w:szCs w:val="21"/>
          <w:u w:val="single"/>
          <w:lang w:eastAsia="zh-CN"/>
        </w:rPr>
        <w:t>总建筑占地</w:t>
      </w:r>
      <w:r>
        <w:rPr>
          <w:rFonts w:hint="eastAsia"/>
          <w:color w:val="auto"/>
          <w:kern w:val="0"/>
          <w:szCs w:val="21"/>
          <w:u w:val="single"/>
        </w:rPr>
        <w:t>面积</w:t>
      </w:r>
      <w:r>
        <w:rPr>
          <w:rFonts w:hint="eastAsia"/>
          <w:color w:val="auto"/>
          <w:kern w:val="0"/>
          <w:szCs w:val="21"/>
          <w:u w:val="single"/>
          <w:lang w:val="en-US" w:eastAsia="zh-CN"/>
        </w:rPr>
        <w:t>570.56</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szCs w:val="21"/>
          <w:u w:val="single"/>
        </w:rPr>
        <w:t>，</w:t>
      </w:r>
      <w:r>
        <w:rPr>
          <w:rFonts w:hint="eastAsia"/>
          <w:color w:val="auto"/>
          <w:kern w:val="0"/>
          <w:szCs w:val="21"/>
          <w:u w:val="single"/>
          <w:lang w:eastAsia="zh-CN"/>
        </w:rPr>
        <w:t>操作间占地</w:t>
      </w:r>
      <w:r>
        <w:rPr>
          <w:rFonts w:hint="eastAsia"/>
          <w:color w:val="auto"/>
          <w:kern w:val="0"/>
          <w:szCs w:val="21"/>
          <w:u w:val="single"/>
        </w:rPr>
        <w:t>面积</w:t>
      </w:r>
      <w:r>
        <w:rPr>
          <w:rFonts w:hint="eastAsia"/>
          <w:color w:val="auto"/>
          <w:kern w:val="0"/>
          <w:szCs w:val="21"/>
          <w:u w:val="single"/>
          <w:lang w:val="en-US" w:eastAsia="zh-CN"/>
        </w:rPr>
        <w:t>54.60</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u w:val="single"/>
          <w:lang w:eastAsia="zh-CN"/>
        </w:rPr>
        <w:t>。</w:t>
      </w:r>
      <w:r>
        <w:rPr>
          <w:color w:val="auto"/>
          <w:kern w:val="0"/>
          <w:u w:val="single"/>
        </w:rPr>
        <w:t>工程新建单体有</w:t>
      </w:r>
      <w:r>
        <w:rPr>
          <w:rFonts w:hint="eastAsia"/>
          <w:color w:val="auto"/>
          <w:spacing w:val="-8"/>
          <w:u w:val="single"/>
          <w:lang w:eastAsia="zh-CN"/>
        </w:rPr>
        <w:t>格栅渠</w:t>
      </w:r>
      <w:r>
        <w:rPr>
          <w:color w:val="auto"/>
          <w:spacing w:val="-8"/>
          <w:u w:val="single"/>
        </w:rPr>
        <w:t>、沉砂池、调节池、</w:t>
      </w:r>
      <w:r>
        <w:rPr>
          <w:rFonts w:hint="eastAsia"/>
          <w:color w:val="auto"/>
          <w:spacing w:val="-8"/>
          <w:u w:val="single"/>
          <w:lang w:val="en-US" w:eastAsia="zh-CN"/>
        </w:rPr>
        <w:t>MBR设备</w:t>
      </w:r>
      <w:r>
        <w:rPr>
          <w:color w:val="auto"/>
          <w:spacing w:val="-2"/>
          <w:u w:val="single"/>
        </w:rPr>
        <w:t>、</w:t>
      </w:r>
      <w:r>
        <w:rPr>
          <w:rFonts w:hint="eastAsia"/>
          <w:color w:val="auto"/>
          <w:spacing w:val="-2"/>
          <w:u w:val="single"/>
          <w:lang w:eastAsia="zh-CN"/>
        </w:rPr>
        <w:t>清水</w:t>
      </w:r>
      <w:r>
        <w:rPr>
          <w:color w:val="auto"/>
          <w:spacing w:val="-2"/>
          <w:u w:val="single"/>
        </w:rPr>
        <w:t>池</w:t>
      </w:r>
      <w:r>
        <w:rPr>
          <w:rFonts w:hint="eastAsia"/>
          <w:color w:val="auto"/>
          <w:u w:val="single"/>
          <w:lang w:eastAsia="zh-CN"/>
        </w:rPr>
        <w:t>及辅助用房，铺设污水收集管道</w:t>
      </w:r>
      <w:r>
        <w:rPr>
          <w:rFonts w:hint="eastAsia"/>
          <w:color w:val="auto"/>
          <w:u w:val="single"/>
          <w:lang w:val="en-US" w:eastAsia="zh-CN"/>
        </w:rPr>
        <w:t>1500m，排水管道2050m</w:t>
      </w:r>
      <w:r>
        <w:rPr>
          <w:rFonts w:hint="eastAsia"/>
          <w:color w:val="auto"/>
          <w:kern w:val="0"/>
          <w:u w:val="single"/>
        </w:rPr>
        <w:t>。本工程污水处理厂主要用于接收</w:t>
      </w:r>
      <w:r>
        <w:rPr>
          <w:rFonts w:hint="eastAsia"/>
          <w:color w:val="auto"/>
          <w:kern w:val="0"/>
          <w:u w:val="single"/>
          <w:lang w:eastAsia="zh-CN"/>
        </w:rPr>
        <w:t>永顺经济开发区猛洞河产业园内的企事业污水</w:t>
      </w:r>
      <w:r>
        <w:rPr>
          <w:rFonts w:hint="eastAsia"/>
          <w:color w:val="auto"/>
          <w:kern w:val="0"/>
          <w:u w:val="single"/>
        </w:rPr>
        <w:t>。</w:t>
      </w:r>
      <w:r>
        <w:rPr>
          <w:color w:val="auto"/>
          <w:szCs w:val="22"/>
          <w:u w:val="single"/>
        </w:rPr>
        <w:t>园区规划建设一个</w:t>
      </w:r>
      <w:r>
        <w:rPr>
          <w:rFonts w:hint="eastAsia" w:ascii="宋体" w:hAnsi="宋体" w:eastAsia="宋体" w:cs="宋体"/>
          <w:bCs/>
          <w:color w:val="auto"/>
          <w:kern w:val="44"/>
          <w:u w:val="single"/>
        </w:rPr>
        <w:t>以电子信息、特色食品加工、新型材料产业为主导，配套电子商务、现代物流业</w:t>
      </w:r>
      <w:r>
        <w:rPr>
          <w:color w:val="auto"/>
          <w:szCs w:val="22"/>
          <w:u w:val="single"/>
        </w:rPr>
        <w:t>的湖南现代</w:t>
      </w:r>
      <w:r>
        <w:rPr>
          <w:rFonts w:hint="eastAsia"/>
          <w:color w:val="auto"/>
          <w:szCs w:val="22"/>
          <w:u w:val="single"/>
          <w:lang w:eastAsia="zh-CN"/>
        </w:rPr>
        <w:t>化工业园</w:t>
      </w:r>
      <w:r>
        <w:rPr>
          <w:rFonts w:hint="eastAsia"/>
          <w:color w:val="auto"/>
          <w:szCs w:val="22"/>
          <w:u w:val="single"/>
        </w:rPr>
        <w:t>，</w:t>
      </w:r>
      <w:r>
        <w:rPr>
          <w:rFonts w:hint="eastAsia"/>
          <w:color w:val="auto"/>
          <w:kern w:val="0"/>
          <w:u w:val="single"/>
          <w:lang w:eastAsia="zh-CN"/>
        </w:rPr>
        <w:t>实际运营过程中</w:t>
      </w:r>
      <w:r>
        <w:rPr>
          <w:color w:val="auto"/>
          <w:kern w:val="0"/>
          <w:u w:val="single"/>
        </w:rPr>
        <w:t>企业排放的污废水</w:t>
      </w:r>
      <w:r>
        <w:rPr>
          <w:rFonts w:hint="eastAsia"/>
          <w:color w:val="auto"/>
          <w:kern w:val="0"/>
          <w:u w:val="single"/>
        </w:rPr>
        <w:t>不涉及重金属</w:t>
      </w:r>
      <w:r>
        <w:rPr>
          <w:color w:val="auto"/>
          <w:kern w:val="0"/>
          <w:u w:val="single"/>
        </w:rPr>
        <w:t>。</w:t>
      </w:r>
      <w:r>
        <w:rPr>
          <w:rFonts w:hint="eastAsia"/>
          <w:color w:val="auto"/>
          <w:kern w:val="0"/>
          <w:u w:val="single"/>
        </w:rPr>
        <w:t>污水处理厂采用“</w:t>
      </w:r>
      <w:r>
        <w:rPr>
          <w:rFonts w:hint="eastAsia"/>
          <w:color w:val="auto"/>
          <w:u w:val="single"/>
          <w:lang w:eastAsia="zh-CN"/>
        </w:rPr>
        <w:t>格栅渠</w:t>
      </w:r>
      <w:r>
        <w:rPr>
          <w:rFonts w:hint="eastAsia"/>
          <w:color w:val="auto"/>
          <w:u w:val="single"/>
        </w:rPr>
        <w:t>→沉砂池→调节池→</w:t>
      </w:r>
      <w:r>
        <w:rPr>
          <w:rFonts w:hint="eastAsia"/>
          <w:color w:val="auto"/>
          <w:u w:val="single"/>
          <w:lang w:val="en-US" w:eastAsia="zh-CN"/>
        </w:rPr>
        <w:t>MBR一体化设备</w:t>
      </w:r>
      <w:r>
        <w:rPr>
          <w:rFonts w:hint="eastAsia"/>
          <w:color w:val="auto"/>
          <w:u w:val="single"/>
        </w:rPr>
        <w:t>→紫外消毒→</w:t>
      </w:r>
      <w:r>
        <w:rPr>
          <w:rFonts w:hint="eastAsia"/>
          <w:color w:val="auto"/>
          <w:u w:val="single"/>
          <w:lang w:eastAsia="zh-CN"/>
        </w:rPr>
        <w:t>清水池</w:t>
      </w:r>
      <w:r>
        <w:rPr>
          <w:rFonts w:hint="eastAsia"/>
          <w:color w:val="auto"/>
          <w:kern w:val="0"/>
          <w:u w:val="single"/>
        </w:rPr>
        <w:t>”处理工艺，污水经处理达到《城镇污水处理厂污染物排放标准》（GB18918-2002）表1中一级A标准</w:t>
      </w:r>
      <w:r>
        <w:rPr>
          <w:color w:val="auto"/>
          <w:kern w:val="0"/>
          <w:u w:val="single"/>
        </w:rPr>
        <w:t>。</w:t>
      </w:r>
    </w:p>
    <w:p>
      <w:pPr>
        <w:ind w:firstLine="480"/>
        <w:jc w:val="both"/>
        <w:rPr>
          <w:rFonts w:hint="eastAsia"/>
          <w:color w:val="auto"/>
          <w:kern w:val="0"/>
          <w:u w:val="none"/>
        </w:rPr>
      </w:pPr>
      <w:r>
        <w:rPr>
          <w:rFonts w:hint="eastAsia"/>
          <w:color w:val="auto"/>
          <w:kern w:val="0"/>
          <w:u w:val="none"/>
        </w:rPr>
        <w:t>项目施工期的废水、废气、</w:t>
      </w:r>
      <w:r>
        <w:rPr>
          <w:rFonts w:hint="eastAsia"/>
          <w:color w:val="auto"/>
          <w:kern w:val="0"/>
          <w:u w:val="none"/>
          <w:lang w:eastAsia="zh-CN"/>
        </w:rPr>
        <w:t>噪声、</w:t>
      </w:r>
      <w:r>
        <w:rPr>
          <w:rFonts w:hint="eastAsia"/>
          <w:color w:val="auto"/>
          <w:kern w:val="0"/>
          <w:u w:val="none"/>
        </w:rPr>
        <w:t>固废会对周边环境造成一定的影响，产生的污染物需妥善处置，施工期的主要环境影响体现于项目占地以及项目施工对</w:t>
      </w:r>
      <w:r>
        <w:rPr>
          <w:rFonts w:hint="eastAsia"/>
          <w:color w:val="auto"/>
          <w:kern w:val="0"/>
          <w:u w:val="none"/>
          <w:lang w:eastAsia="zh-CN"/>
        </w:rPr>
        <w:t>环境</w:t>
      </w:r>
      <w:r>
        <w:rPr>
          <w:rFonts w:hint="eastAsia"/>
          <w:color w:val="auto"/>
          <w:kern w:val="0"/>
          <w:u w:val="none"/>
        </w:rPr>
        <w:t>的影响，根据现场调查，</w:t>
      </w:r>
      <w:r>
        <w:rPr>
          <w:rFonts w:hint="eastAsia"/>
          <w:color w:val="auto"/>
          <w:kern w:val="0"/>
          <w:u w:val="none"/>
          <w:lang w:eastAsia="zh-CN"/>
        </w:rPr>
        <w:t>项目位于猛洞河产业园区内，已高度工业化</w:t>
      </w:r>
      <w:r>
        <w:rPr>
          <w:rFonts w:hint="eastAsia"/>
          <w:color w:val="auto"/>
          <w:kern w:val="0"/>
          <w:u w:val="none"/>
        </w:rPr>
        <w:t>，工程建设</w:t>
      </w:r>
      <w:r>
        <w:rPr>
          <w:rFonts w:hint="eastAsia"/>
          <w:color w:val="auto"/>
          <w:kern w:val="0"/>
          <w:u w:val="none"/>
          <w:lang w:eastAsia="zh-CN"/>
        </w:rPr>
        <w:t>对区域内生态影响较小</w:t>
      </w:r>
      <w:r>
        <w:rPr>
          <w:rFonts w:hint="eastAsia"/>
          <w:color w:val="auto"/>
          <w:kern w:val="0"/>
          <w:u w:val="none"/>
        </w:rPr>
        <w:t>，</w:t>
      </w:r>
      <w:r>
        <w:rPr>
          <w:rFonts w:hint="eastAsia"/>
          <w:color w:val="auto"/>
          <w:kern w:val="0"/>
          <w:u w:val="none"/>
          <w:lang w:eastAsia="zh-CN"/>
        </w:rPr>
        <w:t>但仍然会</w:t>
      </w:r>
      <w:r>
        <w:rPr>
          <w:rFonts w:hint="eastAsia"/>
          <w:color w:val="auto"/>
          <w:kern w:val="0"/>
          <w:u w:val="none"/>
        </w:rPr>
        <w:t>对区域</w:t>
      </w:r>
      <w:r>
        <w:rPr>
          <w:rFonts w:hint="eastAsia"/>
          <w:color w:val="auto"/>
          <w:kern w:val="0"/>
          <w:u w:val="none"/>
          <w:lang w:eastAsia="zh-CN"/>
        </w:rPr>
        <w:t>水土流失等</w:t>
      </w:r>
      <w:r>
        <w:rPr>
          <w:rFonts w:hint="eastAsia"/>
          <w:color w:val="auto"/>
          <w:kern w:val="0"/>
          <w:u w:val="none"/>
        </w:rPr>
        <w:t>生态造成一定影响，因此，施工单位应规范施工，有效的采取本环评提出的环境保护措施</w:t>
      </w:r>
      <w:r>
        <w:rPr>
          <w:rFonts w:hint="eastAsia"/>
          <w:color w:val="auto"/>
          <w:kern w:val="0"/>
          <w:u w:val="none"/>
          <w:lang w:eastAsia="zh-CN"/>
        </w:rPr>
        <w:t>；</w:t>
      </w:r>
      <w:r>
        <w:rPr>
          <w:rFonts w:hint="eastAsia"/>
          <w:color w:val="auto"/>
          <w:kern w:val="0"/>
          <w:u w:val="none"/>
        </w:rPr>
        <w:t>运营期会产生一定量的固体废物（</w:t>
      </w:r>
      <w:r>
        <w:rPr>
          <w:rFonts w:hint="eastAsia"/>
          <w:color w:val="auto"/>
          <w:kern w:val="0"/>
          <w:u w:val="none"/>
          <w:lang w:eastAsia="zh-CN"/>
        </w:rPr>
        <w:t>栅渣、沉砂、</w:t>
      </w:r>
      <w:r>
        <w:rPr>
          <w:rFonts w:hint="eastAsia"/>
          <w:color w:val="auto"/>
          <w:kern w:val="0"/>
          <w:u w:val="none"/>
        </w:rPr>
        <w:t>污泥、</w:t>
      </w:r>
      <w:r>
        <w:rPr>
          <w:rFonts w:hint="eastAsia"/>
          <w:color w:val="auto"/>
          <w:kern w:val="0"/>
          <w:u w:val="none"/>
          <w:lang w:eastAsia="zh-CN"/>
        </w:rPr>
        <w:t>废紫外灯管、废活性炭、</w:t>
      </w:r>
      <w:r>
        <w:rPr>
          <w:rFonts w:hint="eastAsia"/>
          <w:color w:val="auto"/>
          <w:kern w:val="0"/>
          <w:u w:val="none"/>
        </w:rPr>
        <w:t>生活垃圾）、噪声（</w:t>
      </w:r>
      <w:r>
        <w:rPr>
          <w:rFonts w:hint="eastAsia"/>
          <w:color w:val="auto"/>
          <w:kern w:val="0"/>
          <w:u w:val="none"/>
          <w:lang w:eastAsia="zh-CN"/>
        </w:rPr>
        <w:t>提升泵、污泥泵</w:t>
      </w:r>
      <w:r>
        <w:rPr>
          <w:rFonts w:hint="eastAsia"/>
          <w:color w:val="auto"/>
          <w:kern w:val="0"/>
          <w:u w:val="none"/>
        </w:rPr>
        <w:t>等）、大气污染物（臭气）以及水污染物（尾水排放），运营期环境影响的主要特点表现为污水处理厂尾水的排放对</w:t>
      </w:r>
      <w:r>
        <w:rPr>
          <w:rFonts w:hint="eastAsia"/>
          <w:color w:val="auto"/>
          <w:kern w:val="0"/>
          <w:u w:val="none"/>
          <w:lang w:eastAsia="zh-CN"/>
        </w:rPr>
        <w:t>猛洞河</w:t>
      </w:r>
      <w:r>
        <w:rPr>
          <w:rFonts w:hint="eastAsia"/>
          <w:color w:val="auto"/>
          <w:kern w:val="0"/>
          <w:u w:val="none"/>
        </w:rPr>
        <w:t>的影响。因此，运营期间应严格控制进水水质以及尾水的排放，满足进水接管要求以及尾水达标排放。</w:t>
      </w:r>
    </w:p>
    <w:p>
      <w:pPr>
        <w:pStyle w:val="76"/>
        <w:spacing w:before="163" w:after="163"/>
        <w:rPr>
          <w:rFonts w:hint="eastAsia"/>
          <w:color w:val="auto"/>
          <w:kern w:val="0"/>
          <w:u w:val="none"/>
        </w:rPr>
      </w:pPr>
      <w:bookmarkStart w:id="9" w:name="_Toc18952"/>
      <w:r>
        <w:rPr>
          <w:rFonts w:hint="eastAsia"/>
          <w:color w:val="auto"/>
          <w:kern w:val="0"/>
          <w:u w:val="none"/>
        </w:rPr>
        <w:t>2、环境影响评价的工作过程</w:t>
      </w:r>
      <w:bookmarkEnd w:id="9"/>
      <w:bookmarkStart w:id="10" w:name="_Toc489349330"/>
      <w:bookmarkStart w:id="11" w:name="_Toc489350098"/>
      <w:bookmarkStart w:id="12" w:name="_Toc489349947"/>
    </w:p>
    <w:p>
      <w:pPr>
        <w:ind w:firstLine="480"/>
        <w:jc w:val="both"/>
        <w:rPr>
          <w:rFonts w:hint="eastAsia"/>
          <w:color w:val="auto"/>
          <w:u w:val="none"/>
        </w:rPr>
      </w:pPr>
      <w:r>
        <w:rPr>
          <w:rFonts w:hint="eastAsia"/>
          <w:color w:val="auto"/>
          <w:u w:val="none"/>
        </w:rPr>
        <w:t>根</w:t>
      </w:r>
      <w:r>
        <w:rPr>
          <w:color w:val="auto"/>
          <w:u w:val="none"/>
        </w:rPr>
        <w:t>据</w:t>
      </w:r>
      <w:r>
        <w:rPr>
          <w:rFonts w:hint="eastAsia"/>
          <w:color w:val="auto"/>
          <w:u w:val="none"/>
        </w:rPr>
        <w:t>《中华人民共和国环境保护法》、</w:t>
      </w:r>
      <w:r>
        <w:rPr>
          <w:color w:val="auto"/>
          <w:u w:val="none"/>
        </w:rPr>
        <w:t>《中华人民共和国环境影响评价法》、《建设项目环境保护管理条例》等有关规定，</w:t>
      </w:r>
      <w:r>
        <w:rPr>
          <w:rFonts w:hint="eastAsia"/>
          <w:color w:val="auto"/>
          <w:u w:val="none"/>
        </w:rPr>
        <w:t>凡是从事对环境影响的建设项目都需要执行环境影响评价制度，本项目为工业污水处理厂建设项目，对照《建设项目环境影响评价分类管理名录》（</w:t>
      </w:r>
      <w:r>
        <w:rPr>
          <w:rFonts w:hint="eastAsia"/>
          <w:color w:val="auto"/>
          <w:u w:val="none"/>
          <w:lang w:val="en-US" w:eastAsia="zh-CN"/>
        </w:rPr>
        <w:t>2021年版</w:t>
      </w:r>
      <w:r>
        <w:rPr>
          <w:rFonts w:hint="eastAsia"/>
          <w:color w:val="auto"/>
          <w:u w:val="none"/>
        </w:rPr>
        <w:t>），</w:t>
      </w:r>
      <w:r>
        <w:rPr>
          <w:rFonts w:hint="eastAsia"/>
          <w:color w:val="auto"/>
          <w:u w:val="none"/>
          <w:lang w:eastAsia="zh-CN"/>
        </w:rPr>
        <w:t>湖南永顺经济开发区猛洞河产业园污水处理厂建设项目</w:t>
      </w:r>
      <w:r>
        <w:rPr>
          <w:rFonts w:hint="eastAsia"/>
          <w:color w:val="auto"/>
          <w:u w:val="none"/>
        </w:rPr>
        <w:t>属于“</w:t>
      </w:r>
      <w:r>
        <w:rPr>
          <w:rFonts w:hint="eastAsia"/>
          <w:color w:val="auto"/>
          <w:u w:val="none"/>
          <w:lang w:eastAsia="zh-CN"/>
        </w:rPr>
        <w:t>四</w:t>
      </w:r>
      <w:r>
        <w:rPr>
          <w:rFonts w:hint="eastAsia"/>
          <w:color w:val="auto"/>
          <w:u w:val="none"/>
        </w:rPr>
        <w:t>十三、水的生产与供应业—9</w:t>
      </w:r>
      <w:r>
        <w:rPr>
          <w:rFonts w:hint="eastAsia"/>
          <w:color w:val="auto"/>
          <w:u w:val="none"/>
          <w:lang w:val="en-US" w:eastAsia="zh-CN"/>
        </w:rPr>
        <w:t>5</w:t>
      </w:r>
      <w:r>
        <w:rPr>
          <w:rFonts w:hint="eastAsia"/>
          <w:color w:val="auto"/>
          <w:u w:val="none"/>
          <w:lang w:eastAsia="zh-CN"/>
        </w:rPr>
        <w:t>污水处理及其再生利用</w:t>
      </w:r>
      <w:r>
        <w:rPr>
          <w:rFonts w:hint="eastAsia"/>
          <w:color w:val="auto"/>
          <w:u w:val="none"/>
        </w:rPr>
        <w:t>—新建、扩建</w:t>
      </w:r>
      <w:r>
        <w:rPr>
          <w:rFonts w:hint="eastAsia"/>
          <w:color w:val="auto"/>
          <w:u w:val="none"/>
          <w:lang w:eastAsia="zh-CN"/>
        </w:rPr>
        <w:t>工业废水集中处理的</w:t>
      </w:r>
      <w:r>
        <w:rPr>
          <w:rFonts w:hint="eastAsia"/>
          <w:color w:val="auto"/>
          <w:u w:val="none"/>
        </w:rPr>
        <w:t>”须编制环境影响报告书，</w:t>
      </w:r>
      <w:r>
        <w:rPr>
          <w:rFonts w:hint="eastAsia"/>
          <w:color w:val="auto"/>
          <w:u w:val="none"/>
          <w:lang w:eastAsia="zh-CN"/>
        </w:rPr>
        <w:t>湘西猛洞河旅游生态开发区建设有限责任公司</w:t>
      </w:r>
      <w:r>
        <w:rPr>
          <w:rFonts w:hint="eastAsia"/>
          <w:color w:val="auto"/>
          <w:u w:val="none"/>
        </w:rPr>
        <w:t>委托</w:t>
      </w:r>
      <w:r>
        <w:rPr>
          <w:rFonts w:hint="eastAsia"/>
          <w:color w:val="auto"/>
          <w:u w:val="none"/>
          <w:lang w:eastAsia="zh-CN"/>
        </w:rPr>
        <w:t>长沙博大环保科技有限公司</w:t>
      </w:r>
      <w:r>
        <w:rPr>
          <w:rFonts w:hint="eastAsia"/>
          <w:color w:val="auto"/>
          <w:u w:val="none"/>
        </w:rPr>
        <w:t>承担</w:t>
      </w:r>
      <w:r>
        <w:rPr>
          <w:rFonts w:hint="eastAsia"/>
          <w:color w:val="auto"/>
          <w:u w:val="none"/>
          <w:lang w:eastAsia="zh-CN"/>
        </w:rPr>
        <w:t>湖南永顺经济开发区猛洞河产业园污水处理厂建设项目</w:t>
      </w:r>
      <w:r>
        <w:rPr>
          <w:rFonts w:hint="eastAsia"/>
          <w:color w:val="auto"/>
          <w:u w:val="none"/>
        </w:rPr>
        <w:t>的环境影响报告书编制工作。</w:t>
      </w:r>
    </w:p>
    <w:p>
      <w:pPr>
        <w:ind w:firstLine="480"/>
        <w:jc w:val="both"/>
        <w:rPr>
          <w:rFonts w:hint="eastAsia"/>
          <w:color w:val="auto"/>
          <w:kern w:val="0"/>
          <w:u w:val="none"/>
        </w:rPr>
      </w:pPr>
      <w:r>
        <w:rPr>
          <w:rFonts w:hint="eastAsia"/>
          <w:color w:val="auto"/>
          <w:kern w:val="0"/>
          <w:u w:val="none"/>
        </w:rPr>
        <w:t>在接受委托单位的委托后，我单位详细研究了项目的设计方案，对项目现场及周边环境进行了详细的调查，最终确定本项目的环评技术路线和主要内容。</w:t>
      </w:r>
    </w:p>
    <w:p>
      <w:pPr>
        <w:ind w:firstLine="480"/>
        <w:jc w:val="both"/>
        <w:rPr>
          <w:color w:val="auto"/>
          <w:kern w:val="0"/>
          <w:u w:val="none"/>
        </w:rPr>
      </w:pPr>
      <w:r>
        <w:rPr>
          <w:rFonts w:hint="eastAsia"/>
          <w:color w:val="auto"/>
          <w:kern w:val="0"/>
          <w:u w:val="none"/>
        </w:rPr>
        <w:t>环评技术路线详细工作程序见下图1。</w:t>
      </w:r>
    </w:p>
    <w:p>
      <w:pPr>
        <w:pStyle w:val="103"/>
        <w:rPr>
          <w:color w:val="auto"/>
          <w:u w:val="none"/>
        </w:rPr>
      </w:pPr>
      <w:r>
        <w:rPr>
          <w:color w:val="auto"/>
          <w:u w:val="none"/>
        </w:rPr>
        <w:drawing>
          <wp:inline distT="0" distB="0" distL="114300" distR="114300">
            <wp:extent cx="5264150" cy="6413500"/>
            <wp:effectExtent l="0" t="0" r="889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7"/>
                    <a:stretch>
                      <a:fillRect/>
                    </a:stretch>
                  </pic:blipFill>
                  <pic:spPr>
                    <a:xfrm>
                      <a:off x="0" y="0"/>
                      <a:ext cx="5264150" cy="6413500"/>
                    </a:xfrm>
                    <a:prstGeom prst="rect">
                      <a:avLst/>
                    </a:prstGeom>
                    <a:noFill/>
                    <a:ln>
                      <a:noFill/>
                    </a:ln>
                  </pic:spPr>
                </pic:pic>
              </a:graphicData>
            </a:graphic>
          </wp:inline>
        </w:drawing>
      </w:r>
    </w:p>
    <w:p>
      <w:pPr>
        <w:pStyle w:val="103"/>
        <w:rPr>
          <w:color w:val="auto"/>
          <w:u w:val="none"/>
        </w:rPr>
      </w:pPr>
      <w:r>
        <w:rPr>
          <w:color w:val="auto"/>
          <w:u w:val="none"/>
        </w:rPr>
        <w:t>图1  环境影响评价工作程序图</w:t>
      </w:r>
    </w:p>
    <w:p>
      <w:pPr>
        <w:ind w:firstLine="480"/>
        <w:jc w:val="both"/>
        <w:rPr>
          <w:color w:val="auto"/>
          <w:kern w:val="0"/>
          <w:u w:val="none"/>
        </w:rPr>
      </w:pPr>
      <w:r>
        <w:rPr>
          <w:rFonts w:hint="eastAsia"/>
          <w:color w:val="auto"/>
          <w:kern w:val="0"/>
          <w:u w:val="none"/>
        </w:rPr>
        <w:t>本项目的工作内容主要为工程分析、环境现状调查、环境的影响预测和评价、环境风险评价。在环评的工作过程中，针对不同的内容采用不同的方法进行影响分析。工程分析部分主要采用类比分析、查询参考资料等技术方法进行本项目的工程分析。环境质量现状调查与评价部分主要通过现场勘察、现状监测等方法进行。环境影响预测和评价主要采用数学模型和类比分析等技术方法进行各环境影响要素的影响分析。综合项目的基本情况，并借鉴了类似项目的相关资料，编制了环境风险分析。</w:t>
      </w:r>
    </w:p>
    <w:p>
      <w:pPr>
        <w:ind w:firstLine="480"/>
        <w:jc w:val="both"/>
        <w:rPr>
          <w:rFonts w:hint="eastAsia"/>
          <w:color w:val="auto"/>
          <w:kern w:val="0"/>
          <w:u w:val="none"/>
        </w:rPr>
      </w:pPr>
      <w:r>
        <w:rPr>
          <w:rFonts w:hint="eastAsia"/>
          <w:color w:val="auto"/>
          <w:kern w:val="0"/>
          <w:u w:val="none"/>
        </w:rPr>
        <w:t>我单位的环评技术报告编制小组，在研究本项目的初步设计的基础上，</w:t>
      </w:r>
      <w:r>
        <w:rPr>
          <w:color w:val="auto"/>
          <w:kern w:val="0"/>
          <w:u w:val="none"/>
        </w:rPr>
        <w:t>对项目基本情况及项目区环境进行了现状调查、实地踏勘和调研工作，在充分收集资料的基础上，按照国家和地方有关技术规范，编制了《</w:t>
      </w:r>
      <w:r>
        <w:rPr>
          <w:rFonts w:hint="eastAsia"/>
          <w:color w:val="auto"/>
          <w:kern w:val="0"/>
          <w:u w:val="none"/>
          <w:lang w:eastAsia="zh-CN"/>
        </w:rPr>
        <w:t>湖南永顺经济开发区猛洞河产业园污水处理厂建设项目</w:t>
      </w:r>
      <w:r>
        <w:rPr>
          <w:color w:val="auto"/>
          <w:kern w:val="0"/>
          <w:u w:val="none"/>
        </w:rPr>
        <w:t>环境影响报告书》</w:t>
      </w:r>
      <w:r>
        <w:rPr>
          <w:rFonts w:hint="eastAsia"/>
          <w:color w:val="auto"/>
          <w:kern w:val="0"/>
          <w:u w:val="none"/>
        </w:rPr>
        <w:t>。</w:t>
      </w:r>
    </w:p>
    <w:p>
      <w:pPr>
        <w:ind w:firstLine="480"/>
        <w:jc w:val="both"/>
        <w:rPr>
          <w:color w:val="auto"/>
          <w:kern w:val="0"/>
          <w:u w:val="none"/>
        </w:rPr>
      </w:pPr>
      <w:r>
        <w:rPr>
          <w:color w:val="auto"/>
          <w:kern w:val="0"/>
          <w:u w:val="none"/>
        </w:rPr>
        <w:t>项目在编制过程中得到了</w:t>
      </w:r>
      <w:r>
        <w:rPr>
          <w:rFonts w:hint="eastAsia"/>
          <w:color w:val="auto"/>
          <w:kern w:val="0"/>
          <w:u w:val="none"/>
        </w:rPr>
        <w:t>湘西土家族苗族自治州生态环境局、</w:t>
      </w:r>
      <w:r>
        <w:rPr>
          <w:rFonts w:hint="eastAsia"/>
          <w:color w:val="auto"/>
          <w:kern w:val="0"/>
          <w:u w:val="none"/>
          <w:lang w:eastAsia="zh-CN"/>
        </w:rPr>
        <w:t>湖南永顺经济开发区管理委员会</w:t>
      </w:r>
      <w:r>
        <w:rPr>
          <w:rFonts w:hint="eastAsia"/>
          <w:color w:val="auto"/>
          <w:kern w:val="0"/>
          <w:u w:val="none"/>
        </w:rPr>
        <w:t>、建设单位</w:t>
      </w:r>
      <w:r>
        <w:rPr>
          <w:rFonts w:hint="eastAsia"/>
          <w:color w:val="auto"/>
          <w:kern w:val="0"/>
          <w:u w:val="none"/>
          <w:lang w:eastAsia="zh-CN"/>
        </w:rPr>
        <w:t>湘西猛洞河旅游生态开发区建设有限责任公司</w:t>
      </w:r>
      <w:r>
        <w:rPr>
          <w:rFonts w:hint="eastAsia"/>
          <w:color w:val="auto"/>
          <w:kern w:val="0"/>
          <w:u w:val="none"/>
        </w:rPr>
        <w:t>的大力支持与协助，在此一并表示感谢！</w:t>
      </w:r>
    </w:p>
    <w:p>
      <w:pPr>
        <w:pStyle w:val="76"/>
        <w:spacing w:before="163" w:after="163"/>
        <w:rPr>
          <w:rFonts w:hint="eastAsia"/>
          <w:color w:val="auto"/>
          <w:kern w:val="0"/>
          <w:u w:val="none"/>
        </w:rPr>
      </w:pPr>
      <w:bookmarkStart w:id="13" w:name="_Toc17108"/>
      <w:r>
        <w:rPr>
          <w:rFonts w:hint="eastAsia"/>
          <w:color w:val="auto"/>
          <w:kern w:val="0"/>
          <w:u w:val="none"/>
        </w:rPr>
        <w:t>3、分析判定相关情况</w:t>
      </w:r>
      <w:bookmarkEnd w:id="13"/>
    </w:p>
    <w:p>
      <w:pPr>
        <w:autoSpaceDE w:val="0"/>
        <w:autoSpaceDN w:val="0"/>
        <w:adjustRightInd w:val="0"/>
        <w:ind w:firstLine="482"/>
        <w:rPr>
          <w:rFonts w:hint="eastAsia" w:cs="宋体"/>
          <w:b/>
          <w:color w:val="auto"/>
          <w:kern w:val="0"/>
          <w:u w:val="none"/>
        </w:rPr>
      </w:pPr>
      <w:r>
        <w:rPr>
          <w:b/>
          <w:color w:val="auto"/>
          <w:kern w:val="0"/>
          <w:u w:val="none"/>
        </w:rPr>
        <w:t>（1）</w:t>
      </w:r>
      <w:r>
        <w:rPr>
          <w:rFonts w:hint="eastAsia" w:cs="宋体"/>
          <w:b/>
          <w:color w:val="auto"/>
          <w:kern w:val="0"/>
          <w:u w:val="none"/>
        </w:rPr>
        <w:t>产业政策符合性</w:t>
      </w:r>
    </w:p>
    <w:p>
      <w:pPr>
        <w:adjustRightInd w:val="0"/>
        <w:ind w:firstLine="480"/>
        <w:jc w:val="both"/>
        <w:rPr>
          <w:rFonts w:hint="eastAsia"/>
          <w:color w:val="auto"/>
          <w:kern w:val="0"/>
          <w:u w:val="none"/>
        </w:rPr>
      </w:pPr>
      <w:r>
        <w:rPr>
          <w:color w:val="auto"/>
          <w:kern w:val="0"/>
          <w:u w:val="none"/>
        </w:rPr>
        <w:t>根据国家发改委公布的《产业结构调整指导目录（2019 年本）》，</w:t>
      </w:r>
      <w:r>
        <w:rPr>
          <w:rFonts w:hint="eastAsia"/>
          <w:color w:val="auto"/>
          <w:kern w:val="0"/>
          <w:u w:val="none"/>
        </w:rPr>
        <w:t>“</w:t>
      </w:r>
      <w:r>
        <w:rPr>
          <w:color w:val="auto"/>
          <w:kern w:val="0"/>
          <w:u w:val="none"/>
        </w:rPr>
        <w:t>三废</w:t>
      </w:r>
      <w:r>
        <w:rPr>
          <w:rFonts w:hint="eastAsia"/>
          <w:color w:val="auto"/>
          <w:kern w:val="0"/>
          <w:u w:val="none"/>
        </w:rPr>
        <w:t>”</w:t>
      </w:r>
      <w:r>
        <w:rPr>
          <w:color w:val="auto"/>
          <w:kern w:val="0"/>
          <w:u w:val="none"/>
        </w:rPr>
        <w:t>综合利用与治理</w:t>
      </w:r>
      <w:r>
        <w:rPr>
          <w:rFonts w:hint="eastAsia"/>
          <w:color w:val="auto"/>
          <w:kern w:val="0"/>
          <w:u w:val="none"/>
          <w:lang w:eastAsia="zh-CN"/>
        </w:rPr>
        <w:t>技术、装备和</w:t>
      </w:r>
      <w:r>
        <w:rPr>
          <w:color w:val="auto"/>
          <w:kern w:val="0"/>
          <w:u w:val="none"/>
        </w:rPr>
        <w:t>工程属鼓励类建设项目（第</w:t>
      </w:r>
      <w:r>
        <w:rPr>
          <w:rFonts w:hint="eastAsia"/>
          <w:color w:val="auto"/>
          <w:kern w:val="0"/>
          <w:u w:val="none"/>
          <w:lang w:eastAsia="zh-CN"/>
        </w:rPr>
        <w:t>四十三</w:t>
      </w:r>
      <w:r>
        <w:rPr>
          <w:color w:val="auto"/>
          <w:kern w:val="0"/>
          <w:u w:val="none"/>
        </w:rPr>
        <w:t>项环境保护与资源节约综合利用第15条），本项目属于社会公益事业工程，属于国家鼓励的工程建设项目，符合国家水污染防治法规和条例及其实施细则，符合水污染防治技术政策，符合国家和地方产业及水污染治理政策。</w:t>
      </w:r>
    </w:p>
    <w:p>
      <w:pPr>
        <w:autoSpaceDE w:val="0"/>
        <w:autoSpaceDN w:val="0"/>
        <w:adjustRightInd w:val="0"/>
        <w:ind w:firstLine="482"/>
        <w:rPr>
          <w:rFonts w:hint="eastAsia"/>
          <w:color w:val="auto"/>
          <w:kern w:val="0"/>
          <w:u w:val="none"/>
        </w:rPr>
      </w:pPr>
      <w:r>
        <w:rPr>
          <w:rFonts w:hint="eastAsia" w:cs="宋体"/>
          <w:b/>
          <w:color w:val="auto"/>
          <w:kern w:val="0"/>
          <w:u w:val="none"/>
        </w:rPr>
        <w:t>（2）</w:t>
      </w:r>
      <w:r>
        <w:rPr>
          <w:rFonts w:hint="eastAsia"/>
          <w:b/>
          <w:color w:val="auto"/>
          <w:kern w:val="0"/>
          <w:u w:val="none"/>
        </w:rPr>
        <w:t>规划符合性分析</w:t>
      </w:r>
    </w:p>
    <w:p>
      <w:pPr>
        <w:autoSpaceDE w:val="0"/>
        <w:autoSpaceDN w:val="0"/>
        <w:adjustRightInd w:val="0"/>
        <w:ind w:firstLine="480"/>
        <w:rPr>
          <w:rFonts w:hint="eastAsia" w:eastAsia="宋体"/>
          <w:b/>
          <w:bCs/>
          <w:color w:val="auto"/>
          <w:kern w:val="0"/>
          <w:u w:val="none"/>
          <w:lang w:eastAsia="zh-CN"/>
        </w:rPr>
      </w:pPr>
      <w:r>
        <w:rPr>
          <w:rFonts w:hint="eastAsia"/>
          <w:b/>
          <w:bCs/>
          <w:color w:val="auto"/>
          <w:kern w:val="0"/>
          <w:u w:val="none"/>
        </w:rPr>
        <w:t>①</w:t>
      </w:r>
      <w:r>
        <w:rPr>
          <w:rFonts w:hint="eastAsia"/>
          <w:b/>
          <w:bCs/>
          <w:color w:val="auto"/>
          <w:kern w:val="0"/>
          <w:u w:val="none"/>
          <w:lang w:eastAsia="zh-CN"/>
        </w:rPr>
        <w:t>与</w:t>
      </w:r>
      <w:r>
        <w:rPr>
          <w:rFonts w:hint="eastAsia"/>
          <w:b/>
          <w:bCs/>
          <w:color w:val="auto"/>
          <w:kern w:val="0"/>
          <w:u w:val="none"/>
        </w:rPr>
        <w:t>《中华人民共和国国民经济和社会发展第十四个五年规划和2035年远景目标纲要》</w:t>
      </w:r>
      <w:r>
        <w:rPr>
          <w:rFonts w:hint="eastAsia"/>
          <w:b/>
          <w:bCs/>
          <w:color w:val="auto"/>
          <w:kern w:val="0"/>
          <w:u w:val="none"/>
          <w:lang w:eastAsia="zh-CN"/>
        </w:rPr>
        <w:t>的符合性分析</w:t>
      </w:r>
    </w:p>
    <w:p>
      <w:pPr>
        <w:ind w:firstLine="480"/>
        <w:jc w:val="both"/>
        <w:rPr>
          <w:color w:val="auto"/>
          <w:kern w:val="0"/>
          <w:u w:val="none"/>
        </w:rPr>
      </w:pPr>
      <w:r>
        <w:rPr>
          <w:rFonts w:hint="eastAsia"/>
          <w:color w:val="auto"/>
          <w:kern w:val="0"/>
          <w:u w:val="none"/>
        </w:rPr>
        <w:t>《中华人民共和国国民经济和社会发展第十四个五年规划和2035年远景目标纲要》指出：“第三十八章持续改善环境质量：深入打好污染防治攻坚战，建立健全环境治理体系，推进精准、科学、依法、系统治污，协同推进减污降碳，不断改善空气、水环境质量，有效管控土壤污染风险。构建集污水、垃圾、固废、危废、医废处理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w:t>
      </w:r>
    </w:p>
    <w:p>
      <w:pPr>
        <w:ind w:firstLine="480"/>
        <w:jc w:val="both"/>
        <w:rPr>
          <w:rFonts w:hint="eastAsia"/>
          <w:color w:val="auto"/>
          <w:kern w:val="0"/>
          <w:u w:val="single"/>
        </w:rPr>
      </w:pPr>
      <w:r>
        <w:rPr>
          <w:rFonts w:hint="eastAsia"/>
          <w:color w:val="auto"/>
          <w:kern w:val="0"/>
          <w:u w:val="single"/>
        </w:rPr>
        <w:t>本项目建设内容包括污水处理厂建设、配套管网建设，主要接收</w:t>
      </w:r>
      <w:r>
        <w:rPr>
          <w:rFonts w:hint="eastAsia"/>
          <w:color w:val="auto"/>
          <w:kern w:val="0"/>
          <w:u w:val="single"/>
          <w:lang w:eastAsia="zh-CN"/>
        </w:rPr>
        <w:t>永顺经济开发区猛洞河产业园内的企事业污水</w:t>
      </w:r>
      <w:r>
        <w:rPr>
          <w:rFonts w:hint="eastAsia"/>
          <w:color w:val="auto"/>
          <w:kern w:val="0"/>
          <w:u w:val="single"/>
        </w:rPr>
        <w:t>，</w:t>
      </w:r>
      <w:r>
        <w:rPr>
          <w:color w:val="auto"/>
          <w:kern w:val="0"/>
          <w:szCs w:val="21"/>
          <w:u w:val="single"/>
        </w:rPr>
        <w:t>本</w:t>
      </w:r>
      <w:r>
        <w:rPr>
          <w:rFonts w:hint="eastAsia"/>
          <w:color w:val="auto"/>
          <w:kern w:val="0"/>
          <w:szCs w:val="21"/>
          <w:u w:val="single"/>
        </w:rPr>
        <w:t>工程</w:t>
      </w:r>
      <w:r>
        <w:rPr>
          <w:color w:val="auto"/>
          <w:kern w:val="0"/>
          <w:szCs w:val="21"/>
          <w:u w:val="single"/>
        </w:rPr>
        <w:t>污水处理厂厂区总</w:t>
      </w:r>
      <w:r>
        <w:rPr>
          <w:rFonts w:hint="eastAsia"/>
          <w:color w:val="auto"/>
          <w:kern w:val="0"/>
          <w:szCs w:val="21"/>
          <w:u w:val="single"/>
        </w:rPr>
        <w:t>征地</w:t>
      </w:r>
      <w:r>
        <w:rPr>
          <w:color w:val="auto"/>
          <w:kern w:val="0"/>
          <w:szCs w:val="21"/>
          <w:u w:val="single"/>
        </w:rPr>
        <w:t>面积</w:t>
      </w:r>
      <w:r>
        <w:rPr>
          <w:rFonts w:hint="eastAsia"/>
          <w:color w:val="auto"/>
          <w:kern w:val="0"/>
          <w:szCs w:val="21"/>
          <w:u w:val="single"/>
          <w:lang w:val="en-US" w:eastAsia="zh-CN"/>
        </w:rPr>
        <w:t>816.48</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szCs w:val="21"/>
          <w:u w:val="single"/>
        </w:rPr>
        <w:t>，</w:t>
      </w:r>
      <w:r>
        <w:rPr>
          <w:rFonts w:hint="eastAsia"/>
          <w:color w:val="auto"/>
          <w:kern w:val="0"/>
          <w:szCs w:val="21"/>
          <w:u w:val="single"/>
          <w:lang w:eastAsia="zh-CN"/>
        </w:rPr>
        <w:t>总建筑占地</w:t>
      </w:r>
      <w:r>
        <w:rPr>
          <w:rFonts w:hint="eastAsia"/>
          <w:color w:val="auto"/>
          <w:kern w:val="0"/>
          <w:szCs w:val="21"/>
          <w:u w:val="single"/>
        </w:rPr>
        <w:t>面积</w:t>
      </w:r>
      <w:r>
        <w:rPr>
          <w:rFonts w:hint="eastAsia"/>
          <w:color w:val="auto"/>
          <w:kern w:val="0"/>
          <w:szCs w:val="21"/>
          <w:u w:val="single"/>
          <w:lang w:val="en-US" w:eastAsia="zh-CN"/>
        </w:rPr>
        <w:t>570.56</w:t>
      </w:r>
      <w:r>
        <w:rPr>
          <w:rFonts w:hint="eastAsia"/>
          <w:color w:val="auto"/>
          <w:kern w:val="0"/>
          <w:szCs w:val="21"/>
          <w:u w:val="single"/>
        </w:rPr>
        <w:t xml:space="preserve"> m</w:t>
      </w:r>
      <w:r>
        <w:rPr>
          <w:rFonts w:hint="eastAsia"/>
          <w:color w:val="auto"/>
          <w:kern w:val="0"/>
          <w:szCs w:val="21"/>
          <w:u w:val="single"/>
          <w:vertAlign w:val="superscript"/>
        </w:rPr>
        <w:t>2</w:t>
      </w:r>
      <w:r>
        <w:rPr>
          <w:rFonts w:hint="eastAsia"/>
          <w:color w:val="auto"/>
          <w:kern w:val="0"/>
          <w:szCs w:val="21"/>
          <w:u w:val="single"/>
        </w:rPr>
        <w:t>，</w:t>
      </w:r>
      <w:r>
        <w:rPr>
          <w:rFonts w:hint="eastAsia"/>
          <w:color w:val="auto"/>
          <w:kern w:val="0"/>
          <w:szCs w:val="21"/>
          <w:u w:val="single"/>
          <w:lang w:eastAsia="zh-CN"/>
        </w:rPr>
        <w:t>操作间占地</w:t>
      </w:r>
      <w:r>
        <w:rPr>
          <w:rFonts w:hint="eastAsia"/>
          <w:color w:val="auto"/>
          <w:kern w:val="0"/>
          <w:szCs w:val="21"/>
          <w:u w:val="single"/>
        </w:rPr>
        <w:t>面积</w:t>
      </w:r>
      <w:r>
        <w:rPr>
          <w:rFonts w:hint="eastAsia"/>
          <w:color w:val="auto"/>
          <w:kern w:val="0"/>
          <w:szCs w:val="21"/>
          <w:u w:val="single"/>
          <w:lang w:val="en-US" w:eastAsia="zh-CN"/>
        </w:rPr>
        <w:t>54.60</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u w:val="single"/>
        </w:rPr>
        <w:t>，项目污泥脱水采用叠螺式污泥脱水机对其进行脱水处理，脱水后的污泥首先按照《危险废物鉴别标准</w:t>
      </w:r>
      <w:r>
        <w:rPr>
          <w:color w:val="auto"/>
          <w:kern w:val="0"/>
          <w:u w:val="single"/>
        </w:rPr>
        <w:t xml:space="preserve"> </w:t>
      </w:r>
      <w:r>
        <w:rPr>
          <w:rFonts w:hint="eastAsia"/>
          <w:color w:val="auto"/>
          <w:kern w:val="0"/>
          <w:u w:val="single"/>
        </w:rPr>
        <w:t>浸出毒性鉴别》（</w:t>
      </w:r>
      <w:r>
        <w:rPr>
          <w:color w:val="auto"/>
          <w:kern w:val="0"/>
          <w:u w:val="single"/>
        </w:rPr>
        <w:t>GB5085.3-2007</w:t>
      </w:r>
      <w:r>
        <w:rPr>
          <w:rFonts w:hint="eastAsia"/>
          <w:color w:val="auto"/>
          <w:kern w:val="0"/>
          <w:u w:val="single"/>
        </w:rPr>
        <w:t>）进行浸出实验，确认污泥性质，如属于危险废物，运营单位应按照危险废物要求进行管理，并委托具有相应资质单位进行安全处置；如鉴别属于一般固废，则可运至</w:t>
      </w:r>
      <w:r>
        <w:rPr>
          <w:rFonts w:hint="eastAsia"/>
          <w:color w:val="auto"/>
          <w:kern w:val="0"/>
          <w:u w:val="single"/>
          <w:lang w:eastAsia="zh-CN"/>
        </w:rPr>
        <w:t>永顺</w:t>
      </w:r>
      <w:r>
        <w:rPr>
          <w:rFonts w:hint="eastAsia"/>
          <w:color w:val="auto"/>
          <w:kern w:val="0"/>
          <w:u w:val="single"/>
        </w:rPr>
        <w:t>县垃圾填埋场进行卫生填埋</w:t>
      </w:r>
      <w:r>
        <w:rPr>
          <w:rFonts w:hint="eastAsia"/>
          <w:color w:val="auto"/>
          <w:kern w:val="0"/>
          <w:u w:val="single"/>
          <w:lang w:eastAsia="zh-CN"/>
        </w:rPr>
        <w:t>。</w:t>
      </w:r>
      <w:r>
        <w:rPr>
          <w:rFonts w:hint="eastAsia"/>
          <w:color w:val="auto"/>
          <w:kern w:val="0"/>
          <w:u w:val="single"/>
        </w:rPr>
        <w:t>本项目加快了</w:t>
      </w:r>
      <w:r>
        <w:rPr>
          <w:rFonts w:hint="eastAsia"/>
          <w:color w:val="auto"/>
          <w:kern w:val="0"/>
          <w:u w:val="single"/>
          <w:lang w:eastAsia="zh-CN"/>
        </w:rPr>
        <w:t>永顺经济开发区猛洞河产业园园区</w:t>
      </w:r>
      <w:r>
        <w:rPr>
          <w:rFonts w:hint="eastAsia"/>
          <w:color w:val="auto"/>
          <w:kern w:val="0"/>
          <w:u w:val="single"/>
        </w:rPr>
        <w:t>污水处理设施</w:t>
      </w:r>
      <w:r>
        <w:rPr>
          <w:rFonts w:hint="eastAsia"/>
          <w:color w:val="auto"/>
          <w:kern w:val="0"/>
          <w:u w:val="single"/>
          <w:lang w:eastAsia="zh-CN"/>
        </w:rPr>
        <w:t>建设</w:t>
      </w:r>
      <w:r>
        <w:rPr>
          <w:rFonts w:hint="eastAsia"/>
          <w:color w:val="auto"/>
          <w:kern w:val="0"/>
          <w:u w:val="single"/>
        </w:rPr>
        <w:t>，推进了污泥无害化处理和资源化利用，实现</w:t>
      </w:r>
      <w:r>
        <w:rPr>
          <w:rFonts w:hint="eastAsia"/>
          <w:color w:val="auto"/>
          <w:kern w:val="0"/>
          <w:u w:val="single"/>
          <w:lang w:eastAsia="zh-CN"/>
        </w:rPr>
        <w:t>永顺经济开发区猛洞河产业园园区</w:t>
      </w:r>
      <w:r>
        <w:rPr>
          <w:rFonts w:hint="eastAsia"/>
          <w:color w:val="auto"/>
          <w:kern w:val="0"/>
          <w:u w:val="single"/>
        </w:rPr>
        <w:t>污水设施全覆盖和稳定达标运行，符合《中华人民共和国国民经济和社会发展第十四个五年规划和2035年远景目标纲要》。</w:t>
      </w:r>
    </w:p>
    <w:p>
      <w:pPr>
        <w:ind w:firstLine="480"/>
        <w:rPr>
          <w:rFonts w:hint="eastAsia" w:eastAsia="宋体"/>
          <w:color w:val="auto"/>
          <w:kern w:val="0"/>
          <w:u w:val="none"/>
          <w:lang w:val="en-US" w:eastAsia="zh-CN"/>
        </w:rPr>
      </w:pPr>
      <w:r>
        <w:rPr>
          <w:rFonts w:hint="eastAsia"/>
          <w:b/>
          <w:bCs/>
          <w:color w:val="auto"/>
          <w:kern w:val="0"/>
          <w:u w:val="none"/>
        </w:rPr>
        <w:t>②</w:t>
      </w:r>
      <w:r>
        <w:rPr>
          <w:rFonts w:hint="eastAsia"/>
          <w:b/>
          <w:bCs/>
          <w:color w:val="auto"/>
          <w:kern w:val="0"/>
          <w:u w:val="none"/>
          <w:lang w:eastAsia="zh-CN"/>
        </w:rPr>
        <w:t>与</w:t>
      </w:r>
      <w:r>
        <w:rPr>
          <w:b/>
          <w:bCs/>
          <w:color w:val="auto"/>
          <w:kern w:val="0"/>
        </w:rPr>
        <w:t>《湖南省</w:t>
      </w:r>
      <w:r>
        <w:rPr>
          <w:rFonts w:hint="eastAsia"/>
          <w:b/>
          <w:bCs/>
          <w:color w:val="auto"/>
          <w:kern w:val="0"/>
        </w:rPr>
        <w:t>“</w:t>
      </w:r>
      <w:r>
        <w:rPr>
          <w:b/>
          <w:bCs/>
          <w:color w:val="auto"/>
          <w:kern w:val="0"/>
        </w:rPr>
        <w:t>十</w:t>
      </w:r>
      <w:r>
        <w:rPr>
          <w:rFonts w:hint="eastAsia"/>
          <w:b/>
          <w:bCs/>
          <w:color w:val="auto"/>
          <w:kern w:val="0"/>
        </w:rPr>
        <w:t>四</w:t>
      </w:r>
      <w:r>
        <w:rPr>
          <w:b/>
          <w:bCs/>
          <w:color w:val="auto"/>
          <w:kern w:val="0"/>
        </w:rPr>
        <w:t>五</w:t>
      </w:r>
      <w:r>
        <w:rPr>
          <w:rFonts w:hint="eastAsia"/>
          <w:b/>
          <w:bCs/>
          <w:color w:val="auto"/>
          <w:kern w:val="0"/>
        </w:rPr>
        <w:t>”生态环境保护规划</w:t>
      </w:r>
      <w:r>
        <w:rPr>
          <w:b/>
          <w:bCs/>
          <w:color w:val="auto"/>
          <w:kern w:val="0"/>
        </w:rPr>
        <w:t>》</w:t>
      </w:r>
      <w:r>
        <w:rPr>
          <w:rFonts w:hint="eastAsia"/>
          <w:b/>
          <w:bCs/>
          <w:color w:val="auto"/>
          <w:kern w:val="0"/>
          <w:lang w:eastAsia="zh-CN"/>
        </w:rPr>
        <w:t>的符合性规划</w:t>
      </w:r>
    </w:p>
    <w:p>
      <w:pPr>
        <w:ind w:firstLine="480"/>
        <w:rPr>
          <w:rFonts w:hint="eastAsia" w:ascii="宋体" w:hAnsi="宋体" w:eastAsia="宋体" w:cs="宋体"/>
          <w:color w:val="auto"/>
          <w:kern w:val="0"/>
          <w:lang w:eastAsia="zh-CN"/>
        </w:rPr>
      </w:pPr>
      <w:r>
        <w:rPr>
          <w:color w:val="auto"/>
          <w:kern w:val="0"/>
        </w:rPr>
        <w:t>《湖南省</w:t>
      </w:r>
      <w:r>
        <w:rPr>
          <w:rFonts w:hint="eastAsia"/>
          <w:color w:val="auto"/>
          <w:kern w:val="0"/>
        </w:rPr>
        <w:t>“</w:t>
      </w:r>
      <w:r>
        <w:rPr>
          <w:color w:val="auto"/>
          <w:kern w:val="0"/>
        </w:rPr>
        <w:t>十</w:t>
      </w:r>
      <w:r>
        <w:rPr>
          <w:rFonts w:hint="eastAsia"/>
          <w:color w:val="auto"/>
          <w:kern w:val="0"/>
        </w:rPr>
        <w:t>四</w:t>
      </w:r>
      <w:r>
        <w:rPr>
          <w:color w:val="auto"/>
          <w:kern w:val="0"/>
        </w:rPr>
        <w:t>五</w:t>
      </w:r>
      <w:r>
        <w:rPr>
          <w:rFonts w:hint="eastAsia"/>
          <w:color w:val="auto"/>
          <w:kern w:val="0"/>
        </w:rPr>
        <w:t>”生态环境保护规划</w:t>
      </w:r>
      <w:r>
        <w:rPr>
          <w:color w:val="auto"/>
          <w:kern w:val="0"/>
        </w:rPr>
        <w:t>》明确提出：</w:t>
      </w:r>
      <w:r>
        <w:rPr>
          <w:rFonts w:hint="eastAsia" w:ascii="宋体" w:hAnsi="宋体" w:cs="宋体"/>
          <w:color w:val="auto"/>
          <w:kern w:val="0"/>
        </w:rPr>
        <w:t>深化重点领域水污染治理。补齐城乡污水收集和处理设施短板，加强生活源污染治理，完善城市污水管网建设，实现建成区污水管网全覆盖，改造老旧破损管网及检查井，系统解决管网漏损问题。到</w:t>
      </w:r>
      <w:r>
        <w:rPr>
          <w:rFonts w:hint="eastAsia" w:eastAsia="Times New Roman"/>
          <w:color w:val="auto"/>
          <w:kern w:val="0"/>
        </w:rPr>
        <w:t>2025</w:t>
      </w:r>
      <w:r>
        <w:rPr>
          <w:rFonts w:hint="eastAsia" w:ascii="宋体" w:hAnsi="宋体" w:cs="宋体"/>
          <w:color w:val="auto"/>
          <w:kern w:val="0"/>
        </w:rPr>
        <w:t>年，基本消除城中村、老旧城区和城乡结合部生活污水收集处理设施空白区，城市生活污水集中收集率达到</w:t>
      </w:r>
      <w:r>
        <w:rPr>
          <w:rFonts w:hint="eastAsia" w:eastAsia="Times New Roman"/>
          <w:color w:val="auto"/>
          <w:kern w:val="0"/>
        </w:rPr>
        <w:t>70%</w:t>
      </w:r>
      <w:r>
        <w:rPr>
          <w:rFonts w:hint="eastAsia" w:ascii="宋体" w:hAnsi="宋体" w:cs="宋体"/>
          <w:color w:val="auto"/>
          <w:kern w:val="0"/>
        </w:rPr>
        <w:t>，全省乡镇政府所在地污水处理设施全覆盖。以企业和工业聚集区为重点，推进工业园区污水处理设施分类管理、分期升级改造，实施省级及以上工业园区专项整治行动，实现省级及以上工业园区污水管网全覆盖、污水全收集、污水集中处理设施稳定达标运行、进出水水质在线监控并联网正常，规范设置园区集中污水处理设施排污口，建立园区水环境管理</w:t>
      </w:r>
      <w:r>
        <w:rPr>
          <w:rFonts w:eastAsia="Times New Roman"/>
          <w:color w:val="auto"/>
          <w:kern w:val="0"/>
        </w:rPr>
        <w:t>“</w:t>
      </w:r>
      <w:r>
        <w:rPr>
          <w:rFonts w:hint="eastAsia" w:ascii="宋体" w:hAnsi="宋体" w:cs="宋体"/>
          <w:color w:val="auto"/>
          <w:kern w:val="0"/>
        </w:rPr>
        <w:t>一园一档</w:t>
      </w:r>
      <w:r>
        <w:rPr>
          <w:rFonts w:eastAsia="Times New Roman"/>
          <w:color w:val="auto"/>
          <w:kern w:val="0"/>
        </w:rPr>
        <w:t>”</w:t>
      </w:r>
      <w:r>
        <w:rPr>
          <w:rFonts w:hint="eastAsia" w:ascii="宋体" w:hAnsi="宋体" w:cs="宋体"/>
          <w:color w:val="auto"/>
          <w:kern w:val="0"/>
        </w:rPr>
        <w:t>。加强涉重金属行业企业废水治理，推进重点行业氨氮和总磷排放总量控制</w:t>
      </w:r>
      <w:r>
        <w:rPr>
          <w:rFonts w:hint="eastAsia" w:ascii="宋体" w:hAnsi="宋体" w:cs="宋体"/>
          <w:color w:val="auto"/>
          <w:kern w:val="0"/>
          <w:lang w:eastAsia="zh-CN"/>
        </w:rPr>
        <w:t>。</w:t>
      </w:r>
    </w:p>
    <w:p>
      <w:pPr>
        <w:ind w:firstLine="480"/>
        <w:rPr>
          <w:rFonts w:hint="eastAsia"/>
          <w:color w:val="auto"/>
        </w:rPr>
      </w:pPr>
      <w:r>
        <w:rPr>
          <w:rFonts w:hint="eastAsia"/>
          <w:color w:val="auto"/>
          <w:kern w:val="0"/>
        </w:rPr>
        <w:t>本项目建设内容包括污水处理厂</w:t>
      </w:r>
      <w:r>
        <w:rPr>
          <w:rFonts w:hint="eastAsia"/>
          <w:color w:val="auto"/>
          <w:kern w:val="0"/>
          <w:u w:val="none"/>
        </w:rPr>
        <w:t>、配套管网</w:t>
      </w:r>
      <w:r>
        <w:rPr>
          <w:rFonts w:hint="eastAsia"/>
          <w:color w:val="auto"/>
          <w:kern w:val="0"/>
        </w:rPr>
        <w:t>建设，主要用于接收</w:t>
      </w:r>
      <w:r>
        <w:rPr>
          <w:rFonts w:hint="eastAsia"/>
          <w:color w:val="auto"/>
          <w:kern w:val="0"/>
          <w:lang w:eastAsia="zh-CN"/>
        </w:rPr>
        <w:t>永顺经济开发区猛洞河产业园内的企事业污水</w:t>
      </w:r>
      <w:r>
        <w:rPr>
          <w:rFonts w:hint="eastAsia"/>
          <w:color w:val="auto"/>
          <w:kern w:val="0"/>
        </w:rPr>
        <w:t>，</w:t>
      </w:r>
      <w:r>
        <w:rPr>
          <w:rFonts w:hint="eastAsia"/>
          <w:color w:val="auto"/>
          <w:kern w:val="0"/>
          <w:szCs w:val="21"/>
        </w:rPr>
        <w:t>本项目污水处理厂纳污区域属于</w:t>
      </w:r>
      <w:r>
        <w:rPr>
          <w:color w:val="auto"/>
          <w:kern w:val="0"/>
        </w:rPr>
        <w:t>工业集聚区（</w:t>
      </w:r>
      <w:r>
        <w:rPr>
          <w:rFonts w:hint="eastAsia"/>
          <w:color w:val="auto"/>
          <w:kern w:val="0"/>
          <w:lang w:eastAsia="zh-CN"/>
        </w:rPr>
        <w:t>永顺经济开发区猛洞河产业园</w:t>
      </w:r>
      <w:r>
        <w:rPr>
          <w:color w:val="auto"/>
          <w:kern w:val="0"/>
        </w:rPr>
        <w:t>）</w:t>
      </w:r>
      <w:r>
        <w:rPr>
          <w:rFonts w:hint="eastAsia"/>
          <w:color w:val="auto"/>
          <w:kern w:val="0"/>
        </w:rPr>
        <w:t>，会</w:t>
      </w:r>
      <w:r>
        <w:rPr>
          <w:color w:val="auto"/>
          <w:kern w:val="0"/>
        </w:rPr>
        <w:t>安装自动在线监控装置</w:t>
      </w:r>
      <w:r>
        <w:rPr>
          <w:rFonts w:hint="eastAsia"/>
          <w:color w:val="auto"/>
          <w:kern w:val="0"/>
        </w:rPr>
        <w:t>，</w:t>
      </w:r>
      <w:r>
        <w:rPr>
          <w:rFonts w:hint="eastAsia"/>
          <w:color w:val="auto"/>
          <w:kern w:val="0"/>
          <w:lang w:eastAsia="zh-CN"/>
        </w:rPr>
        <w:t>永顺经济开发区猛洞河产业园</w:t>
      </w:r>
      <w:r>
        <w:rPr>
          <w:color w:val="auto"/>
          <w:kern w:val="0"/>
        </w:rPr>
        <w:t>内</w:t>
      </w:r>
      <w:r>
        <w:rPr>
          <w:rFonts w:hint="eastAsia"/>
          <w:color w:val="auto"/>
          <w:kern w:val="0"/>
          <w:lang w:eastAsia="zh-CN"/>
        </w:rPr>
        <w:t>企事业</w:t>
      </w:r>
      <w:r>
        <w:rPr>
          <w:color w:val="auto"/>
          <w:kern w:val="0"/>
        </w:rPr>
        <w:t>废水经预处理达到</w:t>
      </w:r>
      <w:r>
        <w:rPr>
          <w:rFonts w:hint="eastAsia"/>
          <w:color w:val="auto"/>
          <w:kern w:val="0"/>
          <w:lang w:eastAsia="zh-CN"/>
        </w:rPr>
        <w:t>《污水综合排放标准》</w:t>
      </w:r>
      <w:r>
        <w:rPr>
          <w:rFonts w:hint="eastAsia" w:ascii="宋体" w:hAnsi="宋体" w:eastAsia="宋体" w:cs="宋体"/>
          <w:color w:val="auto"/>
          <w:kern w:val="0"/>
          <w:lang w:eastAsia="zh-CN"/>
        </w:rPr>
        <w:t>Ⅲ</w:t>
      </w:r>
      <w:r>
        <w:rPr>
          <w:rFonts w:hint="eastAsia"/>
          <w:color w:val="auto"/>
          <w:kern w:val="0"/>
          <w:lang w:eastAsia="zh-CN"/>
        </w:rPr>
        <w:t>类标准后</w:t>
      </w:r>
      <w:r>
        <w:rPr>
          <w:color w:val="auto"/>
          <w:kern w:val="0"/>
        </w:rPr>
        <w:t>，进入</w:t>
      </w:r>
      <w:r>
        <w:rPr>
          <w:rFonts w:hint="eastAsia"/>
          <w:color w:val="auto"/>
          <w:kern w:val="0"/>
        </w:rPr>
        <w:t>本项目</w:t>
      </w:r>
      <w:r>
        <w:rPr>
          <w:color w:val="auto"/>
          <w:kern w:val="0"/>
        </w:rPr>
        <w:t>污水</w:t>
      </w:r>
      <w:r>
        <w:rPr>
          <w:rFonts w:hint="eastAsia"/>
          <w:color w:val="auto"/>
          <w:kern w:val="0"/>
          <w:lang w:eastAsia="zh-CN"/>
        </w:rPr>
        <w:t>污水处理厂深度处理后</w:t>
      </w:r>
      <w:r>
        <w:rPr>
          <w:rFonts w:hint="eastAsia"/>
          <w:color w:val="auto"/>
          <w:kern w:val="0"/>
        </w:rPr>
        <w:t>达标排放。故本项目符合</w:t>
      </w:r>
      <w:r>
        <w:rPr>
          <w:color w:val="auto"/>
          <w:kern w:val="0"/>
        </w:rPr>
        <w:t>《湖南省</w:t>
      </w:r>
      <w:r>
        <w:rPr>
          <w:rFonts w:hint="eastAsia"/>
          <w:color w:val="auto"/>
          <w:kern w:val="0"/>
        </w:rPr>
        <w:t>“</w:t>
      </w:r>
      <w:r>
        <w:rPr>
          <w:color w:val="auto"/>
          <w:kern w:val="0"/>
        </w:rPr>
        <w:t>十</w:t>
      </w:r>
      <w:r>
        <w:rPr>
          <w:rFonts w:hint="eastAsia"/>
          <w:color w:val="auto"/>
          <w:kern w:val="0"/>
        </w:rPr>
        <w:t>四</w:t>
      </w:r>
      <w:r>
        <w:rPr>
          <w:color w:val="auto"/>
          <w:kern w:val="0"/>
        </w:rPr>
        <w:t>五</w:t>
      </w:r>
      <w:r>
        <w:rPr>
          <w:rFonts w:hint="eastAsia"/>
          <w:color w:val="auto"/>
          <w:kern w:val="0"/>
        </w:rPr>
        <w:t>”生态环境保护规划</w:t>
      </w:r>
      <w:r>
        <w:rPr>
          <w:color w:val="auto"/>
          <w:kern w:val="0"/>
        </w:rPr>
        <w:t>》</w:t>
      </w:r>
      <w:r>
        <w:rPr>
          <w:rFonts w:hint="eastAsia"/>
          <w:color w:val="auto"/>
        </w:rPr>
        <w:t>要求。</w:t>
      </w:r>
    </w:p>
    <w:p>
      <w:pPr>
        <w:ind w:firstLine="480"/>
        <w:jc w:val="both"/>
        <w:rPr>
          <w:rFonts w:hint="eastAsia"/>
          <w:color w:val="auto"/>
          <w:kern w:val="0"/>
          <w:u w:val="none"/>
        </w:rPr>
      </w:pPr>
      <w:r>
        <w:rPr>
          <w:rFonts w:hint="eastAsia"/>
          <w:b/>
          <w:bCs/>
          <w:color w:val="auto"/>
          <w:kern w:val="0"/>
          <w:u w:val="none"/>
        </w:rPr>
        <w:t>③与《湘西州国民经济与社会发展第十四个五年规划和二〇三五年远景目标纲要》符合性分析</w:t>
      </w:r>
    </w:p>
    <w:p>
      <w:pPr>
        <w:ind w:firstLine="480"/>
        <w:jc w:val="both"/>
        <w:rPr>
          <w:color w:val="auto"/>
          <w:kern w:val="0"/>
        </w:rPr>
      </w:pPr>
      <w:r>
        <w:rPr>
          <w:color w:val="auto"/>
          <w:kern w:val="0"/>
        </w:rPr>
        <w:t>《</w:t>
      </w:r>
      <w:r>
        <w:rPr>
          <w:rFonts w:hint="eastAsia"/>
          <w:color w:val="auto"/>
          <w:kern w:val="0"/>
        </w:rPr>
        <w:t>湘西州国民经济与社会发展第十四个五年规划和二〇三五年远景目标纲要</w:t>
      </w:r>
      <w:r>
        <w:rPr>
          <w:color w:val="auto"/>
          <w:kern w:val="0"/>
        </w:rPr>
        <w:t>》</w:t>
      </w:r>
      <w:r>
        <w:rPr>
          <w:rFonts w:hint="eastAsia"/>
          <w:color w:val="auto"/>
          <w:kern w:val="0"/>
        </w:rPr>
        <w:t>提出：加快推进园区扩容提质。加强园区发展与新一轮国土空间规划衔接，统筹生产、生活、生态空间，积极争取100平方公里左右园区规划面积，合理预留园区拓展用地，科学划定功能边界，做好扩区调区工作。鼓励各县市（区）加强园区存量用地二次开发，全面加大工业标准厂房、定制厂房建设力度，到2025年新建标准厂房300万平方米以上。鼓励园区开展跨区域合作，积极发展“飞地经济”，共同建设项目孵化、人才培养、市场拓展等服务平台和产业园区，做好新一轮湘西（广州）工业园共建工作。加快完善园区配套设施，积极开展综合节能、产城融合、污染集中治理、综合管廊建设、循环化改造和低碳园区试点建设，抓好园区公共绿化、扬尘治理，推进园区道路、能源集中供应、污水处理、废渣废气处置等基础设施建设，加快园区5G基站、数据中心、充电桩等新型基础设施建设，完善检验检测、仓储物流、创业创新、保障性住房等公共服务配套设施，提升工业园区综合承载力。落实园区单位土地面积投资强度的要求，提高单位土地面积产出，促进低效闲置土地的处置利用。</w:t>
      </w:r>
    </w:p>
    <w:p>
      <w:pPr>
        <w:ind w:firstLine="480"/>
        <w:rPr>
          <w:rFonts w:hint="eastAsia"/>
          <w:color w:val="auto"/>
          <w:kern w:val="0"/>
        </w:rPr>
      </w:pPr>
      <w:r>
        <w:rPr>
          <w:rFonts w:hint="eastAsia"/>
          <w:color w:val="auto"/>
          <w:kern w:val="0"/>
        </w:rPr>
        <w:t>本项目建设内容包括污水处理厂</w:t>
      </w:r>
      <w:r>
        <w:rPr>
          <w:rFonts w:hint="eastAsia"/>
          <w:color w:val="auto"/>
          <w:kern w:val="0"/>
          <w:u w:val="none"/>
        </w:rPr>
        <w:t>、配套管网</w:t>
      </w:r>
      <w:r>
        <w:rPr>
          <w:rFonts w:hint="eastAsia"/>
          <w:color w:val="auto"/>
          <w:kern w:val="0"/>
        </w:rPr>
        <w:t>建设，主要用于接收</w:t>
      </w:r>
      <w:r>
        <w:rPr>
          <w:rFonts w:hint="eastAsia"/>
          <w:color w:val="auto"/>
          <w:kern w:val="0"/>
          <w:lang w:eastAsia="zh-CN"/>
        </w:rPr>
        <w:t>永顺经济开发区猛洞河产业园内的企事业污水</w:t>
      </w:r>
      <w:r>
        <w:rPr>
          <w:rFonts w:hint="eastAsia"/>
          <w:color w:val="auto"/>
          <w:kern w:val="0"/>
        </w:rPr>
        <w:t>，</w:t>
      </w:r>
      <w:r>
        <w:rPr>
          <w:rFonts w:hint="eastAsia"/>
          <w:color w:val="auto"/>
          <w:kern w:val="0"/>
          <w:szCs w:val="21"/>
        </w:rPr>
        <w:t>污水处理厂厂区面积</w:t>
      </w:r>
      <w:r>
        <w:rPr>
          <w:rFonts w:hint="eastAsia"/>
          <w:color w:val="auto"/>
          <w:lang w:val="en-US" w:eastAsia="zh-CN"/>
        </w:rPr>
        <w:t>816.48</w:t>
      </w:r>
      <w:r>
        <w:rPr>
          <w:color w:val="auto"/>
        </w:rPr>
        <w:t>m</w:t>
      </w:r>
      <w:r>
        <w:rPr>
          <w:color w:val="auto"/>
          <w:vertAlign w:val="superscript"/>
        </w:rPr>
        <w:t>2</w:t>
      </w:r>
      <w:r>
        <w:rPr>
          <w:rFonts w:hint="eastAsia"/>
          <w:color w:val="auto"/>
          <w:kern w:val="0"/>
          <w:szCs w:val="21"/>
        </w:rPr>
        <w:t>，本项目的建设防止</w:t>
      </w:r>
      <w:r>
        <w:rPr>
          <w:rFonts w:hint="eastAsia"/>
          <w:color w:val="auto"/>
          <w:kern w:val="0"/>
          <w:lang w:eastAsia="zh-CN"/>
        </w:rPr>
        <w:t>永顺经济开发区猛洞河产业园内企事业污水乱排</w:t>
      </w:r>
      <w:r>
        <w:rPr>
          <w:rFonts w:hint="eastAsia"/>
          <w:color w:val="auto"/>
          <w:kern w:val="0"/>
        </w:rPr>
        <w:t>，保护</w:t>
      </w:r>
      <w:r>
        <w:rPr>
          <w:rFonts w:hint="eastAsia"/>
          <w:color w:val="auto"/>
          <w:kern w:val="0"/>
          <w:lang w:eastAsia="zh-CN"/>
        </w:rPr>
        <w:t>猛洞河</w:t>
      </w:r>
      <w:r>
        <w:rPr>
          <w:rFonts w:hint="eastAsia"/>
          <w:color w:val="auto"/>
          <w:kern w:val="0"/>
        </w:rPr>
        <w:t>水质，属于完善园区配套设施项目，故符合</w:t>
      </w:r>
      <w:r>
        <w:rPr>
          <w:color w:val="auto"/>
          <w:kern w:val="0"/>
        </w:rPr>
        <w:t>《</w:t>
      </w:r>
      <w:r>
        <w:rPr>
          <w:rFonts w:hint="eastAsia"/>
          <w:color w:val="auto"/>
          <w:kern w:val="0"/>
        </w:rPr>
        <w:t>湘西州国民经济与社会发展第十四个五年规划和二〇三五年远景目标纲要</w:t>
      </w:r>
      <w:r>
        <w:rPr>
          <w:color w:val="auto"/>
          <w:kern w:val="0"/>
        </w:rPr>
        <w:t>》</w:t>
      </w:r>
      <w:r>
        <w:rPr>
          <w:rFonts w:hint="eastAsia"/>
          <w:color w:val="auto"/>
          <w:kern w:val="0"/>
        </w:rPr>
        <w:t>。</w:t>
      </w:r>
    </w:p>
    <w:p>
      <w:pPr>
        <w:jc w:val="both"/>
        <w:rPr>
          <w:rFonts w:hint="eastAsia" w:ascii="Times New Roman" w:hAnsi="Times New Roman" w:eastAsia="宋体" w:cs="Times New Roman"/>
          <w:color w:val="auto"/>
          <w:kern w:val="0"/>
          <w:u w:val="single"/>
          <w:lang w:eastAsia="zh-CN"/>
        </w:rPr>
      </w:pPr>
      <w:r>
        <w:rPr>
          <w:rFonts w:hint="eastAsia"/>
          <w:b/>
          <w:bCs/>
          <w:color w:val="auto"/>
          <w:kern w:val="0"/>
          <w:u w:val="none"/>
          <w:lang w:eastAsia="zh-CN"/>
        </w:rPr>
        <w:t>④</w:t>
      </w:r>
      <w:r>
        <w:rPr>
          <w:rFonts w:hint="eastAsia" w:ascii="Times New Roman" w:hAnsi="Times New Roman" w:eastAsia="宋体" w:cs="Times New Roman"/>
          <w:b/>
          <w:bCs/>
          <w:sz w:val="24"/>
          <w:u w:val="single"/>
          <w:lang w:val="en-US" w:eastAsia="zh-CN"/>
        </w:rPr>
        <w:t>项目与《关于进一步规范城镇（园区）污水处理环境管理的通知》(环水体【2020】71号)符合性分析</w:t>
      </w:r>
    </w:p>
    <w:p>
      <w:pPr>
        <w:widowControl w:val="0"/>
        <w:suppressAutoHyphens/>
        <w:wordWrap w:val="0"/>
        <w:topLinePunct/>
        <w:ind w:firstLine="480"/>
        <w:rPr>
          <w:rFonts w:hint="eastAsia" w:ascii="Times New Roman" w:hAnsi="Times New Roman" w:eastAsia="宋体" w:cs="Times New Roman"/>
          <w:u w:val="single"/>
          <w:lang w:eastAsia="zh-CN"/>
        </w:rPr>
      </w:pPr>
      <w:r>
        <w:rPr>
          <w:rFonts w:hint="eastAsia" w:ascii="Times New Roman" w:hAnsi="Times New Roman" w:eastAsia="宋体" w:cs="Times New Roman"/>
          <w:u w:val="single"/>
          <w:lang w:eastAsia="zh-CN"/>
        </w:rPr>
        <w:t>根据《关于进一步规范城镇（园区）污水处理环境管理的通知》(环水体【2020】71号)中已明确的各方职责“</w:t>
      </w:r>
      <w:r>
        <w:rPr>
          <w:rFonts w:hint="eastAsia" w:ascii="Times New Roman" w:hAnsi="Times New Roman" w:eastAsia="宋体" w:cs="Times New Roman"/>
          <w:u w:val="single"/>
          <w:lang w:val="en-US" w:eastAsia="zh-CN"/>
        </w:rPr>
        <w:t>1、</w:t>
      </w:r>
      <w:r>
        <w:rPr>
          <w:rFonts w:hint="eastAsia" w:ascii="Times New Roman" w:hAnsi="Times New Roman" w:eastAsia="宋体" w:cs="Times New Roman"/>
          <w:u w:val="single"/>
          <w:lang w:eastAsia="zh-CN"/>
        </w:rPr>
        <w:t>纳管企业应当防止、减少环境污染和生态破坏，按照国家有关规定申领排污许可证，持证排污、按证排污，对所造成的损害依法承担责任。一是按照国家有关规定对工业污水进行预处理，相关标准规定的第一类污染物及其他有毒有害污染物，应在车间或车间处理设施排放口处理达标；其他污染物达到集中处理设施处理工艺要求后方可排放。二是依法按照相关技术规范开展自行监测并主动公开污染物排放信息，自觉接受监督。属于水环境重点排污单位的，还须依法安装使用自动监测设备，并与当地生态环境部门、运营单位共享数据。三是根据《污水处理费征收使用管理办法》（财税〔2014〕151号）、委托处理合同等，及时足额缴纳污水处理相关费用。四是发生事故致使排放的污水可能危及污水处理厂安全运行时，应当立即采取启用事故调蓄池等应急措施消除危害，通知运营单位并向生态环境部门及相关主管部门报告。</w:t>
      </w:r>
      <w:r>
        <w:rPr>
          <w:rFonts w:hint="eastAsia" w:ascii="Times New Roman" w:hAnsi="Times New Roman" w:eastAsia="宋体" w:cs="Times New Roman"/>
          <w:u w:val="single"/>
          <w:lang w:val="en-US" w:eastAsia="zh-CN"/>
        </w:rPr>
        <w:t>2、</w:t>
      </w:r>
      <w:r>
        <w:rPr>
          <w:rFonts w:hint="eastAsia" w:ascii="Times New Roman" w:hAnsi="Times New Roman" w:eastAsia="宋体" w:cs="Times New Roman"/>
          <w:u w:val="single"/>
          <w:lang w:eastAsia="zh-CN"/>
        </w:rPr>
        <w:t>运营单位应当对污水集中处理设施的出水水质负责，不得排放不达标污水。一是在承接污水处理项目前，应当充分调查服务范围内的污水来源、水质水量、排放特征等情况，合理确定设计水质和处理工艺等，明确处理工艺适用范围，对不能承接的工业污水类型要在合同中载明。二是运营单位应配合地方人民政府或园区管理机构认真调查实际接纳的工业污水类型，发现存在现有工艺无法处理的工业污水且无法与来水单位协商解决的，要书面报请当地人民政府依法采取相应措施。三是加强污水处理设施运营维护，开展进出水水质水量等监测，定期向社会公开运营维护及污染物排放等信息，并向生态环境部门及相关主管部门报送污水处理水质和水量、主要污染物削减量等信息。四是合理设置与抗风险能力相匹配的事故调蓄设施和环境应急措施，发现进水异常，可能导致污水处理系统受损和出水超标时，立即启动应急预案，开展污染物溯源，留存水样和泥样、保存监测记录和现场视频等证据，并第一时间向生态环境部门及相关主管部门报告。”二、(四)督促运营单位切实履行对污水处理厂出水水质负则的法定责任。新建、改建、扩建污水处理项目环境影响评价，要将服务范围内污水调查情况作为重要内容。强化对运营单位突发环境事件处理处置的指导和监督。督促运营单位向社会公开有关运营维护和污染物排放信息；</w:t>
      </w:r>
    </w:p>
    <w:p>
      <w:pPr>
        <w:ind w:firstLine="480"/>
        <w:rPr>
          <w:rFonts w:hint="eastAsia"/>
          <w:b/>
          <w:bCs/>
          <w:color w:val="auto"/>
          <w:kern w:val="0"/>
          <w:u w:val="none"/>
          <w:lang w:eastAsia="zh-CN"/>
        </w:rPr>
      </w:pPr>
      <w:r>
        <w:rPr>
          <w:rFonts w:hint="eastAsia" w:ascii="Times New Roman" w:hAnsi="Times New Roman" w:eastAsia="宋体" w:cs="Times New Roman"/>
          <w:u w:val="single"/>
          <w:lang w:eastAsia="zh-CN"/>
        </w:rPr>
        <w:t>本项目属于园区集中式废水处理项目，项目正在编制环评手续，本项目通过对纳污范围企业环保手续以及实际运营情况对纳污范围内污水情况进行了调查，并在污水进出口设置了废水在线监控设施，并要求运营单位在运营过程中向社会公开项目污染物排放信息，本项目处理的废水主要为生活污水，经处理后各污染物指标可以达到《城镇污水处理厂污染物排放标准》（GB18918-2002）中一级</w:t>
      </w:r>
      <w:r>
        <w:rPr>
          <w:rFonts w:hint="eastAsia" w:ascii="Times New Roman" w:hAnsi="Times New Roman" w:eastAsia="宋体" w:cs="Times New Roman"/>
          <w:u w:val="single"/>
          <w:lang w:val="en-US" w:eastAsia="zh-CN"/>
        </w:rPr>
        <w:t>A</w:t>
      </w:r>
      <w:r>
        <w:rPr>
          <w:rFonts w:hint="eastAsia" w:ascii="Times New Roman" w:hAnsi="Times New Roman" w:eastAsia="宋体" w:cs="Times New Roman"/>
          <w:u w:val="single"/>
          <w:lang w:eastAsia="zh-CN"/>
        </w:rPr>
        <w:t>标准限值要求，因此，本项目建设与《关于进一步规范城镇（园区）污水处理环境管理的通知》(环水体【2020】71号)的要求相符合。</w:t>
      </w:r>
    </w:p>
    <w:p>
      <w:pPr>
        <w:bidi w:val="0"/>
        <w:rPr>
          <w:rFonts w:hint="eastAsia" w:ascii="Times New Roman" w:hAnsi="Times New Roman" w:eastAsia="宋体" w:cs="Times New Roman"/>
          <w:b/>
          <w:bCs/>
          <w:color w:val="auto"/>
          <w:kern w:val="0"/>
          <w:u w:val="single"/>
          <w:lang w:eastAsia="zh-CN"/>
        </w:rPr>
      </w:pPr>
      <w:r>
        <w:rPr>
          <w:rFonts w:hint="eastAsia"/>
          <w:b/>
          <w:bCs/>
          <w:color w:val="auto"/>
          <w:kern w:val="0"/>
          <w:sz w:val="24"/>
          <w:szCs w:val="24"/>
          <w:u w:val="none"/>
          <w:lang w:val="en-US" w:eastAsia="zh-CN"/>
        </w:rPr>
        <w:t>⑤</w:t>
      </w:r>
      <w:r>
        <w:rPr>
          <w:rFonts w:hint="eastAsia" w:ascii="Times New Roman" w:hAnsi="Times New Roman" w:eastAsia="宋体" w:cs="Times New Roman"/>
          <w:b/>
          <w:bCs/>
          <w:color w:val="auto"/>
          <w:kern w:val="0"/>
          <w:u w:val="single"/>
          <w:lang w:eastAsia="zh-CN"/>
        </w:rPr>
        <w:t>项目与《关于进一步规范和加强产业园区生态环境管理的通知》(湘发改【2020】27号)符合性分析</w:t>
      </w:r>
    </w:p>
    <w:p>
      <w:pPr>
        <w:jc w:val="both"/>
        <w:rPr>
          <w:rFonts w:hint="eastAsia" w:ascii="Times New Roman" w:hAnsi="Times New Roman" w:eastAsia="宋体" w:cs="Times New Roman"/>
          <w:color w:val="auto"/>
          <w:kern w:val="0"/>
          <w:u w:val="single"/>
          <w:lang w:eastAsia="zh-CN"/>
        </w:rPr>
      </w:pPr>
      <w:r>
        <w:rPr>
          <w:rFonts w:hint="eastAsia" w:ascii="Times New Roman" w:hAnsi="Times New Roman" w:eastAsia="宋体" w:cs="Times New Roman"/>
          <w:color w:val="auto"/>
          <w:kern w:val="0"/>
          <w:u w:val="single"/>
          <w:lang w:eastAsia="zh-CN"/>
        </w:rPr>
        <w:t>根据文件要求：二、加强园区环境基础设施建设；（四）加强园区废水收集处理。园区要按规定配套建设污水集中处理设施，安装进、出水自动在线监控系统，并与生态环境部门污染源在线监控管理平台联网。园区新建和调区扩区过程中应同步规划污水收集管网，按照“适度超前”原则建设污水管网，确保污水全收集。化工、有色等专业园区应加快改造现有管网，采用专用密闭管道输送废水，逐步实现“一企一管”和可视可监测要求。园区管理机构应建立排水系统监管制度和管理档案，全面排查整治管网错接混接、老旧破损、设施不能稳定达标运行等问题。规范设置园区集中污水处理设施排污口，原则上一个园区只设置一个排污口。</w:t>
      </w:r>
    </w:p>
    <w:p>
      <w:pPr>
        <w:bidi w:val="0"/>
        <w:rPr>
          <w:rFonts w:hint="default" w:ascii="Times New Roman" w:hAnsi="Times New Roman" w:cs="Times New Roman"/>
          <w:lang w:eastAsia="zh-CN"/>
        </w:rPr>
      </w:pPr>
      <w:r>
        <w:rPr>
          <w:rFonts w:hint="eastAsia" w:ascii="Times New Roman" w:hAnsi="Times New Roman" w:eastAsia="宋体" w:cs="Times New Roman"/>
          <w:color w:val="auto"/>
          <w:kern w:val="0"/>
          <w:u w:val="single"/>
          <w:lang w:eastAsia="zh-CN"/>
        </w:rPr>
        <w:t>本项目属于园区企业废水集中式处理工程，项目安装进、出水自动在线监控系统，并与生态环境部门污染源在线监控管理平台联网，本项目废水经处理后达标排入猛洞河，本项目排污口为永顺经济开发区猛洞河产业园唯一排污口，满足原则上一个园区只设置一个排污口的要求。</w:t>
      </w:r>
    </w:p>
    <w:p>
      <w:pPr>
        <w:ind w:firstLine="452"/>
        <w:jc w:val="both"/>
        <w:rPr>
          <w:color w:val="auto"/>
          <w:spacing w:val="-7"/>
          <w:u w:val="none"/>
        </w:rPr>
      </w:pPr>
      <w:r>
        <w:rPr>
          <w:rFonts w:hint="eastAsia" w:cs="Times New Roman"/>
          <w:b/>
          <w:bCs/>
          <w:sz w:val="24"/>
          <w:szCs w:val="24"/>
          <w:lang w:eastAsia="zh-CN"/>
        </w:rPr>
        <w:t>⑥</w:t>
      </w:r>
      <w:r>
        <w:rPr>
          <w:rFonts w:hint="eastAsia"/>
          <w:b/>
          <w:bCs/>
          <w:color w:val="auto"/>
          <w:spacing w:val="-7"/>
          <w:u w:val="none"/>
        </w:rPr>
        <w:t>与湖南省污染防治攻坚战三年行动计划(</w:t>
      </w:r>
      <w:r>
        <w:rPr>
          <w:b/>
          <w:bCs/>
          <w:color w:val="auto"/>
          <w:spacing w:val="-7"/>
          <w:u w:val="none"/>
        </w:rPr>
        <w:t>2018-</w:t>
      </w:r>
      <w:r>
        <w:rPr>
          <w:rFonts w:hint="eastAsia"/>
          <w:b/>
          <w:bCs/>
          <w:color w:val="auto"/>
          <w:spacing w:val="-7"/>
          <w:u w:val="none"/>
          <w:lang w:val="en-US" w:eastAsia="zh-CN"/>
        </w:rPr>
        <w:t>2020</w:t>
      </w:r>
      <w:r>
        <w:rPr>
          <w:rFonts w:hint="eastAsia"/>
          <w:b/>
          <w:bCs/>
          <w:color w:val="auto"/>
          <w:spacing w:val="-7"/>
          <w:u w:val="none"/>
        </w:rPr>
        <w:t>年)的符合性分析</w:t>
      </w:r>
    </w:p>
    <w:p>
      <w:pPr>
        <w:ind w:firstLine="452"/>
        <w:jc w:val="both"/>
        <w:rPr>
          <w:color w:val="auto"/>
          <w:spacing w:val="-7"/>
          <w:u w:val="none"/>
        </w:rPr>
      </w:pPr>
      <w:r>
        <w:rPr>
          <w:rFonts w:hint="eastAsia"/>
          <w:color w:val="auto"/>
          <w:spacing w:val="-7"/>
          <w:u w:val="none"/>
        </w:rPr>
        <w:t>《湖南省污染防治攻坚战三年行动计划(</w:t>
      </w:r>
      <w:r>
        <w:rPr>
          <w:color w:val="auto"/>
          <w:spacing w:val="-7"/>
          <w:u w:val="none"/>
        </w:rPr>
        <w:t>2018-</w:t>
      </w:r>
      <w:r>
        <w:rPr>
          <w:rFonts w:hint="eastAsia"/>
          <w:color w:val="auto"/>
          <w:spacing w:val="-7"/>
          <w:u w:val="none"/>
          <w:lang w:val="en-US" w:eastAsia="zh-CN"/>
        </w:rPr>
        <w:t>2020</w:t>
      </w:r>
      <w:r>
        <w:rPr>
          <w:rFonts w:hint="eastAsia"/>
          <w:color w:val="auto"/>
          <w:spacing w:val="-7"/>
          <w:u w:val="none"/>
        </w:rPr>
        <w:t>年)》中要求：狠抓工业园区污染治理。积极推进生态园区建设和循环化改造，完善省级及以上工业集聚区污水集中处理设施，加强配套管网建设，并确保稳定运行。2019年底前，完成网格化监测微型站建设，建成园区环境综合监管平台；强化城镇生活污水治理。落实《湖南省城市双修三年行动计划(2018—2020年)》，到2020年，设市城市、县城生活污水处理率分别达到95%和90%，洞庭湖、东江湖等重点区域县级及以上城镇生活污水处理设施应全面达到一级A排放标准。加快推进重点镇污水处理设施建设“三年行动计划”，到2020年，全省建制镇生活污水处理率达到70%以上，其中，重点镇和长沙市、常德市、岳阳市、益阳市重点区域建制镇实现污水处理设施全覆盖。推进污泥处理处置，到2020年，地级城市污泥无害化处理处置率达到90%以上。强化城中村、老旧城区和城乡结合部污水截流、收集，到2020年，全省地级城市建成区以及洞庭湖区域县级城市建成区基本实现污水全收集、全处理。</w:t>
      </w:r>
    </w:p>
    <w:p>
      <w:pPr>
        <w:ind w:firstLine="480"/>
        <w:jc w:val="both"/>
        <w:rPr>
          <w:rFonts w:hint="eastAsia"/>
          <w:color w:val="auto"/>
          <w:spacing w:val="-7"/>
          <w:u w:val="none"/>
        </w:rPr>
      </w:pPr>
      <w:r>
        <w:rPr>
          <w:rFonts w:hint="eastAsia"/>
          <w:color w:val="auto"/>
          <w:kern w:val="0"/>
          <w:u w:val="none"/>
        </w:rPr>
        <w:t>本项目建设内容包括污水处理厂建设、</w:t>
      </w:r>
      <w:r>
        <w:rPr>
          <w:rFonts w:hint="eastAsia"/>
          <w:color w:val="auto"/>
          <w:kern w:val="0"/>
          <w:u w:val="none"/>
          <w:lang w:eastAsia="zh-CN"/>
        </w:rPr>
        <w:t>配套管道建设</w:t>
      </w:r>
      <w:r>
        <w:rPr>
          <w:rFonts w:hint="eastAsia"/>
          <w:color w:val="auto"/>
          <w:kern w:val="0"/>
          <w:u w:val="none"/>
        </w:rPr>
        <w:t>，属于</w:t>
      </w:r>
      <w:r>
        <w:rPr>
          <w:rFonts w:hint="eastAsia"/>
          <w:color w:val="auto"/>
          <w:kern w:val="0"/>
          <w:u w:val="none"/>
          <w:lang w:eastAsia="zh-CN"/>
        </w:rPr>
        <w:t>永顺经济开发区猛洞河产业园</w:t>
      </w:r>
      <w:r>
        <w:rPr>
          <w:rFonts w:hint="eastAsia"/>
          <w:color w:val="auto"/>
          <w:kern w:val="0"/>
          <w:u w:val="none"/>
        </w:rPr>
        <w:t>基础设施建设，主要用于用于接纳</w:t>
      </w:r>
      <w:r>
        <w:rPr>
          <w:rFonts w:hint="eastAsia"/>
          <w:color w:val="auto"/>
          <w:kern w:val="0"/>
          <w:u w:val="none"/>
          <w:lang w:eastAsia="zh-CN"/>
        </w:rPr>
        <w:t>永顺经济开发区猛洞河产业园园区</w:t>
      </w:r>
      <w:r>
        <w:rPr>
          <w:rFonts w:hint="eastAsia"/>
          <w:color w:val="auto"/>
          <w:kern w:val="0"/>
          <w:u w:val="none"/>
        </w:rPr>
        <w:t>内的企事业污水，</w:t>
      </w:r>
      <w:r>
        <w:rPr>
          <w:color w:val="auto"/>
          <w:kern w:val="0"/>
          <w:szCs w:val="21"/>
          <w:u w:val="none"/>
        </w:rPr>
        <w:t>本</w:t>
      </w:r>
      <w:r>
        <w:rPr>
          <w:rFonts w:hint="eastAsia"/>
          <w:color w:val="auto"/>
          <w:kern w:val="0"/>
          <w:szCs w:val="21"/>
          <w:u w:val="none"/>
        </w:rPr>
        <w:t>工程</w:t>
      </w:r>
      <w:r>
        <w:rPr>
          <w:color w:val="auto"/>
          <w:kern w:val="0"/>
          <w:szCs w:val="21"/>
          <w:u w:val="none"/>
        </w:rPr>
        <w:t>污水处理厂厂区总</w:t>
      </w:r>
      <w:r>
        <w:rPr>
          <w:rFonts w:hint="eastAsia"/>
          <w:color w:val="auto"/>
          <w:kern w:val="0"/>
          <w:szCs w:val="21"/>
          <w:u w:val="none"/>
        </w:rPr>
        <w:t>征地</w:t>
      </w:r>
      <w:r>
        <w:rPr>
          <w:color w:val="auto"/>
          <w:kern w:val="0"/>
          <w:szCs w:val="21"/>
          <w:u w:val="none"/>
        </w:rPr>
        <w:t>面积</w:t>
      </w:r>
      <w:r>
        <w:rPr>
          <w:rFonts w:hint="eastAsia"/>
          <w:color w:val="auto"/>
          <w:kern w:val="0"/>
          <w:szCs w:val="21"/>
          <w:u w:val="none"/>
          <w:lang w:val="en-US" w:eastAsia="zh-CN"/>
        </w:rPr>
        <w:t>816.48</w:t>
      </w:r>
      <w:r>
        <w:rPr>
          <w:rFonts w:hint="eastAsia"/>
          <w:color w:val="auto"/>
          <w:kern w:val="0"/>
          <w:szCs w:val="21"/>
          <w:u w:val="none"/>
        </w:rPr>
        <w:t>m</w:t>
      </w:r>
      <w:r>
        <w:rPr>
          <w:rFonts w:hint="eastAsia"/>
          <w:color w:val="auto"/>
          <w:kern w:val="0"/>
          <w:szCs w:val="21"/>
          <w:u w:val="none"/>
          <w:vertAlign w:val="superscript"/>
        </w:rPr>
        <w:t>2</w:t>
      </w:r>
      <w:r>
        <w:rPr>
          <w:rFonts w:hint="eastAsia"/>
          <w:color w:val="auto"/>
          <w:kern w:val="0"/>
          <w:szCs w:val="21"/>
          <w:u w:val="none"/>
        </w:rPr>
        <w:t>，厂区</w:t>
      </w:r>
      <w:r>
        <w:rPr>
          <w:rFonts w:hint="eastAsia"/>
          <w:color w:val="auto"/>
          <w:kern w:val="0"/>
          <w:szCs w:val="21"/>
          <w:u w:val="none"/>
          <w:lang w:eastAsia="zh-CN"/>
        </w:rPr>
        <w:t>总建筑占地</w:t>
      </w:r>
      <w:r>
        <w:rPr>
          <w:rFonts w:hint="eastAsia"/>
          <w:color w:val="auto"/>
          <w:kern w:val="0"/>
          <w:szCs w:val="21"/>
          <w:u w:val="none"/>
        </w:rPr>
        <w:t>面积</w:t>
      </w:r>
      <w:r>
        <w:rPr>
          <w:rFonts w:hint="eastAsia"/>
          <w:color w:val="auto"/>
          <w:kern w:val="0"/>
          <w:szCs w:val="21"/>
          <w:u w:val="none"/>
          <w:lang w:val="en-US" w:eastAsia="zh-CN"/>
        </w:rPr>
        <w:t>570.56</w:t>
      </w:r>
      <w:r>
        <w:rPr>
          <w:rFonts w:hint="eastAsia"/>
          <w:color w:val="auto"/>
          <w:kern w:val="0"/>
          <w:szCs w:val="21"/>
          <w:u w:val="none"/>
        </w:rPr>
        <w:t xml:space="preserve"> m</w:t>
      </w:r>
      <w:r>
        <w:rPr>
          <w:rFonts w:hint="eastAsia"/>
          <w:color w:val="auto"/>
          <w:kern w:val="0"/>
          <w:szCs w:val="21"/>
          <w:u w:val="none"/>
          <w:vertAlign w:val="superscript"/>
        </w:rPr>
        <w:t>2</w:t>
      </w:r>
      <w:r>
        <w:rPr>
          <w:rFonts w:hint="eastAsia"/>
          <w:color w:val="auto"/>
          <w:kern w:val="0"/>
          <w:szCs w:val="21"/>
          <w:u w:val="none"/>
        </w:rPr>
        <w:t>，</w:t>
      </w:r>
      <w:r>
        <w:rPr>
          <w:rFonts w:hint="eastAsia"/>
          <w:color w:val="auto"/>
          <w:kern w:val="0"/>
          <w:szCs w:val="21"/>
          <w:u w:val="none"/>
          <w:lang w:eastAsia="zh-CN"/>
        </w:rPr>
        <w:t>操作间占地</w:t>
      </w:r>
      <w:r>
        <w:rPr>
          <w:rFonts w:hint="eastAsia"/>
          <w:color w:val="auto"/>
          <w:kern w:val="0"/>
          <w:szCs w:val="21"/>
          <w:u w:val="none"/>
        </w:rPr>
        <w:t>面积</w:t>
      </w:r>
      <w:r>
        <w:rPr>
          <w:rFonts w:hint="eastAsia"/>
          <w:color w:val="auto"/>
          <w:kern w:val="0"/>
          <w:szCs w:val="21"/>
          <w:u w:val="none"/>
          <w:lang w:val="en-US" w:eastAsia="zh-CN"/>
        </w:rPr>
        <w:t>54.60</w:t>
      </w:r>
      <w:r>
        <w:rPr>
          <w:rFonts w:hint="eastAsia"/>
          <w:color w:val="auto"/>
          <w:kern w:val="0"/>
          <w:szCs w:val="21"/>
          <w:u w:val="none"/>
        </w:rPr>
        <w:t>m</w:t>
      </w:r>
      <w:r>
        <w:rPr>
          <w:rFonts w:hint="eastAsia"/>
          <w:color w:val="auto"/>
          <w:kern w:val="0"/>
          <w:szCs w:val="21"/>
          <w:u w:val="none"/>
          <w:vertAlign w:val="superscript"/>
        </w:rPr>
        <w:t>2</w:t>
      </w:r>
      <w:r>
        <w:rPr>
          <w:rFonts w:hint="eastAsia"/>
          <w:color w:val="auto"/>
          <w:kern w:val="0"/>
          <w:u w:val="none"/>
        </w:rPr>
        <w:t>，</w:t>
      </w:r>
      <w:r>
        <w:rPr>
          <w:color w:val="auto"/>
          <w:kern w:val="0"/>
          <w:u w:val="none"/>
        </w:rPr>
        <w:t>工程新建单体有</w:t>
      </w:r>
      <w:r>
        <w:rPr>
          <w:color w:val="auto"/>
          <w:spacing w:val="-8"/>
          <w:u w:val="none"/>
        </w:rPr>
        <w:t>格栅</w:t>
      </w:r>
      <w:r>
        <w:rPr>
          <w:rFonts w:hint="eastAsia"/>
          <w:color w:val="auto"/>
          <w:spacing w:val="-8"/>
          <w:u w:val="none"/>
          <w:lang w:eastAsia="zh-CN"/>
        </w:rPr>
        <w:t>渠</w:t>
      </w:r>
      <w:r>
        <w:rPr>
          <w:color w:val="auto"/>
          <w:spacing w:val="-8"/>
          <w:u w:val="none"/>
        </w:rPr>
        <w:t>、沉砂池、调节池、</w:t>
      </w:r>
      <w:r>
        <w:rPr>
          <w:rFonts w:hint="eastAsia"/>
          <w:color w:val="auto"/>
          <w:spacing w:val="-8"/>
          <w:u w:val="none"/>
          <w:lang w:val="en-US" w:eastAsia="zh-CN"/>
        </w:rPr>
        <w:t>MBR设备</w:t>
      </w:r>
      <w:r>
        <w:rPr>
          <w:color w:val="auto"/>
          <w:spacing w:val="-2"/>
          <w:u w:val="none"/>
        </w:rPr>
        <w:t>、</w:t>
      </w:r>
      <w:r>
        <w:rPr>
          <w:rFonts w:hint="eastAsia"/>
          <w:color w:val="auto"/>
          <w:spacing w:val="-2"/>
          <w:u w:val="none"/>
          <w:lang w:eastAsia="zh-CN"/>
        </w:rPr>
        <w:t>清水</w:t>
      </w:r>
      <w:r>
        <w:rPr>
          <w:color w:val="auto"/>
          <w:spacing w:val="-2"/>
          <w:u w:val="none"/>
        </w:rPr>
        <w:t>池</w:t>
      </w:r>
      <w:r>
        <w:rPr>
          <w:rFonts w:hint="eastAsia"/>
          <w:color w:val="auto"/>
          <w:u w:val="none"/>
          <w:lang w:eastAsia="zh-CN"/>
        </w:rPr>
        <w:t>及辅助用房</w:t>
      </w:r>
      <w:r>
        <w:rPr>
          <w:rFonts w:hint="eastAsia"/>
          <w:color w:val="auto"/>
          <w:kern w:val="0"/>
          <w:u w:val="none"/>
        </w:rPr>
        <w:t>。采用雨污分流制，项目污泥脱水采用</w:t>
      </w:r>
      <w:r>
        <w:rPr>
          <w:rFonts w:hint="eastAsia"/>
          <w:color w:val="auto"/>
          <w:kern w:val="0"/>
          <w:u w:val="none"/>
          <w:lang w:eastAsia="zh-CN"/>
        </w:rPr>
        <w:t>叠螺式污泥脱水机</w:t>
      </w:r>
      <w:r>
        <w:rPr>
          <w:rFonts w:hint="eastAsia"/>
          <w:color w:val="auto"/>
          <w:kern w:val="0"/>
          <w:u w:val="none"/>
        </w:rPr>
        <w:t>对其进行脱水处理，脱水后的污泥首先建设单位应按照《危险废物鉴别标准</w:t>
      </w:r>
      <w:r>
        <w:rPr>
          <w:color w:val="auto"/>
          <w:kern w:val="0"/>
          <w:u w:val="none"/>
        </w:rPr>
        <w:t xml:space="preserve"> </w:t>
      </w:r>
      <w:r>
        <w:rPr>
          <w:rFonts w:hint="eastAsia"/>
          <w:color w:val="auto"/>
          <w:kern w:val="0"/>
          <w:u w:val="none"/>
        </w:rPr>
        <w:t>浸出毒性鉴别》（</w:t>
      </w:r>
      <w:r>
        <w:rPr>
          <w:color w:val="auto"/>
          <w:kern w:val="0"/>
          <w:u w:val="none"/>
        </w:rPr>
        <w:t>GB5085.3-2007</w:t>
      </w:r>
      <w:r>
        <w:rPr>
          <w:rFonts w:hint="eastAsia"/>
          <w:color w:val="auto"/>
          <w:kern w:val="0"/>
          <w:u w:val="none"/>
        </w:rPr>
        <w:t>）进行浸出实验，确认污泥性质，如属于危险废物，运营单位应按照危险废物要求进行管理，并委托具有相应资质单位进行安全处置；如鉴别属于一般固废，则可运至</w:t>
      </w:r>
      <w:r>
        <w:rPr>
          <w:rFonts w:hint="eastAsia"/>
          <w:color w:val="auto"/>
          <w:kern w:val="0"/>
          <w:u w:val="none"/>
          <w:lang w:eastAsia="zh-CN"/>
        </w:rPr>
        <w:t>永顺县</w:t>
      </w:r>
      <w:r>
        <w:rPr>
          <w:rFonts w:hint="eastAsia"/>
          <w:color w:val="auto"/>
          <w:kern w:val="0"/>
          <w:u w:val="none"/>
        </w:rPr>
        <w:t>垃圾填埋场进行卫生填埋，本项目加快了</w:t>
      </w:r>
      <w:r>
        <w:rPr>
          <w:rFonts w:hint="eastAsia"/>
          <w:color w:val="auto"/>
          <w:kern w:val="0"/>
          <w:u w:val="none"/>
          <w:lang w:eastAsia="zh-CN"/>
        </w:rPr>
        <w:t>永顺经济开发区猛洞河产业园园区</w:t>
      </w:r>
      <w:r>
        <w:rPr>
          <w:rFonts w:hint="eastAsia"/>
          <w:color w:val="auto"/>
          <w:kern w:val="0"/>
          <w:u w:val="none"/>
        </w:rPr>
        <w:t>污水处理设施和管网建设改造，推进了污泥无害化处理和资源化利用，实现</w:t>
      </w:r>
      <w:r>
        <w:rPr>
          <w:rFonts w:hint="eastAsia"/>
          <w:color w:val="auto"/>
          <w:kern w:val="0"/>
          <w:u w:val="none"/>
          <w:lang w:eastAsia="zh-CN"/>
        </w:rPr>
        <w:t>永顺经济开发区猛洞河产业园园区</w:t>
      </w:r>
      <w:r>
        <w:rPr>
          <w:rFonts w:hint="eastAsia"/>
          <w:color w:val="auto"/>
          <w:kern w:val="0"/>
          <w:u w:val="none"/>
        </w:rPr>
        <w:t>生活污水设施全覆盖和稳定达标运行，与</w:t>
      </w:r>
      <w:r>
        <w:rPr>
          <w:rFonts w:hint="eastAsia"/>
          <w:color w:val="auto"/>
          <w:spacing w:val="-7"/>
          <w:u w:val="none"/>
        </w:rPr>
        <w:t>《湖南省污染防治攻坚战三年行动计划(</w:t>
      </w:r>
      <w:r>
        <w:rPr>
          <w:color w:val="auto"/>
          <w:spacing w:val="-7"/>
          <w:u w:val="none"/>
        </w:rPr>
        <w:t>2018-20</w:t>
      </w:r>
      <w:r>
        <w:rPr>
          <w:rFonts w:hint="eastAsia"/>
          <w:color w:val="auto"/>
          <w:spacing w:val="-7"/>
          <w:u w:val="none"/>
          <w:lang w:val="en-US" w:eastAsia="zh-CN"/>
        </w:rPr>
        <w:t>20</w:t>
      </w:r>
      <w:r>
        <w:rPr>
          <w:rFonts w:hint="eastAsia"/>
          <w:color w:val="auto"/>
          <w:spacing w:val="-7"/>
          <w:u w:val="none"/>
        </w:rPr>
        <w:t>年)》相符。</w:t>
      </w:r>
    </w:p>
    <w:p>
      <w:pPr>
        <w:ind w:firstLine="480"/>
        <w:rPr>
          <w:b/>
          <w:bCs/>
          <w:color w:val="auto"/>
          <w:kern w:val="0"/>
          <w:u w:val="none"/>
        </w:rPr>
      </w:pPr>
      <w:r>
        <w:rPr>
          <w:rFonts w:hint="eastAsia"/>
          <w:b/>
          <w:bCs/>
          <w:color w:val="auto"/>
          <w:kern w:val="0"/>
          <w:u w:val="none"/>
          <w:lang w:eastAsia="zh-CN"/>
        </w:rPr>
        <w:t>（</w:t>
      </w:r>
      <w:r>
        <w:rPr>
          <w:rFonts w:hint="eastAsia"/>
          <w:b/>
          <w:bCs/>
          <w:color w:val="auto"/>
          <w:kern w:val="0"/>
          <w:u w:val="none"/>
          <w:lang w:val="en-US" w:eastAsia="zh-CN"/>
        </w:rPr>
        <w:t>3</w:t>
      </w:r>
      <w:r>
        <w:rPr>
          <w:rFonts w:hint="eastAsia"/>
          <w:b/>
          <w:bCs/>
          <w:color w:val="auto"/>
          <w:kern w:val="0"/>
          <w:u w:val="none"/>
          <w:lang w:eastAsia="zh-CN"/>
        </w:rPr>
        <w:t>）</w:t>
      </w:r>
      <w:r>
        <w:rPr>
          <w:rFonts w:hint="eastAsia"/>
          <w:b/>
          <w:bCs/>
          <w:color w:val="auto"/>
          <w:kern w:val="0"/>
          <w:u w:val="none"/>
        </w:rPr>
        <w:t>“三线一单”符合性分析</w:t>
      </w:r>
    </w:p>
    <w:p>
      <w:pPr>
        <w:ind w:firstLine="480"/>
        <w:jc w:val="both"/>
        <w:rPr>
          <w:rFonts w:hint="eastAsia"/>
          <w:color w:val="auto"/>
          <w:u w:val="none"/>
        </w:rPr>
      </w:pPr>
      <w:r>
        <w:rPr>
          <w:rFonts w:hint="eastAsia"/>
          <w:color w:val="auto"/>
          <w:u w:val="none"/>
          <w:lang w:eastAsia="zh-CN"/>
        </w:rPr>
        <w:t>湖南永顺经济开发区猛洞河产业园污水处理厂建设项目</w:t>
      </w:r>
      <w:r>
        <w:rPr>
          <w:rFonts w:hint="eastAsia"/>
          <w:color w:val="auto"/>
          <w:u w:val="none"/>
        </w:rPr>
        <w:t>位于</w:t>
      </w:r>
      <w:r>
        <w:rPr>
          <w:rFonts w:hint="eastAsia"/>
          <w:color w:val="auto"/>
          <w:u w:val="none"/>
          <w:lang w:eastAsia="zh-CN"/>
        </w:rPr>
        <w:t>永顺县灵溪镇岔那村（猛洞河产业园）</w:t>
      </w:r>
      <w:r>
        <w:rPr>
          <w:rFonts w:hint="eastAsia"/>
          <w:color w:val="auto"/>
          <w:u w:val="none"/>
        </w:rPr>
        <w:t>。根据《</w:t>
      </w:r>
      <w:r>
        <w:rPr>
          <w:rFonts w:hint="eastAsia"/>
          <w:color w:val="auto"/>
          <w:u w:val="none"/>
          <w:lang w:eastAsia="zh-CN"/>
        </w:rPr>
        <w:t>湖南永顺经济开发区调扩区</w:t>
      </w:r>
      <w:r>
        <w:rPr>
          <w:rFonts w:hint="eastAsia"/>
          <w:color w:val="auto"/>
          <w:u w:val="none"/>
        </w:rPr>
        <w:t>环境影响报告书》及其审查意见、《</w:t>
      </w:r>
      <w:r>
        <w:rPr>
          <w:rFonts w:hint="eastAsia"/>
          <w:color w:val="auto"/>
          <w:u w:val="none"/>
          <w:lang w:eastAsia="zh-CN"/>
        </w:rPr>
        <w:t>永顺</w:t>
      </w:r>
      <w:r>
        <w:rPr>
          <w:rFonts w:hint="eastAsia"/>
          <w:color w:val="auto"/>
          <w:u w:val="none"/>
        </w:rPr>
        <w:t>县生态保护红线》，本次评价将拟建项目与</w:t>
      </w:r>
      <w:r>
        <w:rPr>
          <w:rFonts w:hint="eastAsia"/>
          <w:color w:val="auto"/>
          <w:u w:val="none"/>
          <w:lang w:eastAsia="zh-CN"/>
        </w:rPr>
        <w:t>永顺县</w:t>
      </w:r>
      <w:r>
        <w:rPr>
          <w:rFonts w:hint="eastAsia"/>
          <w:color w:val="auto"/>
          <w:u w:val="none"/>
        </w:rPr>
        <w:t>生态保护红线、环境质量底线、资源利用上线和环境准入负面清单进行对照，作为开展环境影响评价工作的前提和基础。</w:t>
      </w:r>
    </w:p>
    <w:p>
      <w:pPr>
        <w:ind w:firstLine="480"/>
        <w:jc w:val="both"/>
        <w:rPr>
          <w:rFonts w:hint="eastAsia"/>
          <w:color w:val="auto"/>
          <w:kern w:val="0"/>
          <w:u w:val="none"/>
        </w:rPr>
      </w:pPr>
      <w:r>
        <w:rPr>
          <w:rFonts w:hint="eastAsia"/>
          <w:b/>
          <w:bCs/>
          <w:color w:val="auto"/>
          <w:kern w:val="0"/>
          <w:u w:val="none"/>
        </w:rPr>
        <w:t>1）生态保护红线</w:t>
      </w:r>
    </w:p>
    <w:p>
      <w:pPr>
        <w:widowControl w:val="0"/>
        <w:ind w:firstLine="480"/>
        <w:jc w:val="both"/>
        <w:rPr>
          <w:rFonts w:hint="eastAsia"/>
          <w:color w:val="auto"/>
          <w:kern w:val="0"/>
          <w:sz w:val="21"/>
          <w:szCs w:val="21"/>
          <w:u w:val="none"/>
        </w:rPr>
      </w:pPr>
      <w:r>
        <w:rPr>
          <w:rFonts w:hint="eastAsia"/>
          <w:color w:val="auto"/>
          <w:sz w:val="24"/>
          <w:szCs w:val="24"/>
          <w:u w:val="single"/>
          <w:lang w:val="en-US" w:eastAsia="zh-CN"/>
        </w:rPr>
        <w:t>经与永顺县自然资源局核查，本项目污水处理厂及管道不涉及永顺县调整后的生态红线，</w:t>
      </w:r>
      <w:r>
        <w:rPr>
          <w:rFonts w:hint="eastAsia"/>
          <w:color w:val="auto"/>
          <w:sz w:val="24"/>
          <w:szCs w:val="24"/>
          <w:u w:val="single"/>
          <w:lang w:eastAsia="zh-CN"/>
        </w:rPr>
        <w:t>详见附件</w:t>
      </w:r>
      <w:r>
        <w:rPr>
          <w:rFonts w:hint="eastAsia"/>
          <w:sz w:val="24"/>
          <w:szCs w:val="24"/>
          <w:u w:val="single"/>
          <w:lang w:val="en-US" w:eastAsia="zh-CN"/>
        </w:rPr>
        <w:t>8</w:t>
      </w:r>
      <w:r>
        <w:rPr>
          <w:rFonts w:hint="eastAsia"/>
          <w:color w:val="auto"/>
          <w:kern w:val="0"/>
          <w:sz w:val="21"/>
          <w:szCs w:val="21"/>
          <w:u w:val="none"/>
        </w:rPr>
        <w:t>。</w:t>
      </w:r>
    </w:p>
    <w:p>
      <w:pPr>
        <w:ind w:firstLine="452"/>
        <w:jc w:val="both"/>
        <w:rPr>
          <w:rFonts w:hint="eastAsia" w:ascii="Times New Roman" w:hAnsi="Times New Roman" w:eastAsia="宋体" w:cs="Times New Roman"/>
          <w:b/>
          <w:bCs/>
          <w:color w:val="auto"/>
          <w:spacing w:val="-7"/>
          <w:u w:val="none"/>
        </w:rPr>
      </w:pPr>
      <w:r>
        <w:rPr>
          <w:rFonts w:hint="eastAsia" w:ascii="Times New Roman" w:hAnsi="Times New Roman" w:eastAsia="宋体" w:cs="Times New Roman"/>
          <w:b/>
          <w:bCs/>
          <w:color w:val="auto"/>
          <w:spacing w:val="-7"/>
          <w:u w:val="none"/>
        </w:rPr>
        <w:t>2）环境质量底线</w:t>
      </w:r>
    </w:p>
    <w:p>
      <w:pPr>
        <w:ind w:firstLine="480"/>
        <w:jc w:val="both"/>
        <w:rPr>
          <w:rFonts w:hint="eastAsia"/>
          <w:color w:val="auto"/>
          <w:kern w:val="0"/>
          <w:u w:val="none"/>
        </w:rPr>
      </w:pPr>
      <w:r>
        <w:rPr>
          <w:rFonts w:hint="eastAsia"/>
          <w:color w:val="auto"/>
          <w:kern w:val="0"/>
          <w:u w:val="none"/>
        </w:rPr>
        <w:t>根据</w:t>
      </w:r>
      <w:r>
        <w:rPr>
          <w:rFonts w:hint="eastAsia"/>
          <w:color w:val="auto"/>
          <w:kern w:val="0"/>
          <w:u w:val="none"/>
          <w:lang w:eastAsia="zh-CN"/>
        </w:rPr>
        <w:t>湘西州生态环境检测中心发布的</w:t>
      </w:r>
      <w:r>
        <w:rPr>
          <w:rFonts w:hint="eastAsia"/>
          <w:color w:val="auto"/>
          <w:kern w:val="0"/>
          <w:u w:val="none"/>
          <w:lang w:val="en-US" w:eastAsia="zh-CN"/>
        </w:rPr>
        <w:t>2021年环境质量数据</w:t>
      </w:r>
      <w:r>
        <w:rPr>
          <w:rFonts w:hint="eastAsia"/>
          <w:color w:val="auto"/>
          <w:kern w:val="0"/>
          <w:u w:val="none"/>
        </w:rPr>
        <w:t>及所在地环境质量现状调查结果，</w:t>
      </w:r>
      <w:r>
        <w:rPr>
          <w:rFonts w:hint="eastAsia"/>
          <w:color w:val="auto"/>
          <w:kern w:val="0"/>
          <w:u w:val="none"/>
          <w:lang w:eastAsia="zh-CN"/>
        </w:rPr>
        <w:t>永顺县大气环境空气质量及地表水环境质量均达标，本</w:t>
      </w:r>
      <w:r>
        <w:rPr>
          <w:rFonts w:hint="eastAsia"/>
          <w:color w:val="auto"/>
          <w:kern w:val="0"/>
          <w:u w:val="none"/>
        </w:rPr>
        <w:t>项目</w:t>
      </w:r>
      <w:r>
        <w:rPr>
          <w:rFonts w:hint="eastAsia"/>
          <w:color w:val="auto"/>
          <w:kern w:val="0"/>
          <w:u w:val="none"/>
          <w:lang w:eastAsia="zh-CN"/>
        </w:rPr>
        <w:t>处理废水主要为有机废水，故</w:t>
      </w:r>
      <w:r>
        <w:rPr>
          <w:rFonts w:hint="eastAsia"/>
          <w:color w:val="auto"/>
          <w:kern w:val="0"/>
          <w:u w:val="none"/>
        </w:rPr>
        <w:t>废气主要污染为氨和硫化氢等，经处理后可达标排放；项目废水经处理后出水执行《城镇污水处理厂污染物排放标准》一级A标准，即COD≤</w:t>
      </w:r>
      <w:r>
        <w:rPr>
          <w:rFonts w:hint="eastAsia"/>
          <w:color w:val="auto"/>
          <w:kern w:val="0"/>
          <w:u w:val="none"/>
          <w:lang w:val="en-US" w:eastAsia="zh-CN"/>
        </w:rPr>
        <w:t>50</w:t>
      </w:r>
      <w:r>
        <w:rPr>
          <w:rFonts w:hint="eastAsia"/>
          <w:color w:val="auto"/>
          <w:kern w:val="0"/>
          <w:u w:val="none"/>
        </w:rPr>
        <w:t>mg/L、</w:t>
      </w:r>
      <w:r>
        <w:rPr>
          <w:rFonts w:hint="eastAsia"/>
          <w:color w:val="auto"/>
          <w:kern w:val="0"/>
          <w:u w:val="none"/>
          <w:lang w:val="en-US" w:eastAsia="zh-CN"/>
        </w:rPr>
        <w:t>BOD</w:t>
      </w:r>
      <w:r>
        <w:rPr>
          <w:rFonts w:hint="eastAsia"/>
          <w:color w:val="auto"/>
          <w:kern w:val="0"/>
          <w:u w:val="none"/>
          <w:vertAlign w:val="subscript"/>
          <w:lang w:val="en-US" w:eastAsia="zh-CN"/>
        </w:rPr>
        <w:t>5</w:t>
      </w:r>
      <w:r>
        <w:rPr>
          <w:rFonts w:hint="eastAsia"/>
          <w:color w:val="auto"/>
          <w:kern w:val="0"/>
          <w:u w:val="none"/>
        </w:rPr>
        <w:t>≤</w:t>
      </w:r>
      <w:r>
        <w:rPr>
          <w:rFonts w:hint="eastAsia"/>
          <w:color w:val="auto"/>
          <w:kern w:val="0"/>
          <w:u w:val="none"/>
          <w:lang w:val="en-US" w:eastAsia="zh-CN"/>
        </w:rPr>
        <w:t>10</w:t>
      </w:r>
      <w:r>
        <w:rPr>
          <w:rFonts w:hint="eastAsia"/>
          <w:color w:val="auto"/>
          <w:kern w:val="0"/>
          <w:u w:val="none"/>
        </w:rPr>
        <w:t>mg/L</w:t>
      </w:r>
      <w:r>
        <w:rPr>
          <w:rFonts w:hint="eastAsia"/>
          <w:color w:val="auto"/>
          <w:kern w:val="0"/>
          <w:u w:val="none"/>
          <w:lang w:eastAsia="zh-CN"/>
        </w:rPr>
        <w:t>、</w:t>
      </w:r>
      <w:r>
        <w:rPr>
          <w:rFonts w:hint="eastAsia"/>
          <w:color w:val="auto"/>
          <w:kern w:val="0"/>
          <w:u w:val="none"/>
        </w:rPr>
        <w:t>氨氮≤</w:t>
      </w:r>
      <w:r>
        <w:rPr>
          <w:rFonts w:hint="eastAsia"/>
          <w:color w:val="auto"/>
          <w:kern w:val="0"/>
          <w:u w:val="none"/>
          <w:lang w:val="en-US" w:eastAsia="zh-CN"/>
        </w:rPr>
        <w:t>5</w:t>
      </w:r>
      <w:r>
        <w:rPr>
          <w:rFonts w:hint="eastAsia"/>
          <w:color w:val="auto"/>
          <w:kern w:val="0"/>
          <w:u w:val="none"/>
        </w:rPr>
        <w:t>（</w:t>
      </w:r>
      <w:r>
        <w:rPr>
          <w:rFonts w:hint="eastAsia"/>
          <w:color w:val="auto"/>
          <w:kern w:val="0"/>
          <w:u w:val="none"/>
          <w:lang w:val="en-US" w:eastAsia="zh-CN"/>
        </w:rPr>
        <w:t>8</w:t>
      </w:r>
      <w:r>
        <w:rPr>
          <w:rFonts w:hint="eastAsia"/>
          <w:color w:val="auto"/>
          <w:kern w:val="0"/>
          <w:u w:val="none"/>
        </w:rPr>
        <w:t>）mg/L、总氮≤</w:t>
      </w:r>
      <w:r>
        <w:rPr>
          <w:rFonts w:hint="eastAsia"/>
          <w:color w:val="auto"/>
          <w:kern w:val="0"/>
          <w:u w:val="none"/>
          <w:lang w:val="en-US" w:eastAsia="zh-CN"/>
        </w:rPr>
        <w:t>15</w:t>
      </w:r>
      <w:r>
        <w:rPr>
          <w:rFonts w:hint="eastAsia"/>
          <w:color w:val="auto"/>
          <w:kern w:val="0"/>
          <w:u w:val="none"/>
        </w:rPr>
        <w:t>mg/L、</w:t>
      </w:r>
      <w:r>
        <w:rPr>
          <w:rFonts w:hint="eastAsia"/>
          <w:color w:val="auto"/>
          <w:kern w:val="0"/>
          <w:u w:val="none"/>
          <w:lang w:eastAsia="zh-CN"/>
        </w:rPr>
        <w:t>石油类</w:t>
      </w:r>
      <w:r>
        <w:rPr>
          <w:rFonts w:hint="eastAsia"/>
          <w:color w:val="auto"/>
          <w:kern w:val="0"/>
          <w:u w:val="none"/>
        </w:rPr>
        <w:t>≤</w:t>
      </w:r>
      <w:r>
        <w:rPr>
          <w:rFonts w:hint="eastAsia"/>
          <w:color w:val="auto"/>
          <w:kern w:val="0"/>
          <w:u w:val="none"/>
          <w:lang w:val="en-US" w:eastAsia="zh-CN"/>
        </w:rPr>
        <w:t>1</w:t>
      </w:r>
      <w:r>
        <w:rPr>
          <w:rFonts w:hint="eastAsia"/>
          <w:color w:val="auto"/>
          <w:kern w:val="0"/>
          <w:u w:val="none"/>
        </w:rPr>
        <w:t>mg/L、总磷≤</w:t>
      </w:r>
      <w:r>
        <w:rPr>
          <w:rFonts w:hint="eastAsia"/>
          <w:color w:val="auto"/>
          <w:kern w:val="0"/>
          <w:u w:val="none"/>
          <w:lang w:val="en-US" w:eastAsia="zh-CN"/>
        </w:rPr>
        <w:t>0.5</w:t>
      </w:r>
      <w:r>
        <w:rPr>
          <w:rFonts w:hint="eastAsia"/>
          <w:color w:val="auto"/>
          <w:kern w:val="0"/>
          <w:u w:val="none"/>
        </w:rPr>
        <w:t>mg/L、</w:t>
      </w:r>
      <w:r>
        <w:rPr>
          <w:rFonts w:hint="eastAsia"/>
          <w:color w:val="auto"/>
          <w:kern w:val="0"/>
          <w:u w:val="none"/>
          <w:lang w:eastAsia="zh-CN"/>
        </w:rPr>
        <w:t>动植物油</w:t>
      </w:r>
      <w:r>
        <w:rPr>
          <w:rFonts w:hint="eastAsia"/>
          <w:color w:val="auto"/>
          <w:kern w:val="0"/>
          <w:u w:val="none"/>
        </w:rPr>
        <w:t>≤</w:t>
      </w:r>
      <w:r>
        <w:rPr>
          <w:rFonts w:hint="eastAsia"/>
          <w:color w:val="auto"/>
          <w:kern w:val="0"/>
          <w:u w:val="none"/>
          <w:lang w:val="en-US" w:eastAsia="zh-CN"/>
        </w:rPr>
        <w:t>1</w:t>
      </w:r>
      <w:r>
        <w:rPr>
          <w:rFonts w:hint="eastAsia"/>
          <w:color w:val="auto"/>
          <w:kern w:val="0"/>
          <w:u w:val="none"/>
        </w:rPr>
        <w:t>mg/L；项目产生的固体废物全部妥善处理，不直接排入外环境；项目三废排放较小，不会明显降低区域环境质量现状；本项目建设不会对当地环境质量底线造成冲击。</w:t>
      </w:r>
    </w:p>
    <w:p>
      <w:pPr>
        <w:ind w:firstLine="452"/>
        <w:jc w:val="both"/>
        <w:rPr>
          <w:rFonts w:hint="eastAsia"/>
          <w:color w:val="auto"/>
          <w:spacing w:val="-7"/>
          <w:u w:val="none"/>
        </w:rPr>
      </w:pPr>
      <w:r>
        <w:rPr>
          <w:rFonts w:hint="eastAsia"/>
          <w:b/>
          <w:bCs/>
          <w:color w:val="auto"/>
          <w:spacing w:val="-7"/>
          <w:u w:val="none"/>
        </w:rPr>
        <w:t>3）资源利用上线</w:t>
      </w:r>
    </w:p>
    <w:p>
      <w:pPr>
        <w:ind w:firstLine="452"/>
        <w:jc w:val="both"/>
        <w:rPr>
          <w:rFonts w:hint="eastAsia"/>
          <w:color w:val="auto"/>
          <w:spacing w:val="-7"/>
          <w:u w:val="none"/>
        </w:rPr>
      </w:pPr>
      <w:r>
        <w:rPr>
          <w:rFonts w:hint="eastAsia"/>
          <w:color w:val="auto"/>
          <w:spacing w:val="-7"/>
          <w:u w:val="none"/>
        </w:rPr>
        <w:t>本项目为</w:t>
      </w:r>
      <w:r>
        <w:rPr>
          <w:rFonts w:hint="eastAsia"/>
          <w:color w:val="auto"/>
          <w:spacing w:val="-7"/>
          <w:u w:val="none"/>
          <w:lang w:eastAsia="zh-CN"/>
        </w:rPr>
        <w:t>工业</w:t>
      </w:r>
      <w:r>
        <w:rPr>
          <w:rFonts w:hint="eastAsia"/>
          <w:color w:val="auto"/>
          <w:spacing w:val="-7"/>
          <w:u w:val="none"/>
        </w:rPr>
        <w:t>污水集中处理项目，在设计上注重节能节水，项目建成运行后通过内部管理、原辅材料的选用和管理、废物回收利用、污染治理等多方面采取可行的防治措施，以“节能、降耗、减污”为目标，有限地控制污染，项目的水、电等资源不会突破区域的资源利用上线。</w:t>
      </w:r>
    </w:p>
    <w:p>
      <w:pPr>
        <w:ind w:firstLine="452"/>
        <w:rPr>
          <w:rFonts w:hint="eastAsia"/>
          <w:color w:val="auto"/>
          <w:spacing w:val="-7"/>
          <w:u w:val="none"/>
        </w:rPr>
      </w:pPr>
      <w:r>
        <w:rPr>
          <w:rFonts w:hint="eastAsia"/>
          <w:b/>
          <w:bCs/>
          <w:color w:val="auto"/>
          <w:spacing w:val="-7"/>
          <w:u w:val="none"/>
        </w:rPr>
        <w:t>4）环境准入清单</w:t>
      </w:r>
    </w:p>
    <w:p>
      <w:pPr>
        <w:ind w:firstLine="452"/>
        <w:jc w:val="both"/>
        <w:rPr>
          <w:rFonts w:hint="eastAsia"/>
          <w:color w:val="auto"/>
          <w:kern w:val="0"/>
          <w:u w:val="single"/>
          <w:lang w:eastAsia="zh-CN"/>
        </w:rPr>
        <w:sectPr>
          <w:headerReference r:id="rId13" w:type="default"/>
          <w:footerReference r:id="rId14"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start="1"/>
          <w:cols w:space="720" w:num="1"/>
          <w:docGrid w:type="lines" w:linePitch="326" w:charSpace="0"/>
        </w:sectPr>
      </w:pPr>
      <w:r>
        <w:rPr>
          <w:rFonts w:hint="eastAsia"/>
          <w:color w:val="auto"/>
          <w:spacing w:val="-7"/>
          <w:u w:val="single"/>
          <w:lang w:eastAsia="zh-CN"/>
        </w:rPr>
        <w:t>本项目位于</w:t>
      </w:r>
      <w:r>
        <w:rPr>
          <w:rFonts w:hint="eastAsia" w:ascii="宋体" w:hAnsi="宋体" w:eastAsia="宋体" w:cs="宋体"/>
          <w:color w:val="auto"/>
          <w:u w:val="single"/>
        </w:rPr>
        <w:t>永顺县城所在地的灵溪镇</w:t>
      </w:r>
      <w:r>
        <w:rPr>
          <w:rFonts w:hint="eastAsia" w:ascii="宋体" w:hAnsi="宋体" w:cs="宋体"/>
          <w:color w:val="auto"/>
          <w:u w:val="single"/>
          <w:lang w:eastAsia="zh-CN"/>
        </w:rPr>
        <w:t>岔那村</w:t>
      </w:r>
      <w:r>
        <w:rPr>
          <w:rFonts w:hint="eastAsia" w:ascii="宋体" w:hAnsi="宋体" w:eastAsia="宋体" w:cs="宋体"/>
          <w:color w:val="auto"/>
          <w:u w:val="single"/>
        </w:rPr>
        <w:t>、</w:t>
      </w:r>
      <w:r>
        <w:rPr>
          <w:rFonts w:hint="eastAsia" w:ascii="宋体" w:hAnsi="宋体" w:eastAsia="宋体" w:cs="宋体"/>
          <w:bCs/>
          <w:color w:val="auto"/>
          <w:kern w:val="44"/>
          <w:u w:val="single"/>
        </w:rPr>
        <w:t>县城总体规划区的西南部</w:t>
      </w:r>
      <w:r>
        <w:rPr>
          <w:rFonts w:hint="eastAsia" w:ascii="宋体" w:hAnsi="宋体" w:eastAsia="宋体" w:cs="宋体"/>
          <w:bCs/>
          <w:color w:val="auto"/>
          <w:kern w:val="44"/>
          <w:u w:val="single"/>
          <w:lang w:eastAsia="zh-CN"/>
        </w:rPr>
        <w:t>的</w:t>
      </w:r>
      <w:r>
        <w:rPr>
          <w:rFonts w:hint="eastAsia" w:ascii="宋体" w:hAnsi="宋体" w:eastAsia="宋体" w:cs="宋体"/>
          <w:color w:val="auto"/>
          <w:u w:val="single"/>
          <w:lang w:eastAsia="zh-CN"/>
        </w:rPr>
        <w:t>猛洞河产业园</w:t>
      </w:r>
      <w:r>
        <w:rPr>
          <w:rFonts w:hint="eastAsia" w:ascii="宋体" w:hAnsi="宋体" w:eastAsia="宋体" w:cs="宋体"/>
          <w:bCs/>
          <w:color w:val="auto"/>
          <w:kern w:val="44"/>
          <w:u w:val="single"/>
          <w:lang w:eastAsia="zh-CN"/>
        </w:rPr>
        <w:t>，</w:t>
      </w:r>
      <w:r>
        <w:rPr>
          <w:rFonts w:hint="eastAsia" w:ascii="宋体" w:hAnsi="宋体" w:eastAsia="宋体" w:cs="宋体"/>
          <w:bCs/>
          <w:color w:val="auto"/>
          <w:kern w:val="44"/>
          <w:u w:val="single"/>
          <w:lang w:val="zh-CN" w:eastAsia="zh-CN"/>
        </w:rPr>
        <w:t>根据国家发展改革委、商务部印</w:t>
      </w:r>
      <w:r>
        <w:rPr>
          <w:rFonts w:hint="default" w:ascii="Times New Roman" w:hAnsi="Times New Roman" w:eastAsia="宋体" w:cs="Times New Roman"/>
          <w:bCs/>
          <w:color w:val="auto"/>
          <w:kern w:val="44"/>
          <w:u w:val="single"/>
          <w:lang w:val="zh-CN" w:eastAsia="zh-CN"/>
        </w:rPr>
        <w:t>发《市场准入负面清单》（</w:t>
      </w:r>
      <w:r>
        <w:rPr>
          <w:rFonts w:hint="default" w:ascii="Times New Roman" w:hAnsi="Times New Roman" w:eastAsia="宋体" w:cs="Times New Roman"/>
          <w:bCs/>
          <w:color w:val="auto"/>
          <w:kern w:val="44"/>
          <w:u w:val="single"/>
          <w:lang w:eastAsia="zh-CN"/>
        </w:rPr>
        <w:t>2022年版</w:t>
      </w:r>
      <w:r>
        <w:rPr>
          <w:rFonts w:hint="default" w:ascii="Times New Roman" w:hAnsi="Times New Roman" w:eastAsia="宋体" w:cs="Times New Roman"/>
          <w:bCs/>
          <w:color w:val="auto"/>
          <w:kern w:val="44"/>
          <w:u w:val="single"/>
          <w:lang w:val="zh-CN" w:eastAsia="zh-CN"/>
        </w:rPr>
        <w:t>）</w:t>
      </w:r>
      <w:r>
        <w:rPr>
          <w:rFonts w:hint="default" w:ascii="Times New Roman" w:hAnsi="Times New Roman" w:eastAsia="宋体" w:cs="Times New Roman"/>
          <w:bCs/>
          <w:color w:val="auto"/>
          <w:kern w:val="44"/>
          <w:u w:val="single"/>
          <w:lang w:eastAsia="zh-CN"/>
        </w:rPr>
        <w:t>，本项目不</w:t>
      </w:r>
      <w:r>
        <w:rPr>
          <w:rFonts w:hint="eastAsia" w:ascii="宋体" w:hAnsi="宋体" w:eastAsia="宋体" w:cs="宋体"/>
          <w:bCs/>
          <w:color w:val="auto"/>
          <w:kern w:val="44"/>
          <w:u w:val="single"/>
          <w:lang w:eastAsia="zh-CN"/>
        </w:rPr>
        <w:t>属于禁止准入类事项。</w:t>
      </w:r>
      <w:r>
        <w:rPr>
          <w:rFonts w:hint="eastAsia"/>
          <w:color w:val="auto"/>
          <w:spacing w:val="-7"/>
          <w:u w:val="single"/>
        </w:rPr>
        <w:t>根据</w:t>
      </w:r>
      <w:r>
        <w:rPr>
          <w:rFonts w:hint="eastAsia"/>
          <w:color w:val="auto"/>
          <w:kern w:val="0"/>
          <w:u w:val="single"/>
        </w:rPr>
        <w:t>《湖南省人民政府关于实施“三线一单”生态环境分区管控的意见》（湘政发〔2020〕12 号）、《湖南省“三线一单”生态环境总体管控要求暨省级以上产业园区生态环境准入清单》和《湘西自治州人民政府关于实施“三线一单”生态环境分区管控的意见》州政发〔2020〕23号等文件可知</w:t>
      </w:r>
      <w:r>
        <w:rPr>
          <w:rFonts w:hint="eastAsia"/>
          <w:color w:val="auto"/>
          <w:spacing w:val="-7"/>
          <w:u w:val="single"/>
        </w:rPr>
        <w:t>，</w:t>
      </w:r>
      <w:r>
        <w:rPr>
          <w:rFonts w:hint="eastAsia"/>
          <w:color w:val="auto"/>
          <w:spacing w:val="-7"/>
          <w:u w:val="single"/>
          <w:lang w:eastAsia="zh-CN"/>
        </w:rPr>
        <w:t>“三线</w:t>
      </w:r>
      <w:r>
        <w:rPr>
          <w:rFonts w:hint="eastAsia"/>
          <w:color w:val="auto"/>
          <w:spacing w:val="-7"/>
          <w:u w:val="single"/>
          <w:lang w:val="zh-CN"/>
        </w:rPr>
        <w:t>一单</w:t>
      </w:r>
      <w:r>
        <w:rPr>
          <w:rFonts w:hint="eastAsia"/>
          <w:color w:val="auto"/>
          <w:spacing w:val="-7"/>
          <w:u w:val="single"/>
          <w:lang w:eastAsia="zh-CN"/>
        </w:rPr>
        <w:t>”</w:t>
      </w:r>
      <w:r>
        <w:rPr>
          <w:rFonts w:hint="eastAsia"/>
          <w:color w:val="auto"/>
          <w:spacing w:val="-7"/>
          <w:u w:val="single"/>
          <w:lang w:val="zh-CN"/>
        </w:rPr>
        <w:t>生态环境分区管控的意见符合性分析对照本项目</w:t>
      </w:r>
      <w:r>
        <w:rPr>
          <w:rFonts w:hint="eastAsia"/>
          <w:color w:val="auto"/>
          <w:spacing w:val="-7"/>
          <w:u w:val="single"/>
        </w:rPr>
        <w:t>所在地</w:t>
      </w:r>
      <w:r>
        <w:rPr>
          <w:rFonts w:hint="eastAsia"/>
          <w:color w:val="auto"/>
          <w:spacing w:val="-7"/>
          <w:u w:val="single"/>
          <w:lang w:val="zh-CN"/>
        </w:rPr>
        <w:t>属于重点管控单元</w:t>
      </w:r>
      <w:r>
        <w:rPr>
          <w:rFonts w:hint="eastAsia"/>
          <w:color w:val="auto"/>
          <w:kern w:val="0"/>
          <w:u w:val="single"/>
          <w:lang w:eastAsia="zh-CN"/>
        </w:rPr>
        <w:t>。</w:t>
      </w:r>
    </w:p>
    <w:p>
      <w:pPr>
        <w:pStyle w:val="31"/>
        <w:ind w:left="0" w:leftChars="0" w:firstLine="0" w:firstLineChars="0"/>
        <w:jc w:val="center"/>
        <w:rPr>
          <w:rFonts w:hint="eastAsia" w:cs="Times New Roman"/>
          <w:b/>
          <w:bCs/>
          <w:color w:val="auto"/>
          <w:sz w:val="21"/>
          <w:szCs w:val="21"/>
          <w:highlight w:val="none"/>
          <w:u w:val="none"/>
          <w:lang w:eastAsia="zh-CN"/>
        </w:rPr>
      </w:pPr>
      <w:r>
        <w:rPr>
          <w:rFonts w:hint="default" w:ascii="Times New Roman" w:hAnsi="Times New Roman"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 xml:space="preserve">3-1  </w:t>
      </w:r>
      <w:r>
        <w:rPr>
          <w:rFonts w:hint="default" w:ascii="Times New Roman" w:hAnsi="Times New Roman" w:cs="Times New Roman"/>
          <w:b/>
          <w:bCs/>
          <w:color w:val="auto"/>
          <w:sz w:val="21"/>
          <w:szCs w:val="21"/>
          <w:highlight w:val="none"/>
          <w:u w:val="none"/>
        </w:rPr>
        <w:t>本项目与</w:t>
      </w:r>
      <w:r>
        <w:rPr>
          <w:rFonts w:hint="eastAsia" w:cs="Times New Roman"/>
          <w:b/>
          <w:bCs/>
          <w:color w:val="auto"/>
          <w:sz w:val="21"/>
          <w:szCs w:val="21"/>
          <w:highlight w:val="none"/>
          <w:u w:val="none"/>
          <w:lang w:eastAsia="zh-CN"/>
        </w:rPr>
        <w:t>永顺县经济开发区</w:t>
      </w:r>
      <w:r>
        <w:rPr>
          <w:rFonts w:hint="default" w:ascii="Times New Roman" w:hAnsi="Times New Roman" w:cs="Times New Roman"/>
          <w:b/>
          <w:bCs/>
          <w:color w:val="auto"/>
          <w:sz w:val="21"/>
          <w:szCs w:val="21"/>
          <w:highlight w:val="none"/>
          <w:u w:val="none"/>
        </w:rPr>
        <w:t>生态环境</w:t>
      </w:r>
      <w:r>
        <w:rPr>
          <w:rFonts w:hint="eastAsia" w:cs="Times New Roman"/>
          <w:b/>
          <w:bCs/>
          <w:color w:val="auto"/>
          <w:sz w:val="21"/>
          <w:szCs w:val="21"/>
          <w:highlight w:val="none"/>
          <w:u w:val="none"/>
          <w:lang w:eastAsia="zh-CN"/>
        </w:rPr>
        <w:t>准入清单符合性分析</w:t>
      </w:r>
    </w:p>
    <w:tbl>
      <w:tblPr>
        <w:tblStyle w:val="37"/>
        <w:tblW w:w="1395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6"/>
        <w:gridCol w:w="837"/>
        <w:gridCol w:w="438"/>
        <w:gridCol w:w="375"/>
        <w:gridCol w:w="387"/>
        <w:gridCol w:w="675"/>
        <w:gridCol w:w="913"/>
        <w:gridCol w:w="1002"/>
        <w:gridCol w:w="945"/>
        <w:gridCol w:w="773"/>
        <w:gridCol w:w="2008"/>
        <w:gridCol w:w="3425"/>
        <w:gridCol w:w="11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6" w:type="dxa"/>
            <w:vMerge w:val="restart"/>
            <w:noWrap w:val="0"/>
            <w:vAlign w:val="center"/>
          </w:tcPr>
          <w:p>
            <w:pPr>
              <w:pStyle w:val="120"/>
              <w:bidi w:val="0"/>
              <w:rPr>
                <w:rFonts w:hint="eastAsia"/>
                <w:b/>
                <w:bCs/>
                <w:color w:val="auto"/>
                <w:u w:val="single"/>
              </w:rPr>
            </w:pPr>
            <w:r>
              <w:rPr>
                <w:rFonts w:hint="eastAsia"/>
                <w:b/>
                <w:bCs/>
                <w:color w:val="auto"/>
                <w:u w:val="single"/>
              </w:rPr>
              <w:t>环境管控单元编码</w:t>
            </w:r>
          </w:p>
        </w:tc>
        <w:tc>
          <w:tcPr>
            <w:tcW w:w="837" w:type="dxa"/>
            <w:vMerge w:val="restart"/>
            <w:noWrap w:val="0"/>
            <w:vAlign w:val="center"/>
          </w:tcPr>
          <w:p>
            <w:pPr>
              <w:pStyle w:val="120"/>
              <w:bidi w:val="0"/>
              <w:rPr>
                <w:rFonts w:hint="eastAsia"/>
                <w:b/>
                <w:bCs/>
                <w:color w:val="auto"/>
                <w:u w:val="single"/>
              </w:rPr>
            </w:pPr>
            <w:r>
              <w:rPr>
                <w:rFonts w:hint="eastAsia"/>
                <w:b/>
                <w:bCs/>
                <w:color w:val="auto"/>
                <w:u w:val="single"/>
              </w:rPr>
              <w:t>单元名称</w:t>
            </w:r>
          </w:p>
        </w:tc>
        <w:tc>
          <w:tcPr>
            <w:tcW w:w="1200" w:type="dxa"/>
            <w:gridSpan w:val="3"/>
            <w:noWrap w:val="0"/>
            <w:vAlign w:val="center"/>
          </w:tcPr>
          <w:p>
            <w:pPr>
              <w:pStyle w:val="120"/>
              <w:bidi w:val="0"/>
              <w:rPr>
                <w:rFonts w:hint="eastAsia"/>
                <w:b/>
                <w:bCs/>
                <w:color w:val="auto"/>
                <w:u w:val="single"/>
              </w:rPr>
            </w:pPr>
            <w:r>
              <w:rPr>
                <w:rFonts w:hint="eastAsia"/>
                <w:b/>
                <w:bCs/>
                <w:color w:val="auto"/>
                <w:u w:val="single"/>
              </w:rPr>
              <w:t>行政区划</w:t>
            </w:r>
          </w:p>
        </w:tc>
        <w:tc>
          <w:tcPr>
            <w:tcW w:w="675" w:type="dxa"/>
            <w:vMerge w:val="restart"/>
            <w:noWrap w:val="0"/>
            <w:vAlign w:val="center"/>
          </w:tcPr>
          <w:p>
            <w:pPr>
              <w:pStyle w:val="120"/>
              <w:bidi w:val="0"/>
              <w:rPr>
                <w:rFonts w:hint="eastAsia"/>
                <w:b/>
                <w:bCs/>
                <w:color w:val="auto"/>
                <w:u w:val="single"/>
              </w:rPr>
            </w:pPr>
            <w:r>
              <w:rPr>
                <w:rFonts w:hint="eastAsia"/>
                <w:b/>
                <w:bCs/>
                <w:color w:val="auto"/>
                <w:u w:val="single"/>
              </w:rPr>
              <w:t>单元分类</w:t>
            </w:r>
          </w:p>
        </w:tc>
        <w:tc>
          <w:tcPr>
            <w:tcW w:w="913" w:type="dxa"/>
            <w:vMerge w:val="restart"/>
            <w:noWrap w:val="0"/>
            <w:vAlign w:val="center"/>
          </w:tcPr>
          <w:p>
            <w:pPr>
              <w:pStyle w:val="120"/>
              <w:bidi w:val="0"/>
              <w:rPr>
                <w:rFonts w:hint="eastAsia"/>
                <w:b/>
                <w:bCs/>
                <w:color w:val="auto"/>
                <w:u w:val="single"/>
              </w:rPr>
            </w:pPr>
            <w:r>
              <w:rPr>
                <w:rFonts w:hint="eastAsia"/>
                <w:b/>
                <w:bCs/>
                <w:color w:val="auto"/>
                <w:u w:val="single"/>
              </w:rPr>
              <w:t>单元面积</w:t>
            </w:r>
            <w:r>
              <w:rPr>
                <w:rFonts w:hint="eastAsia"/>
                <w:b/>
                <w:bCs/>
                <w:color w:val="auto"/>
                <w:u w:val="single"/>
                <w:lang w:eastAsia="zh-CN"/>
              </w:rPr>
              <w:t>（</w:t>
            </w:r>
            <w:r>
              <w:rPr>
                <w:rFonts w:hint="eastAsia"/>
                <w:b/>
                <w:bCs/>
                <w:color w:val="auto"/>
                <w:u w:val="single"/>
              </w:rPr>
              <w:t>km2)</w:t>
            </w:r>
          </w:p>
        </w:tc>
        <w:tc>
          <w:tcPr>
            <w:tcW w:w="1002" w:type="dxa"/>
            <w:vMerge w:val="restart"/>
            <w:noWrap w:val="0"/>
            <w:vAlign w:val="center"/>
          </w:tcPr>
          <w:p>
            <w:pPr>
              <w:pStyle w:val="120"/>
              <w:bidi w:val="0"/>
              <w:rPr>
                <w:rFonts w:hint="eastAsia"/>
                <w:b/>
                <w:bCs/>
                <w:color w:val="auto"/>
                <w:u w:val="single"/>
              </w:rPr>
            </w:pPr>
            <w:r>
              <w:rPr>
                <w:rFonts w:hint="eastAsia"/>
                <w:b/>
                <w:bCs/>
                <w:color w:val="auto"/>
                <w:u w:val="single"/>
              </w:rPr>
              <w:t>涉及乡镇(街道)</w:t>
            </w:r>
          </w:p>
        </w:tc>
        <w:tc>
          <w:tcPr>
            <w:tcW w:w="945" w:type="dxa"/>
            <w:vMerge w:val="restart"/>
            <w:noWrap w:val="0"/>
            <w:vAlign w:val="center"/>
          </w:tcPr>
          <w:p>
            <w:pPr>
              <w:pStyle w:val="120"/>
              <w:bidi w:val="0"/>
              <w:rPr>
                <w:rFonts w:hint="eastAsia"/>
                <w:b/>
                <w:bCs/>
                <w:color w:val="auto"/>
                <w:u w:val="single"/>
              </w:rPr>
            </w:pPr>
            <w:r>
              <w:rPr>
                <w:rFonts w:hint="eastAsia"/>
                <w:b/>
                <w:bCs/>
                <w:color w:val="auto"/>
                <w:u w:val="single"/>
                <w:lang w:eastAsia="zh-CN"/>
              </w:rPr>
              <w:t>区域</w:t>
            </w:r>
            <w:r>
              <w:rPr>
                <w:rFonts w:hint="eastAsia"/>
                <w:b/>
                <w:bCs/>
                <w:color w:val="auto"/>
                <w:u w:val="single"/>
              </w:rPr>
              <w:t>主体功能定位</w:t>
            </w:r>
          </w:p>
        </w:tc>
        <w:tc>
          <w:tcPr>
            <w:tcW w:w="2781" w:type="dxa"/>
            <w:gridSpan w:val="2"/>
            <w:vMerge w:val="restart"/>
            <w:tcBorders>
              <w:right w:val="single" w:color="auto" w:sz="4" w:space="0"/>
            </w:tcBorders>
            <w:noWrap w:val="0"/>
            <w:vAlign w:val="center"/>
          </w:tcPr>
          <w:p>
            <w:pPr>
              <w:pStyle w:val="120"/>
              <w:bidi w:val="0"/>
              <w:rPr>
                <w:rFonts w:hint="eastAsia"/>
                <w:b/>
                <w:bCs/>
                <w:color w:val="auto"/>
                <w:u w:val="single"/>
              </w:rPr>
            </w:pPr>
            <w:r>
              <w:rPr>
                <w:rFonts w:hint="eastAsia"/>
                <w:b/>
                <w:bCs/>
                <w:color w:val="auto"/>
                <w:u w:val="single"/>
                <w:lang w:eastAsia="zh-CN"/>
              </w:rPr>
              <w:t>主导</w:t>
            </w:r>
            <w:r>
              <w:rPr>
                <w:rFonts w:hint="eastAsia"/>
                <w:b/>
                <w:bCs/>
                <w:color w:val="auto"/>
                <w:u w:val="single"/>
              </w:rPr>
              <w:t>产业</w:t>
            </w:r>
          </w:p>
        </w:tc>
        <w:tc>
          <w:tcPr>
            <w:tcW w:w="4624" w:type="dxa"/>
            <w:gridSpan w:val="2"/>
            <w:vMerge w:val="restart"/>
            <w:tcBorders>
              <w:left w:val="single" w:color="auto" w:sz="4" w:space="0"/>
            </w:tcBorders>
            <w:noWrap w:val="0"/>
            <w:vAlign w:val="center"/>
          </w:tcPr>
          <w:p>
            <w:pPr>
              <w:pStyle w:val="120"/>
              <w:bidi w:val="0"/>
              <w:rPr>
                <w:rFonts w:hint="eastAsia"/>
                <w:b/>
                <w:bCs/>
                <w:color w:val="auto"/>
                <w:u w:val="single"/>
                <w:lang w:eastAsia="zh-CN"/>
              </w:rPr>
            </w:pPr>
            <w:r>
              <w:rPr>
                <w:rFonts w:hint="eastAsia"/>
                <w:b/>
                <w:bCs/>
                <w:color w:val="auto"/>
                <w:u w:val="single"/>
              </w:rPr>
              <w:t>主要环境问题</w:t>
            </w:r>
            <w:r>
              <w:rPr>
                <w:rFonts w:hint="eastAsia"/>
                <w:b/>
                <w:bCs/>
                <w:color w:val="auto"/>
                <w:u w:val="single"/>
                <w:lang w:eastAsia="zh-CN"/>
              </w:rPr>
              <w:t>和重要敏感目标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76" w:type="dxa"/>
            <w:vMerge w:val="continue"/>
            <w:noWrap w:val="0"/>
            <w:vAlign w:val="center"/>
          </w:tcPr>
          <w:p>
            <w:pPr>
              <w:pStyle w:val="120"/>
              <w:bidi w:val="0"/>
              <w:rPr>
                <w:rFonts w:hint="eastAsia"/>
                <w:color w:val="auto"/>
                <w:u w:val="single"/>
              </w:rPr>
            </w:pPr>
          </w:p>
        </w:tc>
        <w:tc>
          <w:tcPr>
            <w:tcW w:w="837" w:type="dxa"/>
            <w:vMerge w:val="continue"/>
            <w:noWrap w:val="0"/>
            <w:vAlign w:val="center"/>
          </w:tcPr>
          <w:p>
            <w:pPr>
              <w:pStyle w:val="120"/>
              <w:bidi w:val="0"/>
              <w:rPr>
                <w:rFonts w:hint="eastAsia"/>
                <w:color w:val="auto"/>
                <w:u w:val="single"/>
              </w:rPr>
            </w:pPr>
          </w:p>
        </w:tc>
        <w:tc>
          <w:tcPr>
            <w:tcW w:w="438" w:type="dxa"/>
            <w:noWrap w:val="0"/>
            <w:vAlign w:val="center"/>
          </w:tcPr>
          <w:p>
            <w:pPr>
              <w:pStyle w:val="120"/>
              <w:bidi w:val="0"/>
              <w:rPr>
                <w:rFonts w:hint="eastAsia"/>
                <w:b/>
                <w:bCs/>
                <w:color w:val="auto"/>
                <w:u w:val="single"/>
              </w:rPr>
            </w:pPr>
            <w:r>
              <w:rPr>
                <w:rFonts w:hint="eastAsia"/>
                <w:b/>
                <w:bCs/>
                <w:color w:val="auto"/>
                <w:u w:val="single"/>
              </w:rPr>
              <w:t>省</w:t>
            </w:r>
          </w:p>
        </w:tc>
        <w:tc>
          <w:tcPr>
            <w:tcW w:w="375" w:type="dxa"/>
            <w:noWrap w:val="0"/>
            <w:vAlign w:val="center"/>
          </w:tcPr>
          <w:p>
            <w:pPr>
              <w:pStyle w:val="120"/>
              <w:bidi w:val="0"/>
              <w:rPr>
                <w:rFonts w:hint="eastAsia"/>
                <w:b/>
                <w:bCs/>
                <w:color w:val="auto"/>
                <w:u w:val="single"/>
              </w:rPr>
            </w:pPr>
            <w:r>
              <w:rPr>
                <w:rFonts w:hint="eastAsia"/>
                <w:b/>
                <w:bCs/>
                <w:color w:val="auto"/>
                <w:u w:val="single"/>
              </w:rPr>
              <w:t>市</w:t>
            </w:r>
          </w:p>
        </w:tc>
        <w:tc>
          <w:tcPr>
            <w:tcW w:w="387" w:type="dxa"/>
            <w:noWrap w:val="0"/>
            <w:vAlign w:val="center"/>
          </w:tcPr>
          <w:p>
            <w:pPr>
              <w:pStyle w:val="120"/>
              <w:bidi w:val="0"/>
              <w:rPr>
                <w:rFonts w:hint="eastAsia"/>
                <w:b/>
                <w:bCs/>
                <w:color w:val="auto"/>
                <w:u w:val="single"/>
              </w:rPr>
            </w:pPr>
            <w:r>
              <w:rPr>
                <w:rFonts w:hint="eastAsia"/>
                <w:b/>
                <w:bCs/>
                <w:color w:val="auto"/>
                <w:u w:val="single"/>
              </w:rPr>
              <w:t>县</w:t>
            </w:r>
          </w:p>
        </w:tc>
        <w:tc>
          <w:tcPr>
            <w:tcW w:w="675" w:type="dxa"/>
            <w:vMerge w:val="continue"/>
            <w:noWrap w:val="0"/>
            <w:vAlign w:val="center"/>
          </w:tcPr>
          <w:p>
            <w:pPr>
              <w:pStyle w:val="120"/>
              <w:bidi w:val="0"/>
              <w:rPr>
                <w:rFonts w:hint="eastAsia"/>
                <w:color w:val="auto"/>
                <w:u w:val="single"/>
              </w:rPr>
            </w:pPr>
          </w:p>
        </w:tc>
        <w:tc>
          <w:tcPr>
            <w:tcW w:w="913" w:type="dxa"/>
            <w:vMerge w:val="continue"/>
            <w:noWrap w:val="0"/>
            <w:vAlign w:val="center"/>
          </w:tcPr>
          <w:p>
            <w:pPr>
              <w:pStyle w:val="120"/>
              <w:bidi w:val="0"/>
              <w:rPr>
                <w:rFonts w:hint="eastAsia"/>
                <w:color w:val="auto"/>
                <w:u w:val="single"/>
              </w:rPr>
            </w:pPr>
          </w:p>
        </w:tc>
        <w:tc>
          <w:tcPr>
            <w:tcW w:w="1002" w:type="dxa"/>
            <w:vMerge w:val="continue"/>
            <w:noWrap w:val="0"/>
            <w:vAlign w:val="center"/>
          </w:tcPr>
          <w:p>
            <w:pPr>
              <w:pStyle w:val="120"/>
              <w:bidi w:val="0"/>
              <w:rPr>
                <w:rFonts w:hint="eastAsia"/>
                <w:color w:val="auto"/>
                <w:u w:val="single"/>
              </w:rPr>
            </w:pPr>
          </w:p>
        </w:tc>
        <w:tc>
          <w:tcPr>
            <w:tcW w:w="945" w:type="dxa"/>
            <w:vMerge w:val="continue"/>
            <w:noWrap w:val="0"/>
            <w:vAlign w:val="center"/>
          </w:tcPr>
          <w:p>
            <w:pPr>
              <w:pStyle w:val="120"/>
              <w:bidi w:val="0"/>
              <w:rPr>
                <w:rFonts w:hint="eastAsia"/>
                <w:color w:val="auto"/>
                <w:u w:val="single"/>
              </w:rPr>
            </w:pPr>
          </w:p>
        </w:tc>
        <w:tc>
          <w:tcPr>
            <w:tcW w:w="2781" w:type="dxa"/>
            <w:gridSpan w:val="2"/>
            <w:vMerge w:val="continue"/>
            <w:tcBorders>
              <w:right w:val="single" w:color="auto" w:sz="4" w:space="0"/>
            </w:tcBorders>
            <w:noWrap w:val="0"/>
            <w:vAlign w:val="center"/>
          </w:tcPr>
          <w:p>
            <w:pPr>
              <w:pStyle w:val="120"/>
              <w:bidi w:val="0"/>
              <w:rPr>
                <w:rFonts w:hint="eastAsia"/>
                <w:color w:val="auto"/>
                <w:u w:val="single"/>
              </w:rPr>
            </w:pPr>
          </w:p>
        </w:tc>
        <w:tc>
          <w:tcPr>
            <w:tcW w:w="4624" w:type="dxa"/>
            <w:gridSpan w:val="2"/>
            <w:vMerge w:val="continue"/>
            <w:tcBorders>
              <w:left w:val="single" w:color="auto" w:sz="4" w:space="0"/>
            </w:tcBorders>
            <w:noWrap w:val="0"/>
            <w:vAlign w:val="center"/>
          </w:tcPr>
          <w:p>
            <w:pPr>
              <w:pStyle w:val="120"/>
              <w:bidi w:val="0"/>
              <w:rPr>
                <w:rFonts w:hint="eastAsia"/>
                <w:color w:val="auto"/>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976" w:type="dxa"/>
            <w:noWrap w:val="0"/>
            <w:vAlign w:val="center"/>
          </w:tcPr>
          <w:p>
            <w:pPr>
              <w:pStyle w:val="120"/>
              <w:bidi w:val="0"/>
              <w:rPr>
                <w:rFonts w:hint="eastAsia"/>
                <w:color w:val="auto"/>
                <w:u w:val="single"/>
              </w:rPr>
            </w:pPr>
            <w:r>
              <w:rPr>
                <w:rFonts w:hint="default"/>
                <w:color w:val="auto"/>
                <w:u w:val="single"/>
                <w:lang w:eastAsia="zh-CN"/>
              </w:rPr>
              <w:t>ZH4331272000</w:t>
            </w:r>
            <w:r>
              <w:rPr>
                <w:rFonts w:hint="default"/>
                <w:color w:val="auto"/>
                <w:u w:val="single"/>
                <w:lang w:val="en-US" w:eastAsia="zh-CN"/>
              </w:rPr>
              <w:t>3</w:t>
            </w:r>
          </w:p>
        </w:tc>
        <w:tc>
          <w:tcPr>
            <w:tcW w:w="837" w:type="dxa"/>
            <w:noWrap w:val="0"/>
            <w:vAlign w:val="center"/>
          </w:tcPr>
          <w:p>
            <w:pPr>
              <w:pStyle w:val="120"/>
              <w:bidi w:val="0"/>
              <w:rPr>
                <w:rFonts w:hint="eastAsia"/>
                <w:color w:val="auto"/>
                <w:u w:val="single"/>
              </w:rPr>
            </w:pPr>
            <w:r>
              <w:rPr>
                <w:rFonts w:hint="eastAsia"/>
                <w:color w:val="auto"/>
                <w:u w:val="single"/>
                <w:lang w:eastAsia="zh-CN"/>
              </w:rPr>
              <w:t>永顺</w:t>
            </w:r>
            <w:r>
              <w:rPr>
                <w:rFonts w:hint="eastAsia"/>
                <w:color w:val="auto"/>
                <w:u w:val="single"/>
              </w:rPr>
              <w:t>经济开发区</w:t>
            </w:r>
          </w:p>
        </w:tc>
        <w:tc>
          <w:tcPr>
            <w:tcW w:w="438" w:type="dxa"/>
            <w:noWrap w:val="0"/>
            <w:vAlign w:val="center"/>
          </w:tcPr>
          <w:p>
            <w:pPr>
              <w:pStyle w:val="120"/>
              <w:bidi w:val="0"/>
              <w:rPr>
                <w:rFonts w:hint="eastAsia"/>
                <w:color w:val="auto"/>
                <w:u w:val="single"/>
              </w:rPr>
            </w:pPr>
            <w:r>
              <w:rPr>
                <w:rFonts w:hint="eastAsia"/>
                <w:color w:val="auto"/>
                <w:u w:val="single"/>
              </w:rPr>
              <w:t>湖南</w:t>
            </w:r>
          </w:p>
        </w:tc>
        <w:tc>
          <w:tcPr>
            <w:tcW w:w="375" w:type="dxa"/>
            <w:noWrap w:val="0"/>
            <w:vAlign w:val="center"/>
          </w:tcPr>
          <w:p>
            <w:pPr>
              <w:pStyle w:val="120"/>
              <w:bidi w:val="0"/>
              <w:rPr>
                <w:rFonts w:hint="eastAsia"/>
                <w:color w:val="auto"/>
                <w:u w:val="single"/>
              </w:rPr>
            </w:pPr>
            <w:r>
              <w:rPr>
                <w:rFonts w:hint="eastAsia"/>
                <w:color w:val="auto"/>
                <w:u w:val="single"/>
              </w:rPr>
              <w:t>湘西州</w:t>
            </w:r>
          </w:p>
        </w:tc>
        <w:tc>
          <w:tcPr>
            <w:tcW w:w="387" w:type="dxa"/>
            <w:noWrap w:val="0"/>
            <w:vAlign w:val="center"/>
          </w:tcPr>
          <w:p>
            <w:pPr>
              <w:pStyle w:val="120"/>
              <w:bidi w:val="0"/>
              <w:rPr>
                <w:rFonts w:hint="eastAsia"/>
                <w:color w:val="auto"/>
                <w:u w:val="single"/>
                <w:lang w:eastAsia="zh-CN"/>
              </w:rPr>
            </w:pPr>
            <w:r>
              <w:rPr>
                <w:rFonts w:hint="eastAsia"/>
                <w:color w:val="auto"/>
                <w:u w:val="single"/>
                <w:lang w:eastAsia="zh-CN"/>
              </w:rPr>
              <w:t>永顺县</w:t>
            </w:r>
          </w:p>
        </w:tc>
        <w:tc>
          <w:tcPr>
            <w:tcW w:w="675" w:type="dxa"/>
            <w:noWrap w:val="0"/>
            <w:vAlign w:val="center"/>
          </w:tcPr>
          <w:p>
            <w:pPr>
              <w:pStyle w:val="120"/>
              <w:bidi w:val="0"/>
              <w:rPr>
                <w:rFonts w:hint="eastAsia"/>
                <w:color w:val="auto"/>
                <w:u w:val="single"/>
              </w:rPr>
            </w:pPr>
            <w:r>
              <w:rPr>
                <w:rFonts w:hint="eastAsia"/>
                <w:color w:val="auto"/>
                <w:u w:val="single"/>
              </w:rPr>
              <w:t>重点管控单元</w:t>
            </w:r>
          </w:p>
        </w:tc>
        <w:tc>
          <w:tcPr>
            <w:tcW w:w="913" w:type="dxa"/>
            <w:noWrap w:val="0"/>
            <w:vAlign w:val="center"/>
          </w:tcPr>
          <w:p>
            <w:pPr>
              <w:pStyle w:val="120"/>
              <w:bidi w:val="0"/>
              <w:rPr>
                <w:rFonts w:hint="eastAsia"/>
                <w:color w:val="auto"/>
                <w:u w:val="single"/>
                <w:lang w:val="en-US"/>
              </w:rPr>
            </w:pPr>
            <w:r>
              <w:rPr>
                <w:rFonts w:hint="eastAsia"/>
                <w:color w:val="auto"/>
                <w:u w:val="single"/>
                <w:lang w:val="en-US" w:eastAsia="zh-CN"/>
              </w:rPr>
              <w:t>核准面积：4.0838</w:t>
            </w:r>
          </w:p>
        </w:tc>
        <w:tc>
          <w:tcPr>
            <w:tcW w:w="1002" w:type="dxa"/>
            <w:noWrap w:val="0"/>
            <w:vAlign w:val="center"/>
          </w:tcPr>
          <w:p>
            <w:pPr>
              <w:pStyle w:val="120"/>
              <w:bidi w:val="0"/>
              <w:rPr>
                <w:rFonts w:hint="eastAsia"/>
                <w:color w:val="auto"/>
                <w:u w:val="single"/>
                <w:lang w:eastAsia="zh-CN"/>
              </w:rPr>
            </w:pPr>
            <w:r>
              <w:rPr>
                <w:rFonts w:hint="eastAsia"/>
                <w:color w:val="auto"/>
                <w:u w:val="single"/>
                <w:lang w:eastAsia="zh-CN"/>
              </w:rPr>
              <w:t>核准范围（芙蓉镇产业园）：涉及芙蓉镇，（猛洞河产业园）：涉及灵溪镇</w:t>
            </w:r>
          </w:p>
        </w:tc>
        <w:tc>
          <w:tcPr>
            <w:tcW w:w="945" w:type="dxa"/>
            <w:noWrap w:val="0"/>
            <w:vAlign w:val="center"/>
          </w:tcPr>
          <w:p>
            <w:pPr>
              <w:pStyle w:val="120"/>
              <w:bidi w:val="0"/>
              <w:rPr>
                <w:rFonts w:hint="eastAsia"/>
                <w:color w:val="auto"/>
                <w:u w:val="single"/>
              </w:rPr>
            </w:pPr>
            <w:r>
              <w:rPr>
                <w:rFonts w:hint="eastAsia"/>
                <w:color w:val="auto"/>
                <w:u w:val="single"/>
              </w:rPr>
              <w:t>国家重点生态功能区</w:t>
            </w:r>
          </w:p>
        </w:tc>
        <w:tc>
          <w:tcPr>
            <w:tcW w:w="2781" w:type="dxa"/>
            <w:gridSpan w:val="2"/>
            <w:tcBorders>
              <w:right w:val="single" w:color="auto" w:sz="4" w:space="0"/>
            </w:tcBorders>
            <w:noWrap w:val="0"/>
            <w:vAlign w:val="center"/>
          </w:tcPr>
          <w:p>
            <w:pPr>
              <w:pStyle w:val="120"/>
              <w:bidi w:val="0"/>
              <w:jc w:val="both"/>
              <w:rPr>
                <w:rFonts w:hint="eastAsia"/>
                <w:color w:val="auto"/>
                <w:u w:val="single"/>
              </w:rPr>
            </w:pPr>
            <w:r>
              <w:rPr>
                <w:rFonts w:hint="eastAsia"/>
                <w:color w:val="auto"/>
                <w:u w:val="single"/>
                <w:lang w:eastAsia="zh-CN"/>
              </w:rPr>
              <w:t>农</w:t>
            </w:r>
            <w:r>
              <w:rPr>
                <w:rFonts w:hint="default"/>
                <w:color w:val="auto"/>
                <w:u w:val="single"/>
              </w:rPr>
              <w:t>湘政办函[2001]66号：以发展旅游服务业为主，配套发展商贸等相关产业，开发生产旅游商品，发展绿色食品等无污染加工业，在周边地区规划发展休闲、观光农业</w:t>
            </w:r>
            <w:r>
              <w:rPr>
                <w:rFonts w:hint="eastAsia"/>
                <w:color w:val="auto"/>
                <w:u w:val="single"/>
                <w:lang w:eastAsia="zh-CN"/>
              </w:rPr>
              <w:t>；</w:t>
            </w:r>
            <w:r>
              <w:rPr>
                <w:rFonts w:hint="default"/>
                <w:color w:val="auto"/>
                <w:u w:val="single"/>
              </w:rPr>
              <w:t>湘环评[2007]41号：旅游服务、旅游商品加工、绿色食品加工等</w:t>
            </w:r>
            <w:r>
              <w:rPr>
                <w:rFonts w:hint="default"/>
                <w:color w:val="auto"/>
                <w:u w:val="single"/>
                <w:lang w:eastAsia="zh-CN"/>
              </w:rPr>
              <w:t>；</w:t>
            </w:r>
            <w:r>
              <w:rPr>
                <w:rFonts w:hint="default"/>
                <w:color w:val="auto"/>
                <w:u w:val="single"/>
              </w:rPr>
              <w:t>六部委公告2018年第4号：农产品加工、电子信息、医药。</w:t>
            </w:r>
          </w:p>
        </w:tc>
        <w:tc>
          <w:tcPr>
            <w:tcW w:w="4624" w:type="dxa"/>
            <w:gridSpan w:val="2"/>
            <w:tcBorders>
              <w:left w:val="single" w:color="auto" w:sz="4" w:space="0"/>
            </w:tcBorders>
            <w:noWrap w:val="0"/>
            <w:vAlign w:val="center"/>
          </w:tcPr>
          <w:p>
            <w:pPr>
              <w:pStyle w:val="120"/>
              <w:bidi w:val="0"/>
              <w:jc w:val="both"/>
              <w:rPr>
                <w:rFonts w:hint="default"/>
                <w:color w:val="auto"/>
                <w:u w:val="single"/>
              </w:rPr>
            </w:pPr>
            <w:r>
              <w:rPr>
                <w:rFonts w:hint="default"/>
                <w:color w:val="auto"/>
                <w:u w:val="single"/>
              </w:rPr>
              <w:t>1</w:t>
            </w:r>
            <w:r>
              <w:rPr>
                <w:rFonts w:hint="default"/>
                <w:color w:val="auto"/>
                <w:u w:val="single"/>
                <w:lang w:eastAsia="zh-CN"/>
              </w:rPr>
              <w:t>.</w:t>
            </w:r>
            <w:r>
              <w:rPr>
                <w:rFonts w:hint="eastAsia"/>
                <w:color w:val="auto"/>
                <w:u w:val="single"/>
                <w:lang w:eastAsia="zh-CN"/>
              </w:rPr>
              <w:t>芙蓉镇和猛洞河产业园局部</w:t>
            </w:r>
            <w:r>
              <w:rPr>
                <w:rFonts w:hint="default"/>
                <w:color w:val="auto"/>
                <w:u w:val="single"/>
              </w:rPr>
              <w:t>涉及猛洞河国家级风景名胜区的外围保护区；</w:t>
            </w:r>
          </w:p>
          <w:p>
            <w:pPr>
              <w:pStyle w:val="120"/>
              <w:bidi w:val="0"/>
              <w:jc w:val="both"/>
              <w:rPr>
                <w:rFonts w:hint="default"/>
                <w:color w:val="auto"/>
                <w:u w:val="single"/>
              </w:rPr>
            </w:pPr>
            <w:r>
              <w:rPr>
                <w:rFonts w:hint="default"/>
                <w:color w:val="auto"/>
                <w:u w:val="single"/>
              </w:rPr>
              <w:t>2.芙蓉镇</w:t>
            </w:r>
            <w:r>
              <w:rPr>
                <w:rFonts w:hint="eastAsia"/>
                <w:color w:val="auto"/>
                <w:u w:val="single"/>
                <w:lang w:eastAsia="zh-CN"/>
              </w:rPr>
              <w:t>产业园西南面</w:t>
            </w:r>
            <w:r>
              <w:rPr>
                <w:rFonts w:hint="default"/>
                <w:color w:val="auto"/>
                <w:u w:val="single"/>
              </w:rPr>
              <w:t>酉水干流河段属酉水湘西段翘嘴红鲌国家级水产种质资源保护区实验区，</w:t>
            </w:r>
            <w:r>
              <w:rPr>
                <w:rFonts w:hint="eastAsia"/>
                <w:color w:val="auto"/>
                <w:u w:val="single"/>
                <w:lang w:eastAsia="zh-CN"/>
              </w:rPr>
              <w:t>芙蓉镇产业</w:t>
            </w:r>
            <w:r>
              <w:rPr>
                <w:rFonts w:hint="default"/>
                <w:color w:val="auto"/>
                <w:u w:val="single"/>
              </w:rPr>
              <w:t>园</w:t>
            </w:r>
            <w:r>
              <w:rPr>
                <w:rFonts w:hint="eastAsia"/>
                <w:color w:val="auto"/>
                <w:u w:val="single"/>
                <w:lang w:eastAsia="zh-CN"/>
              </w:rPr>
              <w:t>与芙蓉镇共用的</w:t>
            </w:r>
            <w:r>
              <w:rPr>
                <w:rFonts w:hint="default"/>
                <w:color w:val="auto"/>
                <w:u w:val="single"/>
              </w:rPr>
              <w:t>污水处理厂出水</w:t>
            </w:r>
            <w:r>
              <w:rPr>
                <w:rFonts w:hint="eastAsia"/>
                <w:color w:val="auto"/>
                <w:u w:val="single"/>
                <w:lang w:eastAsia="zh-CN"/>
              </w:rPr>
              <w:t>排</w:t>
            </w:r>
            <w:r>
              <w:rPr>
                <w:rFonts w:hint="default"/>
                <w:color w:val="auto"/>
                <w:u w:val="single"/>
              </w:rPr>
              <w:t>入跳墩</w:t>
            </w:r>
            <w:r>
              <w:rPr>
                <w:rFonts w:hint="eastAsia"/>
                <w:color w:val="auto"/>
                <w:u w:val="single"/>
                <w:lang w:eastAsia="zh-CN"/>
              </w:rPr>
              <w:t>溪流经</w:t>
            </w:r>
            <w:r>
              <w:rPr>
                <w:rFonts w:hint="eastAsia"/>
                <w:color w:val="auto"/>
                <w:u w:val="single"/>
                <w:lang w:val="en-US" w:eastAsia="zh-CN"/>
              </w:rPr>
              <w:t>23</w:t>
            </w:r>
            <w:r>
              <w:rPr>
                <w:rFonts w:hint="default"/>
                <w:color w:val="auto"/>
                <w:u w:val="single"/>
              </w:rPr>
              <w:t>0米后汇入</w:t>
            </w:r>
            <w:r>
              <w:rPr>
                <w:rFonts w:hint="eastAsia"/>
                <w:color w:val="auto"/>
                <w:u w:val="single"/>
                <w:lang w:eastAsia="zh-CN"/>
              </w:rPr>
              <w:t>该</w:t>
            </w:r>
            <w:r>
              <w:rPr>
                <w:rFonts w:hint="default"/>
                <w:color w:val="auto"/>
                <w:u w:val="single"/>
              </w:rPr>
              <w:t>保护区</w:t>
            </w:r>
            <w:r>
              <w:rPr>
                <w:rFonts w:hint="eastAsia"/>
                <w:color w:val="auto"/>
                <w:u w:val="single"/>
                <w:lang w:eastAsia="zh-CN"/>
              </w:rPr>
              <w:t>实验区</w:t>
            </w:r>
            <w:r>
              <w:rPr>
                <w:rFonts w:hint="default"/>
                <w:color w:val="auto"/>
                <w:u w:val="single"/>
              </w:rPr>
              <w:t>河段；</w:t>
            </w:r>
          </w:p>
          <w:p>
            <w:pPr>
              <w:pStyle w:val="120"/>
              <w:bidi w:val="0"/>
              <w:jc w:val="both"/>
              <w:rPr>
                <w:rFonts w:hint="eastAsia"/>
                <w:color w:val="auto"/>
                <w:u w:val="single"/>
                <w:lang w:eastAsia="zh-CN"/>
              </w:rPr>
            </w:pPr>
            <w:r>
              <w:rPr>
                <w:rFonts w:hint="default"/>
                <w:color w:val="auto"/>
                <w:u w:val="single"/>
              </w:rPr>
              <w:t>3.芙蓉镇产业园西南</w:t>
            </w:r>
            <w:r>
              <w:rPr>
                <w:rFonts w:hint="eastAsia"/>
                <w:color w:val="auto"/>
                <w:u w:val="single"/>
                <w:lang w:eastAsia="zh-CN"/>
              </w:rPr>
              <w:t>面紧邻</w:t>
            </w:r>
            <w:r>
              <w:rPr>
                <w:rFonts w:hint="default"/>
                <w:color w:val="auto"/>
                <w:u w:val="single"/>
              </w:rPr>
              <w:t>芙蓉古镇（园区</w:t>
            </w:r>
            <w:r>
              <w:rPr>
                <w:rFonts w:hint="eastAsia"/>
                <w:color w:val="auto"/>
                <w:u w:val="single"/>
                <w:lang w:eastAsia="zh-CN"/>
              </w:rPr>
              <w:t>总体位于</w:t>
            </w:r>
            <w:r>
              <w:rPr>
                <w:rFonts w:hint="default"/>
                <w:color w:val="auto"/>
                <w:u w:val="single"/>
              </w:rPr>
              <w:t>古镇常年主导风向的下风向）</w:t>
            </w:r>
            <w:r>
              <w:rPr>
                <w:rFonts w:hint="eastAsia"/>
                <w:color w:val="auto"/>
                <w:u w:val="single"/>
                <w:lang w:eastAsia="zh-CN"/>
              </w:rPr>
              <w:t>；</w:t>
            </w:r>
          </w:p>
          <w:p>
            <w:pPr>
              <w:pStyle w:val="120"/>
              <w:bidi w:val="0"/>
              <w:jc w:val="both"/>
              <w:rPr>
                <w:rFonts w:hint="default"/>
                <w:color w:val="auto"/>
                <w:u w:val="single"/>
                <w:lang w:val="en-US" w:eastAsia="zh-CN"/>
              </w:rPr>
            </w:pPr>
            <w:r>
              <w:rPr>
                <w:rFonts w:hint="eastAsia"/>
                <w:color w:val="auto"/>
                <w:u w:val="single"/>
                <w:lang w:val="en-US" w:eastAsia="zh-CN"/>
              </w:rPr>
              <w:t>4.猛洞河产业园东侧紧邻不二门国家森林公园、猛洞河省级地质公园。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6" w:type="dxa"/>
            <w:noWrap w:val="0"/>
            <w:vAlign w:val="center"/>
          </w:tcPr>
          <w:p>
            <w:pPr>
              <w:pStyle w:val="120"/>
              <w:bidi w:val="0"/>
              <w:rPr>
                <w:rFonts w:hint="eastAsia"/>
                <w:color w:val="auto"/>
                <w:u w:val="single"/>
              </w:rPr>
            </w:pPr>
            <w:r>
              <w:rPr>
                <w:rFonts w:hint="eastAsia"/>
                <w:color w:val="auto"/>
                <w:u w:val="single"/>
              </w:rPr>
              <w:t>管控维度</w:t>
            </w:r>
          </w:p>
        </w:tc>
        <w:tc>
          <w:tcPr>
            <w:tcW w:w="6345" w:type="dxa"/>
            <w:gridSpan w:val="9"/>
            <w:noWrap w:val="0"/>
            <w:vAlign w:val="center"/>
          </w:tcPr>
          <w:p>
            <w:pPr>
              <w:pStyle w:val="120"/>
              <w:bidi w:val="0"/>
              <w:rPr>
                <w:rFonts w:hint="eastAsia"/>
                <w:color w:val="auto"/>
                <w:u w:val="single"/>
              </w:rPr>
            </w:pPr>
            <w:r>
              <w:rPr>
                <w:rFonts w:hint="eastAsia"/>
                <w:color w:val="auto"/>
                <w:u w:val="single"/>
              </w:rPr>
              <w:t>管控要求</w:t>
            </w:r>
          </w:p>
        </w:tc>
        <w:tc>
          <w:tcPr>
            <w:tcW w:w="5433" w:type="dxa"/>
            <w:gridSpan w:val="2"/>
            <w:noWrap w:val="0"/>
            <w:vAlign w:val="center"/>
          </w:tcPr>
          <w:p>
            <w:pPr>
              <w:pStyle w:val="120"/>
              <w:bidi w:val="0"/>
              <w:rPr>
                <w:rFonts w:hint="eastAsia" w:eastAsia="宋体"/>
                <w:color w:val="auto"/>
                <w:u w:val="single"/>
                <w:lang w:val="en-US" w:eastAsia="zh-CN"/>
              </w:rPr>
            </w:pPr>
            <w:r>
              <w:rPr>
                <w:rFonts w:hint="eastAsia"/>
                <w:color w:val="auto"/>
                <w:u w:val="single"/>
                <w:lang w:val="en-US" w:eastAsia="zh-CN"/>
              </w:rPr>
              <w:t>本项目</w:t>
            </w:r>
          </w:p>
        </w:tc>
        <w:tc>
          <w:tcPr>
            <w:tcW w:w="1199" w:type="dxa"/>
            <w:noWrap w:val="0"/>
            <w:vAlign w:val="center"/>
          </w:tcPr>
          <w:p>
            <w:pPr>
              <w:pStyle w:val="120"/>
              <w:bidi w:val="0"/>
              <w:rPr>
                <w:rFonts w:hint="eastAsia" w:eastAsia="宋体"/>
                <w:color w:val="auto"/>
                <w:u w:val="single"/>
                <w:lang w:eastAsia="zh-CN"/>
              </w:rPr>
            </w:pPr>
            <w:r>
              <w:rPr>
                <w:rFonts w:hint="eastAsia"/>
                <w:color w:val="auto"/>
                <w:u w:val="single"/>
                <w:lang w:eastAsia="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6" w:type="dxa"/>
            <w:noWrap w:val="0"/>
            <w:vAlign w:val="center"/>
          </w:tcPr>
          <w:p>
            <w:pPr>
              <w:pStyle w:val="120"/>
              <w:bidi w:val="0"/>
              <w:rPr>
                <w:rFonts w:hint="eastAsia"/>
                <w:color w:val="auto"/>
                <w:u w:val="single"/>
              </w:rPr>
            </w:pPr>
            <w:r>
              <w:rPr>
                <w:rFonts w:hint="eastAsia"/>
                <w:color w:val="auto"/>
                <w:u w:val="single"/>
              </w:rPr>
              <w:t>空间布局约束</w:t>
            </w:r>
          </w:p>
        </w:tc>
        <w:tc>
          <w:tcPr>
            <w:tcW w:w="6345" w:type="dxa"/>
            <w:gridSpan w:val="9"/>
            <w:noWrap w:val="0"/>
            <w:vAlign w:val="center"/>
          </w:tcPr>
          <w:p>
            <w:pPr>
              <w:pStyle w:val="120"/>
              <w:bidi w:val="0"/>
              <w:jc w:val="both"/>
              <w:rPr>
                <w:rFonts w:hint="eastAsia"/>
                <w:color w:val="auto"/>
                <w:u w:val="single"/>
              </w:rPr>
            </w:pPr>
            <w:r>
              <w:rPr>
                <w:rFonts w:hint="eastAsia"/>
                <w:color w:val="auto"/>
                <w:u w:val="single"/>
              </w:rPr>
              <w:t>（1.</w:t>
            </w:r>
            <w:r>
              <w:rPr>
                <w:rFonts w:hint="eastAsia"/>
                <w:color w:val="auto"/>
                <w:u w:val="single"/>
                <w:lang w:val="en-US" w:eastAsia="zh-CN"/>
              </w:rPr>
              <w:t>1</w:t>
            </w:r>
            <w:r>
              <w:rPr>
                <w:rFonts w:hint="eastAsia"/>
                <w:color w:val="auto"/>
                <w:u w:val="single"/>
              </w:rPr>
              <w:t>）开发区引进企业应当符合“永顺县产业准入负面清单”</w:t>
            </w:r>
            <w:r>
              <w:rPr>
                <w:rFonts w:hint="eastAsia"/>
                <w:color w:val="auto"/>
                <w:u w:val="single"/>
                <w:lang w:eastAsia="zh-CN"/>
              </w:rPr>
              <w:t>、“永顺经济开发区产业准入负面清单”</w:t>
            </w:r>
            <w:r>
              <w:rPr>
                <w:rFonts w:hint="eastAsia"/>
                <w:color w:val="auto"/>
                <w:u w:val="single"/>
              </w:rPr>
              <w:t>的有关规定。</w:t>
            </w:r>
          </w:p>
          <w:p>
            <w:pPr>
              <w:pStyle w:val="120"/>
              <w:bidi w:val="0"/>
              <w:jc w:val="both"/>
              <w:rPr>
                <w:rFonts w:hint="eastAsia"/>
                <w:color w:val="auto"/>
                <w:u w:val="single"/>
              </w:rPr>
            </w:pPr>
            <w:r>
              <w:rPr>
                <w:rFonts w:hint="eastAsia"/>
                <w:color w:val="auto"/>
                <w:u w:val="single"/>
              </w:rPr>
              <w:t>（1.</w:t>
            </w:r>
            <w:r>
              <w:rPr>
                <w:rFonts w:hint="eastAsia"/>
                <w:color w:val="auto"/>
                <w:u w:val="single"/>
                <w:lang w:val="en-US" w:eastAsia="zh-CN"/>
              </w:rPr>
              <w:t>2</w:t>
            </w:r>
            <w:r>
              <w:rPr>
                <w:rFonts w:hint="eastAsia"/>
                <w:color w:val="auto"/>
                <w:u w:val="single"/>
              </w:rPr>
              <w:t>）禁止建设冶金、化工、造纸、印染、屠宰</w:t>
            </w:r>
            <w:r>
              <w:rPr>
                <w:rFonts w:hint="eastAsia"/>
                <w:color w:val="auto"/>
                <w:u w:val="single"/>
                <w:lang w:val="en-US" w:eastAsia="zh-CN"/>
              </w:rPr>
              <w:t>（仅限于芙蓉镇产业园区）</w:t>
            </w:r>
            <w:r>
              <w:rPr>
                <w:rFonts w:hint="eastAsia"/>
                <w:color w:val="auto"/>
                <w:u w:val="single"/>
              </w:rPr>
              <w:t>、电镀、农药、制革、炼油、大型机械制造等废水、废气排放量大的工业企业。</w:t>
            </w:r>
          </w:p>
          <w:p>
            <w:pPr>
              <w:pStyle w:val="120"/>
              <w:bidi w:val="0"/>
              <w:jc w:val="both"/>
              <w:rPr>
                <w:rFonts w:hint="eastAsia"/>
                <w:color w:val="auto"/>
                <w:u w:val="single"/>
              </w:rPr>
            </w:pPr>
            <w:r>
              <w:rPr>
                <w:rFonts w:hint="eastAsia"/>
                <w:color w:val="auto"/>
                <w:u w:val="single"/>
              </w:rPr>
              <w:t>（1.</w:t>
            </w:r>
            <w:r>
              <w:rPr>
                <w:rFonts w:hint="eastAsia"/>
                <w:color w:val="auto"/>
                <w:u w:val="single"/>
                <w:lang w:val="en-US" w:eastAsia="zh-CN"/>
              </w:rPr>
              <w:t>3</w:t>
            </w:r>
            <w:r>
              <w:rPr>
                <w:rFonts w:hint="eastAsia"/>
                <w:color w:val="auto"/>
                <w:u w:val="single"/>
              </w:rPr>
              <w:t>）</w:t>
            </w:r>
            <w:r>
              <w:rPr>
                <w:rFonts w:hint="eastAsia"/>
                <w:color w:val="auto"/>
                <w:u w:val="single"/>
                <w:lang w:eastAsia="zh-CN"/>
              </w:rPr>
              <w:t>开发区应严格</w:t>
            </w:r>
            <w:r>
              <w:rPr>
                <w:rFonts w:hint="eastAsia"/>
                <w:color w:val="auto"/>
                <w:u w:val="single"/>
                <w:lang w:val="en-US" w:eastAsia="zh-CN"/>
              </w:rPr>
              <w:t>按其用地范围、面积实施开发，不得涉及永顺县生</w:t>
            </w:r>
            <w:r>
              <w:rPr>
                <w:rFonts w:hint="eastAsia"/>
                <w:color w:val="auto"/>
                <w:u w:val="single"/>
                <w:lang w:eastAsia="zh-CN"/>
              </w:rPr>
              <w:t>态红线控制范围、《猛洞河国家级风景名胜区总体规划》的风景区边界线范围、</w:t>
            </w:r>
            <w:r>
              <w:rPr>
                <w:rFonts w:hint="eastAsia"/>
                <w:color w:val="auto"/>
                <w:u w:val="single"/>
              </w:rPr>
              <w:t>《王村古镇保护与发展规划》</w:t>
            </w:r>
            <w:r>
              <w:rPr>
                <w:rFonts w:hint="eastAsia"/>
                <w:color w:val="auto"/>
                <w:u w:val="single"/>
                <w:lang w:eastAsia="zh-CN"/>
              </w:rPr>
              <w:t>的保护区范围、</w:t>
            </w:r>
            <w:r>
              <w:rPr>
                <w:rFonts w:hint="eastAsia"/>
                <w:color w:val="auto"/>
                <w:u w:val="single"/>
              </w:rPr>
              <w:t>《永顺猛洞河地质公园总体规划》</w:t>
            </w:r>
            <w:r>
              <w:rPr>
                <w:rFonts w:hint="eastAsia"/>
                <w:color w:val="auto"/>
                <w:u w:val="single"/>
                <w:lang w:eastAsia="zh-CN"/>
              </w:rPr>
              <w:t>的规划区范围、《</w:t>
            </w:r>
            <w:r>
              <w:rPr>
                <w:rFonts w:hint="eastAsia"/>
                <w:color w:val="auto"/>
                <w:u w:val="single"/>
              </w:rPr>
              <w:t>不二门</w:t>
            </w:r>
            <w:r>
              <w:rPr>
                <w:rFonts w:hint="eastAsia"/>
                <w:color w:val="auto"/>
                <w:u w:val="single"/>
                <w:lang w:eastAsia="zh-CN"/>
              </w:rPr>
              <w:t>国家</w:t>
            </w:r>
            <w:r>
              <w:rPr>
                <w:rFonts w:hint="eastAsia"/>
                <w:color w:val="auto"/>
                <w:u w:val="single"/>
              </w:rPr>
              <w:t>森林公园</w:t>
            </w:r>
            <w:r>
              <w:rPr>
                <w:rFonts w:hint="eastAsia"/>
                <w:color w:val="auto"/>
                <w:u w:val="single"/>
                <w:lang w:eastAsia="zh-CN"/>
              </w:rPr>
              <w:t>总体规划》的规划区范围。</w:t>
            </w:r>
            <w:r>
              <w:rPr>
                <w:rFonts w:hint="eastAsia"/>
                <w:color w:val="auto"/>
                <w:u w:val="single"/>
              </w:rPr>
              <w:t>开发区涉及猛洞河风景名胜区外围保护区的区域应当严格执行《湘西土家族苗族自治州猛洞河风景名胜区保护条例》，外围保护区内禁止兴建重污染工业项目。</w:t>
            </w:r>
          </w:p>
        </w:tc>
        <w:tc>
          <w:tcPr>
            <w:tcW w:w="5433" w:type="dxa"/>
            <w:gridSpan w:val="2"/>
            <w:noWrap w:val="0"/>
            <w:vAlign w:val="center"/>
          </w:tcPr>
          <w:p>
            <w:pPr>
              <w:pStyle w:val="120"/>
              <w:bidi w:val="0"/>
              <w:jc w:val="both"/>
              <w:rPr>
                <w:rFonts w:hint="eastAsia" w:eastAsia="宋体"/>
                <w:color w:val="auto"/>
                <w:u w:val="single"/>
                <w:lang w:val="en-US" w:eastAsia="zh-CN"/>
              </w:rPr>
            </w:pPr>
            <w:r>
              <w:rPr>
                <w:rFonts w:hint="eastAsia"/>
                <w:color w:val="auto"/>
                <w:u w:val="single"/>
                <w:lang w:val="en-US" w:eastAsia="zh-CN"/>
              </w:rPr>
              <w:t>本项目不属于《</w:t>
            </w:r>
            <w:r>
              <w:rPr>
                <w:rFonts w:hint="eastAsia"/>
                <w:color w:val="auto"/>
                <w:u w:val="single"/>
              </w:rPr>
              <w:t>永顺县产业准入负面清单</w:t>
            </w:r>
            <w:r>
              <w:rPr>
                <w:rFonts w:hint="eastAsia"/>
                <w:color w:val="auto"/>
                <w:u w:val="single"/>
                <w:lang w:val="en-US" w:eastAsia="zh-CN"/>
              </w:rPr>
              <w:t>》及《</w:t>
            </w:r>
            <w:r>
              <w:rPr>
                <w:rFonts w:hint="eastAsia"/>
                <w:color w:val="auto"/>
                <w:u w:val="single"/>
                <w:lang w:eastAsia="zh-CN"/>
              </w:rPr>
              <w:t>永顺经济开发区产业准入负面清单</w:t>
            </w:r>
            <w:r>
              <w:rPr>
                <w:rFonts w:hint="eastAsia"/>
                <w:color w:val="auto"/>
                <w:u w:val="single"/>
                <w:lang w:val="en-US" w:eastAsia="zh-CN"/>
              </w:rPr>
              <w:t>》；本项目属于污水处理及再生利用类，不属于永顺经济开发区禁止建设项目，本项目属于污染治理项目，不属于高污染项目，建成后，园区对猛洞河流域影响呈趋好的影响发展；经与永顺县自然资源局核查，本项目不位于调整后的生态红线内；本项目部分排水管道（约150m）及排污口位于</w:t>
            </w:r>
            <w:r>
              <w:rPr>
                <w:rFonts w:hint="eastAsia"/>
                <w:color w:val="auto"/>
                <w:u w:val="single"/>
                <w:lang w:eastAsia="zh-CN"/>
              </w:rPr>
              <w:t>猛洞河国家级风景名胜区外围保护区、</w:t>
            </w:r>
            <w:r>
              <w:rPr>
                <w:rFonts w:hint="eastAsia"/>
                <w:color w:val="auto"/>
                <w:u w:val="single"/>
              </w:rPr>
              <w:t>永顺猛洞河地质公园</w:t>
            </w:r>
            <w:r>
              <w:rPr>
                <w:rFonts w:hint="eastAsia"/>
                <w:color w:val="auto"/>
                <w:u w:val="single"/>
                <w:lang w:eastAsia="zh-CN"/>
              </w:rPr>
              <w:t>三级保护区</w:t>
            </w:r>
            <w:r>
              <w:rPr>
                <w:rFonts w:hint="eastAsia"/>
                <w:color w:val="auto"/>
                <w:u w:val="single"/>
                <w:lang w:val="en-US" w:eastAsia="zh-CN"/>
              </w:rPr>
              <w:t>（约560m）</w:t>
            </w:r>
            <w:r>
              <w:rPr>
                <w:rFonts w:hint="eastAsia"/>
                <w:color w:val="auto"/>
                <w:u w:val="single"/>
                <w:lang w:eastAsia="zh-CN"/>
              </w:rPr>
              <w:t>、</w:t>
            </w:r>
            <w:r>
              <w:rPr>
                <w:rFonts w:hint="eastAsia"/>
                <w:color w:val="auto"/>
                <w:u w:val="single"/>
              </w:rPr>
              <w:t>不二门</w:t>
            </w:r>
            <w:r>
              <w:rPr>
                <w:rFonts w:hint="eastAsia"/>
                <w:color w:val="auto"/>
                <w:u w:val="single"/>
                <w:lang w:eastAsia="zh-CN"/>
              </w:rPr>
              <w:t>国家</w:t>
            </w:r>
            <w:r>
              <w:rPr>
                <w:rFonts w:hint="eastAsia"/>
                <w:color w:val="auto"/>
                <w:u w:val="single"/>
              </w:rPr>
              <w:t>森林公园</w:t>
            </w:r>
            <w:r>
              <w:rPr>
                <w:rFonts w:hint="eastAsia"/>
                <w:color w:val="auto"/>
                <w:u w:val="single"/>
                <w:lang w:eastAsia="zh-CN"/>
              </w:rPr>
              <w:t>官河保育区</w:t>
            </w:r>
            <w:r>
              <w:rPr>
                <w:rFonts w:hint="eastAsia"/>
                <w:color w:val="auto"/>
                <w:u w:val="single"/>
                <w:lang w:val="en-US" w:eastAsia="zh-CN"/>
              </w:rPr>
              <w:t>（约300m）</w:t>
            </w:r>
            <w:r>
              <w:rPr>
                <w:rFonts w:hint="eastAsia"/>
                <w:color w:val="auto"/>
                <w:u w:val="single"/>
                <w:lang w:eastAsia="zh-CN"/>
              </w:rPr>
              <w:t>，经下文项目与《猛洞河国家级风景名胜区总体规划》、</w:t>
            </w:r>
            <w:r>
              <w:rPr>
                <w:rFonts w:hint="eastAsia"/>
                <w:color w:val="auto"/>
                <w:u w:val="single"/>
              </w:rPr>
              <w:t>永顺猛洞河地质公园总体规划》</w:t>
            </w:r>
            <w:r>
              <w:rPr>
                <w:rFonts w:hint="eastAsia"/>
                <w:color w:val="auto"/>
                <w:u w:val="single"/>
                <w:lang w:eastAsia="zh-CN"/>
              </w:rPr>
              <w:t>、《</w:t>
            </w:r>
            <w:r>
              <w:rPr>
                <w:rFonts w:hint="eastAsia"/>
                <w:color w:val="auto"/>
                <w:u w:val="single"/>
              </w:rPr>
              <w:t>不二门</w:t>
            </w:r>
            <w:r>
              <w:rPr>
                <w:rFonts w:hint="eastAsia"/>
                <w:color w:val="auto"/>
                <w:u w:val="single"/>
                <w:lang w:eastAsia="zh-CN"/>
              </w:rPr>
              <w:t>国家</w:t>
            </w:r>
            <w:r>
              <w:rPr>
                <w:rFonts w:hint="eastAsia"/>
                <w:color w:val="auto"/>
                <w:u w:val="single"/>
              </w:rPr>
              <w:t>森林公园</w:t>
            </w:r>
            <w:r>
              <w:rPr>
                <w:rFonts w:hint="eastAsia"/>
                <w:color w:val="auto"/>
                <w:u w:val="single"/>
                <w:lang w:eastAsia="zh-CN"/>
              </w:rPr>
              <w:t>总体规划》的符合性分析，本项目与《猛洞河国家级风景名胜区总体规划》、</w:t>
            </w:r>
            <w:r>
              <w:rPr>
                <w:rFonts w:hint="eastAsia"/>
                <w:color w:val="auto"/>
                <w:u w:val="single"/>
              </w:rPr>
              <w:t>永顺猛洞河地质公园总体规划》</w:t>
            </w:r>
            <w:r>
              <w:rPr>
                <w:rFonts w:hint="eastAsia"/>
                <w:color w:val="auto"/>
                <w:u w:val="single"/>
                <w:lang w:eastAsia="zh-CN"/>
              </w:rPr>
              <w:t>、《</w:t>
            </w:r>
            <w:r>
              <w:rPr>
                <w:rFonts w:hint="eastAsia"/>
                <w:color w:val="auto"/>
                <w:u w:val="single"/>
              </w:rPr>
              <w:t>不二门</w:t>
            </w:r>
            <w:r>
              <w:rPr>
                <w:rFonts w:hint="eastAsia"/>
                <w:color w:val="auto"/>
                <w:u w:val="single"/>
                <w:lang w:eastAsia="zh-CN"/>
              </w:rPr>
              <w:t>国家</w:t>
            </w:r>
            <w:r>
              <w:rPr>
                <w:rFonts w:hint="eastAsia"/>
                <w:color w:val="auto"/>
                <w:u w:val="single"/>
              </w:rPr>
              <w:t>森林公园</w:t>
            </w:r>
            <w:r>
              <w:rPr>
                <w:rFonts w:hint="eastAsia"/>
                <w:color w:val="auto"/>
                <w:u w:val="single"/>
                <w:lang w:eastAsia="zh-CN"/>
              </w:rPr>
              <w:t>总体规划》中的建设项目管控要求不冲突。</w:t>
            </w:r>
          </w:p>
        </w:tc>
        <w:tc>
          <w:tcPr>
            <w:tcW w:w="1199" w:type="dxa"/>
            <w:noWrap w:val="0"/>
            <w:vAlign w:val="center"/>
          </w:tcPr>
          <w:p>
            <w:pPr>
              <w:pStyle w:val="120"/>
              <w:bidi w:val="0"/>
              <w:jc w:val="center"/>
              <w:rPr>
                <w:rFonts w:hint="eastAsia"/>
                <w:color w:val="auto"/>
                <w:u w:val="single"/>
                <w:lang w:eastAsia="zh-CN"/>
              </w:rPr>
            </w:pPr>
            <w:r>
              <w:rPr>
                <w:rFonts w:hint="eastAsia"/>
                <w:color w:val="auto"/>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6" w:type="dxa"/>
            <w:noWrap w:val="0"/>
            <w:vAlign w:val="center"/>
          </w:tcPr>
          <w:p>
            <w:pPr>
              <w:pStyle w:val="120"/>
              <w:bidi w:val="0"/>
              <w:rPr>
                <w:rFonts w:hint="eastAsia"/>
                <w:color w:val="auto"/>
                <w:u w:val="single"/>
              </w:rPr>
            </w:pPr>
            <w:r>
              <w:rPr>
                <w:rFonts w:hint="eastAsia"/>
                <w:color w:val="auto"/>
                <w:u w:val="single"/>
              </w:rPr>
              <w:t>污染物排放管控</w:t>
            </w:r>
          </w:p>
        </w:tc>
        <w:tc>
          <w:tcPr>
            <w:tcW w:w="6345" w:type="dxa"/>
            <w:gridSpan w:val="9"/>
            <w:noWrap w:val="0"/>
            <w:vAlign w:val="center"/>
          </w:tcPr>
          <w:p>
            <w:pPr>
              <w:pStyle w:val="120"/>
              <w:bidi w:val="0"/>
              <w:jc w:val="both"/>
              <w:rPr>
                <w:rFonts w:hint="eastAsia"/>
                <w:color w:val="auto"/>
                <w:u w:val="single"/>
              </w:rPr>
            </w:pPr>
            <w:r>
              <w:rPr>
                <w:rFonts w:hint="eastAsia"/>
                <w:color w:val="auto"/>
                <w:u w:val="single"/>
              </w:rPr>
              <w:t>（2.1）废水：排水管网实行清污分流，芙蓉镇产业园雨水就近排入跳墩河</w:t>
            </w:r>
            <w:r>
              <w:rPr>
                <w:rFonts w:hint="eastAsia"/>
                <w:color w:val="auto"/>
                <w:u w:val="single"/>
                <w:lang w:val="en-US" w:eastAsia="zh-CN"/>
              </w:rPr>
              <w:t>（又名王村河）</w:t>
            </w:r>
            <w:r>
              <w:rPr>
                <w:rFonts w:hint="eastAsia"/>
                <w:color w:val="auto"/>
                <w:u w:val="single"/>
              </w:rPr>
              <w:t>，工业废水、生活污水依托芙蓉镇污水处理厂，处理达标后排入跳墩河，汇入酉水。猛洞河产业园雨水就近排入猛洞河，工业废水、生活污水统一排放园区配套污水处理厂，处理达标后排入猛洞河。</w:t>
            </w:r>
          </w:p>
          <w:p>
            <w:pPr>
              <w:pStyle w:val="120"/>
              <w:bidi w:val="0"/>
              <w:jc w:val="both"/>
              <w:rPr>
                <w:rFonts w:hint="eastAsia"/>
                <w:color w:val="auto"/>
                <w:u w:val="single"/>
                <w:lang w:eastAsia="zh-CN"/>
              </w:rPr>
            </w:pPr>
            <w:r>
              <w:rPr>
                <w:rFonts w:hint="eastAsia"/>
                <w:color w:val="auto"/>
                <w:u w:val="single"/>
              </w:rPr>
              <w:t>（2.</w:t>
            </w:r>
            <w:r>
              <w:rPr>
                <w:rFonts w:hint="eastAsia"/>
                <w:color w:val="auto"/>
                <w:u w:val="single"/>
                <w:lang w:val="en-US" w:eastAsia="zh-CN"/>
              </w:rPr>
              <w:t>2</w:t>
            </w:r>
            <w:r>
              <w:rPr>
                <w:rFonts w:hint="eastAsia"/>
                <w:color w:val="auto"/>
                <w:u w:val="single"/>
              </w:rPr>
              <w:t>）废气：加快天然气管网建设，推广清洁能源；积极推行清洁生产，采取有效措施，减少园区企业工艺废气的无组织排放；入园企业各生产装置排放的废气须经处理达到相应标准。推进生物医药、食品加工等挥发性有机物（VOCs）综合治理</w:t>
            </w:r>
            <w:r>
              <w:rPr>
                <w:rFonts w:hint="eastAsia"/>
                <w:color w:val="auto"/>
                <w:u w:val="single"/>
                <w:lang w:eastAsia="zh-CN"/>
              </w:rPr>
              <w:t>。</w:t>
            </w:r>
          </w:p>
          <w:p>
            <w:pPr>
              <w:pStyle w:val="120"/>
              <w:bidi w:val="0"/>
              <w:jc w:val="both"/>
              <w:rPr>
                <w:rFonts w:hint="eastAsia"/>
                <w:color w:val="auto"/>
                <w:u w:val="single"/>
              </w:rPr>
            </w:pPr>
            <w:r>
              <w:rPr>
                <w:rFonts w:hint="eastAsia"/>
                <w:color w:val="auto"/>
                <w:u w:val="single"/>
              </w:rPr>
              <w:t>（2.3）固废：做好固体废物的分类收集、转运、综合利用和无害化处理，严禁造成二次污染。对危险固废应严格按照国家有关规定综合利用或妥善处置，对危险废物产生企业和经营单位，应强化日常环境监管。禁止向酉水河、</w:t>
            </w:r>
            <w:r>
              <w:rPr>
                <w:rFonts w:hint="eastAsia"/>
                <w:color w:val="auto"/>
                <w:u w:val="single"/>
                <w:lang w:eastAsia="zh-CN"/>
              </w:rPr>
              <w:t>王村河、</w:t>
            </w:r>
            <w:r>
              <w:rPr>
                <w:rFonts w:hint="eastAsia"/>
                <w:color w:val="auto"/>
                <w:u w:val="single"/>
              </w:rPr>
              <w:t>猛洞河流域水体排放、倾倒工业废渣、城镇垃圾或者其他废弃物。</w:t>
            </w:r>
          </w:p>
        </w:tc>
        <w:tc>
          <w:tcPr>
            <w:tcW w:w="5433" w:type="dxa"/>
            <w:gridSpan w:val="2"/>
            <w:noWrap w:val="0"/>
            <w:vAlign w:val="center"/>
          </w:tcPr>
          <w:p>
            <w:pPr>
              <w:pStyle w:val="120"/>
              <w:bidi w:val="0"/>
              <w:jc w:val="both"/>
              <w:rPr>
                <w:rFonts w:hint="eastAsia"/>
                <w:color w:val="auto"/>
                <w:u w:val="single"/>
                <w:lang w:val="en-US" w:eastAsia="zh-CN"/>
              </w:rPr>
            </w:pPr>
            <w:r>
              <w:rPr>
                <w:rFonts w:hint="eastAsia"/>
                <w:color w:val="auto"/>
                <w:u w:val="single"/>
                <w:lang w:val="en-US" w:eastAsia="zh-CN"/>
              </w:rPr>
              <w:t>猛洞河产业园实行雨污分流制度，本项目建成后，</w:t>
            </w:r>
            <w:r>
              <w:rPr>
                <w:rFonts w:hint="eastAsia"/>
                <w:color w:val="auto"/>
                <w:kern w:val="0"/>
                <w:u w:val="single"/>
                <w:lang w:eastAsia="zh-CN"/>
              </w:rPr>
              <w:t>永顺经济开发区猛洞河产业园内的企事业污水统一排放至本项目污水处理厂，处理达标后排入猛洞河</w:t>
            </w:r>
            <w:r>
              <w:rPr>
                <w:rFonts w:hint="eastAsia"/>
                <w:color w:val="auto"/>
                <w:u w:val="single"/>
                <w:lang w:val="en-US" w:eastAsia="zh-CN"/>
              </w:rPr>
              <w:t>，本项目完善了园区基础设施建设，减少对地表水环境的影响；经本环评大气环境预测分析，有组织无组织排放均达到了《恶臭污染物排放标准》（GB 14554-1993）表2中二级标准及《城镇污水处理厂污染物排放标准》（GB18918-2002）中表 4“厂界（防护带边缘）废气排放最高允许浓度；本项目产生的固体废物均委托第三方处理，不向猛洞河流域排放。</w:t>
            </w:r>
          </w:p>
        </w:tc>
        <w:tc>
          <w:tcPr>
            <w:tcW w:w="1199" w:type="dxa"/>
            <w:noWrap w:val="0"/>
            <w:vAlign w:val="center"/>
          </w:tcPr>
          <w:p>
            <w:pPr>
              <w:pStyle w:val="120"/>
              <w:bidi w:val="0"/>
              <w:rPr>
                <w:rFonts w:hint="eastAsia"/>
                <w:color w:val="auto"/>
                <w:u w:val="single"/>
                <w:lang w:eastAsia="zh-CN"/>
              </w:rPr>
            </w:pPr>
            <w:r>
              <w:rPr>
                <w:rFonts w:hint="eastAsia"/>
                <w:color w:val="auto"/>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6" w:type="dxa"/>
            <w:noWrap w:val="0"/>
            <w:vAlign w:val="center"/>
          </w:tcPr>
          <w:p>
            <w:pPr>
              <w:pStyle w:val="120"/>
              <w:bidi w:val="0"/>
              <w:rPr>
                <w:rFonts w:hint="eastAsia"/>
                <w:color w:val="auto"/>
                <w:u w:val="single"/>
              </w:rPr>
            </w:pPr>
            <w:r>
              <w:rPr>
                <w:rFonts w:hint="eastAsia"/>
                <w:color w:val="auto"/>
                <w:u w:val="single"/>
              </w:rPr>
              <w:t>环境风险防控</w:t>
            </w:r>
          </w:p>
        </w:tc>
        <w:tc>
          <w:tcPr>
            <w:tcW w:w="6345" w:type="dxa"/>
            <w:gridSpan w:val="9"/>
            <w:noWrap w:val="0"/>
            <w:vAlign w:val="center"/>
          </w:tcPr>
          <w:p>
            <w:pPr>
              <w:pStyle w:val="120"/>
              <w:bidi w:val="0"/>
              <w:jc w:val="both"/>
              <w:rPr>
                <w:rFonts w:hint="eastAsia"/>
                <w:color w:val="auto"/>
                <w:u w:val="single"/>
              </w:rPr>
            </w:pPr>
            <w:r>
              <w:rPr>
                <w:rFonts w:hint="eastAsia"/>
                <w:color w:val="auto"/>
                <w:u w:val="single"/>
              </w:rPr>
              <w:t>（3.1）开发区管委会应建立健全开发区环境风险防控体系，组织落实《湖南永顺经济开发区突发环境事件应急预案》提出的相关要求，加强环境风险事故防范和应急管理。</w:t>
            </w:r>
          </w:p>
          <w:p>
            <w:pPr>
              <w:pStyle w:val="120"/>
              <w:bidi w:val="0"/>
              <w:jc w:val="both"/>
              <w:rPr>
                <w:rFonts w:hint="eastAsia"/>
                <w:color w:val="auto"/>
                <w:u w:val="single"/>
              </w:rPr>
            </w:pPr>
            <w:r>
              <w:rPr>
                <w:rFonts w:hint="eastAsia"/>
                <w:color w:val="auto"/>
                <w:u w:val="single"/>
              </w:rPr>
              <w:t>（3.2</w:t>
            </w:r>
            <w:r>
              <w:rPr>
                <w:rFonts w:hint="eastAsia"/>
                <w:color w:val="auto"/>
                <w:u w:val="single"/>
                <w:lang w:eastAsia="zh-CN"/>
              </w:rPr>
              <w:t>）</w:t>
            </w:r>
            <w:r>
              <w:rPr>
                <w:rFonts w:hint="eastAsia"/>
                <w:color w:val="auto"/>
                <w:u w:val="single"/>
              </w:rPr>
              <w:t>园区可能发生突发环境事件的污染物排放企业，储存、运输、使用危险化学品的企业，产生、收集、贮存、运输危险废物的企业等应当编制和实施环境应急预案；鼓励其他企业制定单独的环境应急预案，或在突发事件应急预案中制定环境应急预案专章，并备案。</w:t>
            </w:r>
          </w:p>
          <w:p>
            <w:pPr>
              <w:pStyle w:val="120"/>
              <w:bidi w:val="0"/>
              <w:jc w:val="both"/>
              <w:rPr>
                <w:rFonts w:hint="eastAsia"/>
                <w:color w:val="auto"/>
                <w:u w:val="single"/>
              </w:rPr>
            </w:pPr>
            <w:r>
              <w:rPr>
                <w:rFonts w:hint="default"/>
                <w:color w:val="auto"/>
                <w:u w:val="single"/>
              </w:rPr>
              <w:t>（3.3）</w:t>
            </w:r>
            <w:r>
              <w:rPr>
                <w:rFonts w:hint="eastAsia"/>
                <w:color w:val="auto"/>
                <w:u w:val="single"/>
              </w:rPr>
              <w:t>企业应针对水环境风险源设置装置区围堰、防火设施和事故应急池，芙蓉镇污水处理厂二期扩容工程、猛洞河产业园配套污水处理厂工程应同步建设应急事故池，防止污染雨水、事故泄漏泄漏物料和污染消防废水。</w:t>
            </w:r>
          </w:p>
          <w:p>
            <w:pPr>
              <w:pStyle w:val="120"/>
              <w:bidi w:val="0"/>
              <w:jc w:val="both"/>
              <w:rPr>
                <w:rFonts w:hint="eastAsia"/>
                <w:color w:val="auto"/>
                <w:u w:val="single"/>
              </w:rPr>
            </w:pPr>
            <w:r>
              <w:rPr>
                <w:rFonts w:hint="default"/>
                <w:color w:val="auto"/>
                <w:u w:val="single"/>
              </w:rPr>
              <w:t>（3.4）</w:t>
            </w:r>
            <w:r>
              <w:rPr>
                <w:rFonts w:hint="eastAsia"/>
                <w:color w:val="auto"/>
                <w:u w:val="single"/>
              </w:rPr>
              <w:t>建设用地土壤风险防控：排放重点污染物的建设项目，严格落实土壤环境影响的评价内容，并提出防范土壤污染的具体措施。</w:t>
            </w:r>
          </w:p>
        </w:tc>
        <w:tc>
          <w:tcPr>
            <w:tcW w:w="5433" w:type="dxa"/>
            <w:gridSpan w:val="2"/>
            <w:noWrap w:val="0"/>
            <w:vAlign w:val="center"/>
          </w:tcPr>
          <w:p>
            <w:pPr>
              <w:pStyle w:val="120"/>
              <w:bidi w:val="0"/>
              <w:jc w:val="both"/>
              <w:rPr>
                <w:rFonts w:hint="default"/>
                <w:color w:val="auto"/>
                <w:u w:val="single"/>
                <w:lang w:val="en-US" w:eastAsia="zh-CN"/>
              </w:rPr>
            </w:pPr>
            <w:r>
              <w:rPr>
                <w:rFonts w:hint="eastAsia"/>
                <w:color w:val="auto"/>
                <w:u w:val="single"/>
                <w:lang w:val="en-US" w:eastAsia="zh-CN"/>
              </w:rPr>
              <w:t>本项目承诺后期委托第三方编制应急预案</w:t>
            </w:r>
          </w:p>
        </w:tc>
        <w:tc>
          <w:tcPr>
            <w:tcW w:w="1199" w:type="dxa"/>
            <w:noWrap w:val="0"/>
            <w:vAlign w:val="center"/>
          </w:tcPr>
          <w:p>
            <w:pPr>
              <w:pStyle w:val="120"/>
              <w:bidi w:val="0"/>
              <w:rPr>
                <w:rFonts w:hint="eastAsia"/>
                <w:color w:val="auto"/>
                <w:u w:val="single"/>
                <w:lang w:eastAsia="zh-CN"/>
              </w:rPr>
            </w:pPr>
            <w:r>
              <w:rPr>
                <w:rFonts w:hint="eastAsia"/>
                <w:color w:val="auto"/>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6" w:type="dxa"/>
            <w:noWrap w:val="0"/>
            <w:vAlign w:val="center"/>
          </w:tcPr>
          <w:p>
            <w:pPr>
              <w:pStyle w:val="120"/>
              <w:bidi w:val="0"/>
              <w:rPr>
                <w:rFonts w:hint="eastAsia"/>
                <w:color w:val="auto"/>
                <w:u w:val="single"/>
              </w:rPr>
            </w:pPr>
            <w:r>
              <w:rPr>
                <w:rFonts w:hint="eastAsia"/>
                <w:color w:val="auto"/>
                <w:u w:val="single"/>
              </w:rPr>
              <w:t>资源开发效率要求</w:t>
            </w:r>
          </w:p>
        </w:tc>
        <w:tc>
          <w:tcPr>
            <w:tcW w:w="6345" w:type="dxa"/>
            <w:gridSpan w:val="9"/>
            <w:noWrap w:val="0"/>
            <w:vAlign w:val="center"/>
          </w:tcPr>
          <w:p>
            <w:pPr>
              <w:pStyle w:val="120"/>
              <w:bidi w:val="0"/>
              <w:jc w:val="both"/>
              <w:rPr>
                <w:rFonts w:hint="eastAsia"/>
                <w:color w:val="auto"/>
                <w:u w:val="single"/>
              </w:rPr>
            </w:pPr>
            <w:r>
              <w:rPr>
                <w:rFonts w:hint="eastAsia"/>
                <w:color w:val="auto"/>
                <w:u w:val="single"/>
              </w:rPr>
              <w:t>（4.1）能源：按行业标准控制企业最高用水量、能源用量；积极推广清洁能源</w:t>
            </w:r>
            <w:r>
              <w:rPr>
                <w:rFonts w:hint="eastAsia"/>
                <w:color w:val="auto"/>
                <w:u w:val="single"/>
                <w:lang w:eastAsia="zh-CN"/>
              </w:rPr>
              <w:t>使用</w:t>
            </w:r>
            <w:r>
              <w:rPr>
                <w:rFonts w:hint="eastAsia"/>
                <w:color w:val="auto"/>
                <w:u w:val="single"/>
              </w:rPr>
              <w:t>，积极应用隧道窑余热利用技术、制药原料渣综合利用等先进节能技术，尽量选用节能机电设备，严格配备能源计量器具，建立能源在线监测系统。园区禁止燃煤（泰丰建材</w:t>
            </w:r>
            <w:r>
              <w:rPr>
                <w:rFonts w:hint="eastAsia"/>
                <w:color w:val="auto"/>
                <w:u w:val="single"/>
                <w:lang w:eastAsia="zh-CN"/>
              </w:rPr>
              <w:t>工艺</w:t>
            </w:r>
            <w:r>
              <w:rPr>
                <w:rFonts w:hint="eastAsia"/>
                <w:color w:val="auto"/>
                <w:u w:val="single"/>
              </w:rPr>
              <w:t>用</w:t>
            </w:r>
            <w:r>
              <w:rPr>
                <w:rFonts w:hint="eastAsia"/>
                <w:color w:val="auto"/>
                <w:u w:val="single"/>
                <w:lang w:eastAsia="zh-CN"/>
              </w:rPr>
              <w:t>煤</w:t>
            </w:r>
            <w:r>
              <w:rPr>
                <w:rFonts w:hint="eastAsia"/>
                <w:color w:val="auto"/>
                <w:u w:val="single"/>
              </w:rPr>
              <w:t>除外，但禁止企业扩能）和高污染燃料。</w:t>
            </w:r>
          </w:p>
          <w:p>
            <w:pPr>
              <w:pStyle w:val="120"/>
              <w:bidi w:val="0"/>
              <w:jc w:val="both"/>
              <w:rPr>
                <w:rFonts w:hint="eastAsia"/>
                <w:color w:val="auto"/>
                <w:u w:val="single"/>
              </w:rPr>
            </w:pPr>
            <w:r>
              <w:rPr>
                <w:rFonts w:hint="eastAsia"/>
                <w:color w:val="auto"/>
                <w:u w:val="single"/>
              </w:rPr>
              <w:t>（4.2）水资源：强化工业节水，重点开展食品等高耗水工业节水技术改造，大力推广工业水循环利用，推进节水型企业、节水型园区建设。到20</w:t>
            </w:r>
            <w:r>
              <w:rPr>
                <w:rFonts w:hint="eastAsia"/>
                <w:color w:val="auto"/>
                <w:u w:val="single"/>
                <w:lang w:val="en-US" w:eastAsia="zh-CN"/>
              </w:rPr>
              <w:t>2</w:t>
            </w:r>
            <w:r>
              <w:rPr>
                <w:rFonts w:hint="eastAsia"/>
                <w:color w:val="auto"/>
                <w:u w:val="single"/>
              </w:rPr>
              <w:t>5年，芙蓉镇和猛洞河产业园多年平均取水量分别为1万和0.9万m</w:t>
            </w:r>
            <w:r>
              <w:rPr>
                <w:rFonts w:hint="eastAsia"/>
                <w:color w:val="auto"/>
                <w:u w:val="single"/>
                <w:vertAlign w:val="superscript"/>
              </w:rPr>
              <w:t>3</w:t>
            </w:r>
            <w:r>
              <w:rPr>
                <w:rFonts w:hint="eastAsia"/>
                <w:color w:val="auto"/>
                <w:u w:val="single"/>
              </w:rPr>
              <w:t>/d。</w:t>
            </w:r>
          </w:p>
          <w:p>
            <w:pPr>
              <w:pStyle w:val="120"/>
              <w:bidi w:val="0"/>
              <w:jc w:val="both"/>
              <w:rPr>
                <w:rFonts w:hint="eastAsia"/>
                <w:color w:val="auto"/>
                <w:u w:val="single"/>
              </w:rPr>
            </w:pPr>
            <w:r>
              <w:rPr>
                <w:rFonts w:hint="eastAsia"/>
                <w:color w:val="auto"/>
                <w:u w:val="single"/>
              </w:rPr>
              <w:t>（4.3）土地资源：新增建设用地指标优先保障承接产业转移项目建设，必须满足重大产业项目发展需要。到2025年，园区工业固定资产投资强度不低于150万元/亩。</w:t>
            </w:r>
          </w:p>
        </w:tc>
        <w:tc>
          <w:tcPr>
            <w:tcW w:w="5433" w:type="dxa"/>
            <w:gridSpan w:val="2"/>
            <w:noWrap w:val="0"/>
            <w:vAlign w:val="center"/>
          </w:tcPr>
          <w:p>
            <w:pPr>
              <w:pStyle w:val="120"/>
              <w:bidi w:val="0"/>
              <w:jc w:val="both"/>
              <w:rPr>
                <w:rFonts w:hint="eastAsia"/>
                <w:color w:val="auto"/>
                <w:u w:val="single"/>
                <w:lang w:val="en-US" w:eastAsia="zh-CN"/>
              </w:rPr>
            </w:pPr>
            <w:r>
              <w:rPr>
                <w:rFonts w:hint="eastAsia"/>
                <w:color w:val="auto"/>
                <w:u w:val="single"/>
                <w:lang w:val="en-US" w:eastAsia="zh-CN"/>
              </w:rPr>
              <w:t>本项目使用能源为电能，不涉及其他能源；</w:t>
            </w:r>
          </w:p>
        </w:tc>
        <w:tc>
          <w:tcPr>
            <w:tcW w:w="1199" w:type="dxa"/>
            <w:noWrap w:val="0"/>
            <w:vAlign w:val="center"/>
          </w:tcPr>
          <w:p>
            <w:pPr>
              <w:pStyle w:val="120"/>
              <w:bidi w:val="0"/>
              <w:rPr>
                <w:rFonts w:hint="eastAsia"/>
                <w:color w:val="auto"/>
                <w:u w:val="single"/>
                <w:lang w:eastAsia="zh-CN"/>
              </w:rPr>
            </w:pPr>
            <w:r>
              <w:rPr>
                <w:rFonts w:hint="eastAsia"/>
                <w:color w:val="auto"/>
                <w:u w:val="single"/>
                <w:lang w:eastAsia="zh-CN"/>
              </w:rPr>
              <w:t>符合</w:t>
            </w:r>
          </w:p>
        </w:tc>
      </w:tr>
    </w:tbl>
    <w:p>
      <w:pPr>
        <w:pStyle w:val="122"/>
        <w:rPr>
          <w:rFonts w:hint="eastAsia"/>
          <w:color w:val="auto"/>
          <w:sz w:val="21"/>
          <w:szCs w:val="21"/>
          <w:u w:val="single"/>
        </w:rPr>
      </w:pPr>
      <w:r>
        <w:rPr>
          <w:rFonts w:hint="eastAsia"/>
          <w:color w:val="auto"/>
          <w:sz w:val="21"/>
          <w:szCs w:val="21"/>
          <w:u w:val="single"/>
        </w:rPr>
        <w:t>表</w:t>
      </w:r>
      <w:r>
        <w:rPr>
          <w:rFonts w:hint="eastAsia"/>
          <w:color w:val="auto"/>
          <w:sz w:val="21"/>
          <w:szCs w:val="21"/>
          <w:u w:val="single"/>
          <w:lang w:val="en-US" w:eastAsia="zh-CN"/>
        </w:rPr>
        <w:t>3-2</w:t>
      </w:r>
      <w:r>
        <w:rPr>
          <w:rFonts w:hint="eastAsia"/>
          <w:color w:val="auto"/>
          <w:sz w:val="21"/>
          <w:szCs w:val="21"/>
          <w:u w:val="single"/>
        </w:rPr>
        <w:t xml:space="preserve"> 本项目与湖南省人民政府关于实施“三线一单”生态环境分区管控的意见对照表</w:t>
      </w:r>
    </w:p>
    <w:tbl>
      <w:tblPr>
        <w:tblStyle w:val="36"/>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083"/>
        <w:gridCol w:w="1940"/>
        <w:gridCol w:w="3963"/>
        <w:gridCol w:w="5462"/>
        <w:gridCol w:w="1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0" w:type="dxa"/>
            <w:noWrap w:val="0"/>
            <w:vAlign w:val="center"/>
          </w:tcPr>
          <w:p>
            <w:pPr>
              <w:pStyle w:val="73"/>
              <w:rPr>
                <w:rFonts w:hint="eastAsia"/>
                <w:color w:val="auto"/>
                <w:sz w:val="21"/>
                <w:szCs w:val="21"/>
                <w:u w:val="single"/>
              </w:rPr>
            </w:pPr>
            <w:r>
              <w:rPr>
                <w:rFonts w:hint="eastAsia"/>
                <w:color w:val="auto"/>
                <w:sz w:val="21"/>
                <w:szCs w:val="21"/>
                <w:u w:val="single"/>
              </w:rPr>
              <w:t>序号</w:t>
            </w:r>
          </w:p>
        </w:tc>
        <w:tc>
          <w:tcPr>
            <w:tcW w:w="6986" w:type="dxa"/>
            <w:gridSpan w:val="3"/>
            <w:noWrap w:val="0"/>
            <w:vAlign w:val="center"/>
          </w:tcPr>
          <w:p>
            <w:pPr>
              <w:pStyle w:val="73"/>
              <w:rPr>
                <w:rFonts w:hint="eastAsia"/>
                <w:color w:val="auto"/>
                <w:sz w:val="21"/>
                <w:szCs w:val="21"/>
                <w:u w:val="single"/>
              </w:rPr>
            </w:pPr>
            <w:r>
              <w:rPr>
                <w:rFonts w:hint="eastAsia"/>
                <w:color w:val="auto"/>
                <w:sz w:val="21"/>
                <w:szCs w:val="21"/>
                <w:u w:val="single"/>
              </w:rPr>
              <w:t>湖南省人民政府关于实施“三线一单”生态环境分区管控的意见</w:t>
            </w:r>
          </w:p>
        </w:tc>
        <w:tc>
          <w:tcPr>
            <w:tcW w:w="5462" w:type="dxa"/>
            <w:noWrap w:val="0"/>
            <w:vAlign w:val="center"/>
          </w:tcPr>
          <w:p>
            <w:pPr>
              <w:pStyle w:val="73"/>
              <w:rPr>
                <w:rFonts w:hint="eastAsia"/>
                <w:color w:val="auto"/>
                <w:sz w:val="21"/>
                <w:szCs w:val="21"/>
                <w:u w:val="single"/>
              </w:rPr>
            </w:pPr>
            <w:r>
              <w:rPr>
                <w:rFonts w:hint="eastAsia"/>
                <w:color w:val="auto"/>
                <w:sz w:val="21"/>
                <w:szCs w:val="21"/>
                <w:u w:val="single"/>
              </w:rPr>
              <w:t>本项目</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是否符合要求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restart"/>
            <w:noWrap w:val="0"/>
            <w:vAlign w:val="center"/>
          </w:tcPr>
          <w:p>
            <w:pPr>
              <w:pStyle w:val="73"/>
              <w:rPr>
                <w:rFonts w:hint="eastAsia" w:eastAsia="宋体"/>
                <w:color w:val="auto"/>
                <w:sz w:val="21"/>
                <w:szCs w:val="21"/>
                <w:u w:val="single"/>
                <w:lang w:eastAsia="zh-CN"/>
              </w:rPr>
            </w:pPr>
            <w:r>
              <w:rPr>
                <w:rFonts w:hint="eastAsia"/>
                <w:color w:val="auto"/>
                <w:sz w:val="21"/>
                <w:szCs w:val="21"/>
                <w:u w:val="single"/>
                <w:lang w:val="en-US" w:eastAsia="zh-CN"/>
              </w:rPr>
              <w:t>1</w:t>
            </w:r>
          </w:p>
        </w:tc>
        <w:tc>
          <w:tcPr>
            <w:tcW w:w="1083" w:type="dxa"/>
            <w:vMerge w:val="restart"/>
            <w:noWrap w:val="0"/>
            <w:vAlign w:val="center"/>
          </w:tcPr>
          <w:p>
            <w:pPr>
              <w:pStyle w:val="73"/>
              <w:rPr>
                <w:rFonts w:hint="eastAsia"/>
                <w:color w:val="auto"/>
                <w:sz w:val="21"/>
                <w:szCs w:val="21"/>
                <w:u w:val="single"/>
              </w:rPr>
            </w:pPr>
            <w:r>
              <w:rPr>
                <w:rFonts w:hint="eastAsia"/>
                <w:color w:val="auto"/>
                <w:sz w:val="21"/>
                <w:szCs w:val="21"/>
                <w:u w:val="single"/>
              </w:rPr>
              <w:t>重点管控单元生态环境总体管控要求</w:t>
            </w:r>
          </w:p>
        </w:tc>
        <w:tc>
          <w:tcPr>
            <w:tcW w:w="1940" w:type="dxa"/>
            <w:vMerge w:val="restart"/>
            <w:noWrap w:val="0"/>
            <w:vAlign w:val="center"/>
          </w:tcPr>
          <w:p>
            <w:pPr>
              <w:pStyle w:val="73"/>
              <w:rPr>
                <w:rFonts w:hint="eastAsia"/>
                <w:color w:val="auto"/>
                <w:sz w:val="21"/>
                <w:szCs w:val="21"/>
                <w:u w:val="single"/>
              </w:rPr>
            </w:pPr>
            <w:r>
              <w:rPr>
                <w:rFonts w:hint="eastAsia"/>
                <w:color w:val="auto"/>
                <w:sz w:val="21"/>
                <w:szCs w:val="21"/>
                <w:u w:val="single"/>
              </w:rPr>
              <w:t>大气环境重点管控区</w:t>
            </w: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受体敏感区：城镇中心及集中居住、医疗、教育等区域</w:t>
            </w:r>
          </w:p>
        </w:tc>
        <w:tc>
          <w:tcPr>
            <w:tcW w:w="5462" w:type="dxa"/>
            <w:noWrap w:val="0"/>
            <w:vAlign w:val="center"/>
          </w:tcPr>
          <w:p>
            <w:pPr>
              <w:pStyle w:val="73"/>
              <w:rPr>
                <w:rFonts w:hint="eastAsia"/>
                <w:color w:val="auto"/>
                <w:sz w:val="21"/>
                <w:szCs w:val="21"/>
                <w:u w:val="single"/>
              </w:rPr>
            </w:pPr>
            <w:r>
              <w:rPr>
                <w:rFonts w:hint="eastAsia"/>
                <w:color w:val="auto"/>
                <w:sz w:val="21"/>
                <w:szCs w:val="21"/>
                <w:u w:val="single"/>
              </w:rPr>
              <w:t>本项目选址在</w:t>
            </w:r>
            <w:r>
              <w:rPr>
                <w:rFonts w:hint="eastAsia"/>
                <w:color w:val="auto"/>
                <w:kern w:val="0"/>
                <w:sz w:val="21"/>
                <w:szCs w:val="21"/>
                <w:u w:val="single"/>
                <w:lang w:eastAsia="zh-CN"/>
              </w:rPr>
              <w:t>永顺县灵溪镇岔那村（猛洞河产业园）</w:t>
            </w:r>
            <w:r>
              <w:rPr>
                <w:rFonts w:hint="eastAsia"/>
                <w:color w:val="auto"/>
                <w:sz w:val="21"/>
                <w:szCs w:val="21"/>
                <w:u w:val="single"/>
              </w:rPr>
              <w:t>，不属于城镇中心及集中居住、医疗、教育等区域</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color w:val="auto"/>
                <w:sz w:val="21"/>
                <w:szCs w:val="21"/>
                <w:u w:val="single"/>
              </w:rPr>
            </w:pPr>
          </w:p>
        </w:tc>
        <w:tc>
          <w:tcPr>
            <w:tcW w:w="1083" w:type="dxa"/>
            <w:vMerge w:val="continue"/>
            <w:noWrap w:val="0"/>
            <w:vAlign w:val="center"/>
          </w:tcPr>
          <w:p>
            <w:pPr>
              <w:pStyle w:val="73"/>
              <w:rPr>
                <w:color w:val="auto"/>
                <w:sz w:val="21"/>
                <w:szCs w:val="21"/>
                <w:u w:val="single"/>
              </w:rPr>
            </w:pPr>
          </w:p>
        </w:tc>
        <w:tc>
          <w:tcPr>
            <w:tcW w:w="1940" w:type="dxa"/>
            <w:vMerge w:val="continue"/>
            <w:noWrap w:val="0"/>
            <w:vAlign w:val="center"/>
          </w:tcPr>
          <w:p>
            <w:pPr>
              <w:pStyle w:val="73"/>
              <w:rPr>
                <w:color w:val="auto"/>
                <w:sz w:val="21"/>
                <w:szCs w:val="21"/>
                <w:u w:val="single"/>
              </w:rPr>
            </w:pP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布局敏感区：上风向、扩散通道、环流通道等影响空气质量的区域</w:t>
            </w:r>
          </w:p>
        </w:tc>
        <w:tc>
          <w:tcPr>
            <w:tcW w:w="5462" w:type="dxa"/>
            <w:noWrap w:val="0"/>
            <w:vAlign w:val="center"/>
          </w:tcPr>
          <w:p>
            <w:pPr>
              <w:pStyle w:val="73"/>
              <w:rPr>
                <w:rFonts w:hint="eastAsia"/>
                <w:color w:val="auto"/>
                <w:sz w:val="21"/>
                <w:szCs w:val="21"/>
                <w:u w:val="single"/>
              </w:rPr>
            </w:pPr>
            <w:r>
              <w:rPr>
                <w:rFonts w:hint="eastAsia"/>
                <w:color w:val="auto"/>
                <w:sz w:val="21"/>
                <w:szCs w:val="21"/>
                <w:u w:val="single"/>
              </w:rPr>
              <w:t>项目选址不处于上风向、扩散通道、环流通道等</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vMerge w:val="continue"/>
            <w:noWrap w:val="0"/>
            <w:vAlign w:val="center"/>
          </w:tcPr>
          <w:p>
            <w:pPr>
              <w:pStyle w:val="73"/>
              <w:rPr>
                <w:rFonts w:hint="eastAsia"/>
                <w:color w:val="auto"/>
                <w:sz w:val="21"/>
                <w:szCs w:val="21"/>
                <w:u w:val="single"/>
              </w:rPr>
            </w:pP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弱扩散区：静风或风速较小的区域</w:t>
            </w:r>
          </w:p>
        </w:tc>
        <w:tc>
          <w:tcPr>
            <w:tcW w:w="5462" w:type="dxa"/>
            <w:noWrap w:val="0"/>
            <w:vAlign w:val="center"/>
          </w:tcPr>
          <w:p>
            <w:pPr>
              <w:pStyle w:val="73"/>
              <w:rPr>
                <w:rFonts w:hint="eastAsia" w:eastAsia="宋体"/>
                <w:color w:val="auto"/>
                <w:sz w:val="21"/>
                <w:szCs w:val="21"/>
                <w:u w:val="single"/>
                <w:lang w:eastAsia="zh-CN"/>
              </w:rPr>
            </w:pPr>
            <w:r>
              <w:rPr>
                <w:rFonts w:hint="eastAsia"/>
                <w:color w:val="auto"/>
                <w:sz w:val="21"/>
                <w:szCs w:val="21"/>
                <w:u w:val="single"/>
                <w:lang w:eastAsia="zh-CN"/>
              </w:rPr>
              <w:t>不涉及</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vMerge w:val="continue"/>
            <w:noWrap w:val="0"/>
            <w:vAlign w:val="center"/>
          </w:tcPr>
          <w:p>
            <w:pPr>
              <w:pStyle w:val="73"/>
              <w:rPr>
                <w:rFonts w:hint="eastAsia"/>
                <w:color w:val="auto"/>
                <w:sz w:val="21"/>
                <w:szCs w:val="21"/>
                <w:u w:val="single"/>
              </w:rPr>
            </w:pP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高排放区：环境空气二类功能区中的工业集聚区域</w:t>
            </w:r>
          </w:p>
        </w:tc>
        <w:tc>
          <w:tcPr>
            <w:tcW w:w="5462" w:type="dxa"/>
            <w:noWrap w:val="0"/>
            <w:vAlign w:val="center"/>
          </w:tcPr>
          <w:p>
            <w:pPr>
              <w:pStyle w:val="73"/>
              <w:rPr>
                <w:color w:val="auto"/>
                <w:sz w:val="21"/>
                <w:szCs w:val="21"/>
                <w:u w:val="single"/>
              </w:rPr>
            </w:pPr>
            <w:r>
              <w:rPr>
                <w:rFonts w:hint="eastAsia"/>
                <w:color w:val="auto"/>
                <w:sz w:val="21"/>
                <w:szCs w:val="21"/>
                <w:u w:val="single"/>
              </w:rPr>
              <w:t>本项目位于</w:t>
            </w:r>
            <w:r>
              <w:rPr>
                <w:rFonts w:hint="eastAsia"/>
                <w:color w:val="auto"/>
                <w:kern w:val="0"/>
                <w:sz w:val="21"/>
                <w:szCs w:val="21"/>
                <w:u w:val="single"/>
                <w:lang w:eastAsia="zh-CN"/>
              </w:rPr>
              <w:t>永顺县灵溪镇岔那村（猛洞河产业园）</w:t>
            </w:r>
            <w:r>
              <w:rPr>
                <w:rFonts w:hint="eastAsia"/>
                <w:color w:val="auto"/>
                <w:sz w:val="21"/>
                <w:szCs w:val="21"/>
                <w:u w:val="single"/>
              </w:rPr>
              <w:t>，</w:t>
            </w:r>
            <w:r>
              <w:rPr>
                <w:rFonts w:hint="eastAsia"/>
                <w:color w:val="auto"/>
                <w:sz w:val="21"/>
                <w:szCs w:val="21"/>
                <w:u w:val="single"/>
                <w:lang w:eastAsia="zh-CN"/>
              </w:rPr>
              <w:t>属于高排放区，本项目严格执行大气污染物达标排放、环境影响评价、总量控制、环保设施“三同时”、在线监测、排污许可等环保制度</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vMerge w:val="restart"/>
            <w:noWrap w:val="0"/>
            <w:vAlign w:val="center"/>
          </w:tcPr>
          <w:p>
            <w:pPr>
              <w:pStyle w:val="73"/>
              <w:rPr>
                <w:rFonts w:hint="eastAsia"/>
                <w:color w:val="auto"/>
                <w:sz w:val="21"/>
                <w:szCs w:val="21"/>
                <w:u w:val="single"/>
              </w:rPr>
            </w:pPr>
            <w:r>
              <w:rPr>
                <w:rFonts w:hint="eastAsia"/>
                <w:color w:val="auto"/>
                <w:sz w:val="21"/>
                <w:szCs w:val="21"/>
                <w:u w:val="single"/>
              </w:rPr>
              <w:t>水环境重点管控区</w:t>
            </w: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省级以上产业园区所属水环境控制区域</w:t>
            </w:r>
          </w:p>
        </w:tc>
        <w:tc>
          <w:tcPr>
            <w:tcW w:w="5462" w:type="dxa"/>
            <w:noWrap w:val="0"/>
            <w:vAlign w:val="center"/>
          </w:tcPr>
          <w:p>
            <w:pPr>
              <w:pStyle w:val="73"/>
              <w:rPr>
                <w:rFonts w:hint="eastAsia" w:eastAsia="宋体"/>
                <w:color w:val="auto"/>
                <w:sz w:val="21"/>
                <w:szCs w:val="21"/>
                <w:u w:val="single"/>
                <w:lang w:eastAsia="zh-CN"/>
              </w:rPr>
            </w:pPr>
            <w:r>
              <w:rPr>
                <w:rFonts w:hint="eastAsia"/>
                <w:color w:val="auto"/>
                <w:sz w:val="21"/>
                <w:szCs w:val="21"/>
                <w:u w:val="single"/>
              </w:rPr>
              <w:t>本项目选址在</w:t>
            </w:r>
            <w:r>
              <w:rPr>
                <w:rFonts w:hint="eastAsia"/>
                <w:color w:val="auto"/>
                <w:kern w:val="0"/>
                <w:sz w:val="21"/>
                <w:szCs w:val="21"/>
                <w:u w:val="single"/>
                <w:lang w:eastAsia="zh-CN"/>
              </w:rPr>
              <w:t>永顺县灵溪镇岔那村（猛洞河产业园）</w:t>
            </w:r>
            <w:r>
              <w:rPr>
                <w:rFonts w:hint="eastAsia"/>
                <w:color w:val="auto"/>
                <w:sz w:val="21"/>
                <w:szCs w:val="21"/>
                <w:u w:val="single"/>
              </w:rPr>
              <w:t>，</w:t>
            </w:r>
            <w:r>
              <w:rPr>
                <w:rFonts w:hint="eastAsia"/>
                <w:color w:val="auto"/>
                <w:sz w:val="21"/>
                <w:szCs w:val="21"/>
                <w:u w:val="single"/>
                <w:lang w:eastAsia="zh-CN"/>
              </w:rPr>
              <w:t>项目属于工业废水处理项目，但接受的废水主要为生活污水，经处理后可以做到达标排放，所在水环境控制单元或断面能满足</w:t>
            </w:r>
            <w:r>
              <w:rPr>
                <w:color w:val="auto"/>
                <w:sz w:val="21"/>
                <w:szCs w:val="21"/>
                <w:u w:val="single"/>
              </w:rPr>
              <w:t>《地表水环境质量标准》（GB3838-2002）</w:t>
            </w:r>
            <w:r>
              <w:rPr>
                <w:rFonts w:hint="eastAsia"/>
                <w:color w:val="auto"/>
                <w:sz w:val="21"/>
                <w:szCs w:val="21"/>
                <w:u w:val="single"/>
              </w:rPr>
              <w:t>Ⅲ</w:t>
            </w:r>
            <w:r>
              <w:rPr>
                <w:color w:val="auto"/>
                <w:sz w:val="21"/>
                <w:szCs w:val="21"/>
                <w:u w:val="single"/>
              </w:rPr>
              <w:t>类标准</w:t>
            </w:r>
            <w:r>
              <w:rPr>
                <w:rFonts w:hint="eastAsia"/>
                <w:color w:val="auto"/>
                <w:sz w:val="21"/>
                <w:szCs w:val="21"/>
                <w:u w:val="single"/>
                <w:lang w:eastAsia="zh-CN"/>
              </w:rPr>
              <w:t>，</w:t>
            </w:r>
            <w:r>
              <w:rPr>
                <w:rFonts w:hint="eastAsia"/>
                <w:color w:val="auto"/>
                <w:sz w:val="21"/>
                <w:szCs w:val="21"/>
                <w:u w:val="single"/>
              </w:rPr>
              <w:t>不属于水质超标断面</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color w:val="auto"/>
                <w:sz w:val="21"/>
                <w:szCs w:val="21"/>
                <w:u w:val="single"/>
              </w:rPr>
            </w:pPr>
          </w:p>
        </w:tc>
        <w:tc>
          <w:tcPr>
            <w:tcW w:w="1083" w:type="dxa"/>
            <w:vMerge w:val="continue"/>
            <w:noWrap w:val="0"/>
            <w:vAlign w:val="center"/>
          </w:tcPr>
          <w:p>
            <w:pPr>
              <w:pStyle w:val="73"/>
              <w:rPr>
                <w:color w:val="auto"/>
                <w:sz w:val="21"/>
                <w:szCs w:val="21"/>
                <w:u w:val="single"/>
              </w:rPr>
            </w:pPr>
          </w:p>
        </w:tc>
        <w:tc>
          <w:tcPr>
            <w:tcW w:w="1940" w:type="dxa"/>
            <w:vMerge w:val="continue"/>
            <w:noWrap w:val="0"/>
            <w:vAlign w:val="center"/>
          </w:tcPr>
          <w:p>
            <w:pPr>
              <w:pStyle w:val="73"/>
              <w:rPr>
                <w:color w:val="auto"/>
                <w:sz w:val="21"/>
                <w:szCs w:val="21"/>
                <w:u w:val="single"/>
              </w:rPr>
            </w:pP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水质超标断面所属水环境控制区域</w:t>
            </w:r>
          </w:p>
        </w:tc>
        <w:tc>
          <w:tcPr>
            <w:tcW w:w="5462" w:type="dxa"/>
            <w:noWrap w:val="0"/>
            <w:vAlign w:val="center"/>
          </w:tcPr>
          <w:p>
            <w:pPr>
              <w:pStyle w:val="73"/>
              <w:rPr>
                <w:rFonts w:hint="eastAsia"/>
                <w:color w:val="auto"/>
                <w:sz w:val="21"/>
                <w:szCs w:val="21"/>
                <w:u w:val="single"/>
              </w:rPr>
            </w:pPr>
            <w:r>
              <w:rPr>
                <w:rFonts w:hint="eastAsia"/>
                <w:color w:val="auto"/>
                <w:sz w:val="21"/>
                <w:szCs w:val="21"/>
                <w:u w:val="single"/>
              </w:rPr>
              <w:t>根据区域内地表水</w:t>
            </w:r>
            <w:r>
              <w:rPr>
                <w:rFonts w:hint="eastAsia"/>
                <w:color w:val="auto"/>
                <w:sz w:val="21"/>
                <w:szCs w:val="21"/>
                <w:u w:val="single"/>
                <w:lang w:eastAsia="zh-CN"/>
              </w:rPr>
              <w:t>猛洞河</w:t>
            </w:r>
            <w:r>
              <w:rPr>
                <w:rFonts w:hint="eastAsia"/>
                <w:color w:val="auto"/>
                <w:sz w:val="21"/>
                <w:szCs w:val="21"/>
                <w:u w:val="single"/>
              </w:rPr>
              <w:t>断面监控数据，</w:t>
            </w:r>
            <w:r>
              <w:rPr>
                <w:color w:val="auto"/>
                <w:sz w:val="21"/>
                <w:szCs w:val="21"/>
                <w:u w:val="single"/>
              </w:rPr>
              <w:t>能达到《地表水环境质量标准》</w:t>
            </w:r>
            <w:r>
              <w:rPr>
                <w:rFonts w:hint="default" w:ascii="Times New Roman" w:hAnsi="Times New Roman" w:cs="Times New Roman"/>
                <w:color w:val="auto"/>
                <w:sz w:val="21"/>
                <w:szCs w:val="21"/>
                <w:u w:val="single"/>
              </w:rPr>
              <w:t>（GB3838-2002）</w:t>
            </w:r>
            <w:r>
              <w:rPr>
                <w:rFonts w:hint="eastAsia"/>
                <w:color w:val="auto"/>
                <w:sz w:val="21"/>
                <w:szCs w:val="21"/>
                <w:u w:val="single"/>
              </w:rPr>
              <w:t>Ⅲ</w:t>
            </w:r>
            <w:r>
              <w:rPr>
                <w:color w:val="auto"/>
                <w:sz w:val="21"/>
                <w:szCs w:val="21"/>
                <w:u w:val="single"/>
              </w:rPr>
              <w:t>类标准</w:t>
            </w:r>
            <w:r>
              <w:rPr>
                <w:rFonts w:hint="eastAsia"/>
                <w:color w:val="auto"/>
                <w:sz w:val="21"/>
                <w:szCs w:val="21"/>
                <w:u w:val="single"/>
              </w:rPr>
              <w:t>，不属于水质超标断面</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vMerge w:val="continue"/>
            <w:noWrap w:val="0"/>
            <w:vAlign w:val="center"/>
          </w:tcPr>
          <w:p>
            <w:pPr>
              <w:pStyle w:val="73"/>
              <w:rPr>
                <w:rFonts w:hint="eastAsia"/>
                <w:color w:val="auto"/>
                <w:sz w:val="21"/>
                <w:szCs w:val="21"/>
                <w:u w:val="single"/>
              </w:rPr>
            </w:pP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城镇生活污染源所属水环境控制区域</w:t>
            </w:r>
          </w:p>
        </w:tc>
        <w:tc>
          <w:tcPr>
            <w:tcW w:w="5462" w:type="dxa"/>
            <w:noWrap w:val="0"/>
            <w:vAlign w:val="center"/>
          </w:tcPr>
          <w:p>
            <w:pPr>
              <w:pStyle w:val="73"/>
              <w:rPr>
                <w:rFonts w:hint="eastAsia" w:eastAsia="宋体"/>
                <w:color w:val="auto"/>
                <w:sz w:val="21"/>
                <w:szCs w:val="21"/>
                <w:u w:val="single"/>
                <w:lang w:eastAsia="zh-CN"/>
              </w:rPr>
            </w:pPr>
            <w:r>
              <w:rPr>
                <w:rFonts w:hint="eastAsia"/>
                <w:color w:val="auto"/>
                <w:sz w:val="21"/>
                <w:szCs w:val="21"/>
                <w:u w:val="single"/>
                <w:lang w:eastAsia="zh-CN"/>
              </w:rPr>
              <w:t>本项目不属于城镇生活污染源所属水环境控制区域</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vMerge w:val="continue"/>
            <w:noWrap w:val="0"/>
            <w:vAlign w:val="center"/>
          </w:tcPr>
          <w:p>
            <w:pPr>
              <w:pStyle w:val="73"/>
              <w:rPr>
                <w:rFonts w:hint="eastAsia"/>
                <w:color w:val="auto"/>
                <w:sz w:val="21"/>
                <w:szCs w:val="21"/>
                <w:u w:val="single"/>
              </w:rPr>
            </w:pP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涉重金属矿区所属水环境控制区域</w:t>
            </w:r>
          </w:p>
        </w:tc>
        <w:tc>
          <w:tcPr>
            <w:tcW w:w="5462" w:type="dxa"/>
            <w:noWrap w:val="0"/>
            <w:vAlign w:val="center"/>
          </w:tcPr>
          <w:p>
            <w:pPr>
              <w:pStyle w:val="73"/>
              <w:rPr>
                <w:rFonts w:hint="eastAsia"/>
                <w:color w:val="auto"/>
                <w:sz w:val="21"/>
                <w:szCs w:val="21"/>
                <w:u w:val="single"/>
              </w:rPr>
            </w:pPr>
            <w:r>
              <w:rPr>
                <w:rFonts w:hint="eastAsia"/>
                <w:color w:val="auto"/>
                <w:sz w:val="21"/>
                <w:szCs w:val="21"/>
                <w:u w:val="single"/>
              </w:rPr>
              <w:t>本项目</w:t>
            </w:r>
            <w:r>
              <w:rPr>
                <w:rFonts w:hint="eastAsia"/>
                <w:color w:val="auto"/>
                <w:sz w:val="21"/>
                <w:szCs w:val="21"/>
                <w:u w:val="single"/>
                <w:lang w:eastAsia="zh-CN"/>
              </w:rPr>
              <w:t>选址不属于</w:t>
            </w:r>
            <w:r>
              <w:rPr>
                <w:rFonts w:hint="eastAsia"/>
                <w:color w:val="auto"/>
                <w:sz w:val="21"/>
                <w:szCs w:val="21"/>
                <w:u w:val="single"/>
              </w:rPr>
              <w:t>涉重金属矿区</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vMerge w:val="restart"/>
            <w:noWrap w:val="0"/>
            <w:vAlign w:val="center"/>
          </w:tcPr>
          <w:p>
            <w:pPr>
              <w:pStyle w:val="73"/>
              <w:rPr>
                <w:rFonts w:hint="eastAsia"/>
                <w:color w:val="auto"/>
                <w:sz w:val="21"/>
                <w:szCs w:val="21"/>
                <w:u w:val="single"/>
              </w:rPr>
            </w:pPr>
            <w:r>
              <w:rPr>
                <w:rFonts w:hint="eastAsia"/>
                <w:color w:val="auto"/>
                <w:sz w:val="21"/>
                <w:szCs w:val="21"/>
                <w:u w:val="single"/>
              </w:rPr>
              <w:t>土壤环境风险重点管控区</w:t>
            </w: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农用地污染风险重点管控区</w:t>
            </w:r>
          </w:p>
        </w:tc>
        <w:tc>
          <w:tcPr>
            <w:tcW w:w="5462" w:type="dxa"/>
            <w:noWrap w:val="0"/>
            <w:vAlign w:val="center"/>
          </w:tcPr>
          <w:p>
            <w:pPr>
              <w:pStyle w:val="73"/>
              <w:rPr>
                <w:rFonts w:hint="eastAsia" w:eastAsia="宋体"/>
                <w:color w:val="auto"/>
                <w:sz w:val="21"/>
                <w:szCs w:val="21"/>
                <w:u w:val="single"/>
                <w:lang w:eastAsia="zh-CN"/>
              </w:rPr>
            </w:pPr>
            <w:r>
              <w:rPr>
                <w:rFonts w:hint="eastAsia"/>
                <w:color w:val="auto"/>
                <w:sz w:val="21"/>
                <w:szCs w:val="21"/>
                <w:u w:val="single"/>
              </w:rPr>
              <w:t>本项目</w:t>
            </w:r>
            <w:r>
              <w:rPr>
                <w:rFonts w:hint="eastAsia"/>
                <w:color w:val="auto"/>
                <w:sz w:val="21"/>
                <w:szCs w:val="21"/>
                <w:u w:val="single"/>
                <w:lang w:eastAsia="zh-CN"/>
              </w:rPr>
              <w:t>选址不涉及</w:t>
            </w:r>
            <w:r>
              <w:rPr>
                <w:rFonts w:hint="eastAsia"/>
                <w:color w:val="auto"/>
                <w:sz w:val="21"/>
                <w:szCs w:val="21"/>
                <w:u w:val="single"/>
              </w:rPr>
              <w:t>农用地污染风险重点管控区</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vMerge w:val="continue"/>
            <w:noWrap w:val="0"/>
            <w:vAlign w:val="center"/>
          </w:tcPr>
          <w:p>
            <w:pPr>
              <w:pStyle w:val="73"/>
              <w:rPr>
                <w:rFonts w:hint="eastAsia"/>
                <w:color w:val="auto"/>
                <w:sz w:val="21"/>
                <w:szCs w:val="21"/>
                <w:u w:val="single"/>
              </w:rPr>
            </w:pP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建设用地污染风险重点管控区，含重金属污染防治重点区域及疑似污染地块</w:t>
            </w:r>
          </w:p>
        </w:tc>
        <w:tc>
          <w:tcPr>
            <w:tcW w:w="5462" w:type="dxa"/>
            <w:noWrap w:val="0"/>
            <w:vAlign w:val="center"/>
          </w:tcPr>
          <w:p>
            <w:pPr>
              <w:pStyle w:val="73"/>
              <w:rPr>
                <w:rFonts w:hint="eastAsia" w:eastAsia="宋体"/>
                <w:color w:val="auto"/>
                <w:sz w:val="21"/>
                <w:szCs w:val="21"/>
                <w:u w:val="single"/>
                <w:lang w:eastAsia="zh-CN"/>
              </w:rPr>
            </w:pPr>
            <w:r>
              <w:rPr>
                <w:rFonts w:hint="eastAsia"/>
                <w:color w:val="auto"/>
                <w:sz w:val="21"/>
                <w:szCs w:val="21"/>
                <w:u w:val="single"/>
                <w:lang w:eastAsia="zh-CN"/>
              </w:rPr>
              <w:t>本项目选址不涉及</w:t>
            </w:r>
            <w:r>
              <w:rPr>
                <w:rFonts w:hint="eastAsia"/>
                <w:color w:val="auto"/>
                <w:sz w:val="21"/>
                <w:szCs w:val="21"/>
                <w:u w:val="single"/>
              </w:rPr>
              <w:t>建设用地污染风险重点管控区，含重金属污染防治重点区域及疑似污染地块</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vMerge w:val="continue"/>
            <w:noWrap w:val="0"/>
            <w:vAlign w:val="center"/>
          </w:tcPr>
          <w:p>
            <w:pPr>
              <w:pStyle w:val="73"/>
              <w:rPr>
                <w:rFonts w:hint="eastAsia"/>
                <w:color w:val="auto"/>
                <w:sz w:val="21"/>
                <w:szCs w:val="21"/>
                <w:u w:val="single"/>
              </w:rPr>
            </w:pP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其他土壤环境风险重点管控区，含湖南省矿产资源总体规划中的部、省、市、县级矿区</w:t>
            </w:r>
          </w:p>
        </w:tc>
        <w:tc>
          <w:tcPr>
            <w:tcW w:w="5462" w:type="dxa"/>
            <w:noWrap w:val="0"/>
            <w:vAlign w:val="center"/>
          </w:tcPr>
          <w:p>
            <w:pPr>
              <w:pStyle w:val="73"/>
              <w:rPr>
                <w:rFonts w:hint="eastAsia" w:eastAsia="宋体"/>
                <w:color w:val="auto"/>
                <w:sz w:val="21"/>
                <w:szCs w:val="21"/>
                <w:u w:val="single"/>
                <w:lang w:eastAsia="zh-CN"/>
              </w:rPr>
            </w:pPr>
            <w:r>
              <w:rPr>
                <w:rFonts w:hint="eastAsia"/>
                <w:color w:val="auto"/>
                <w:sz w:val="21"/>
                <w:szCs w:val="21"/>
                <w:u w:val="single"/>
                <w:lang w:eastAsia="zh-CN"/>
              </w:rPr>
              <w:t>本项目选址不涉及</w:t>
            </w:r>
            <w:r>
              <w:rPr>
                <w:rFonts w:hint="eastAsia"/>
                <w:color w:val="auto"/>
                <w:sz w:val="21"/>
                <w:szCs w:val="21"/>
                <w:u w:val="single"/>
              </w:rPr>
              <w:t>其他土壤环境风险重点管控区，含湖南省矿产资源总体规划中的部、省、市、县级矿区</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noWrap w:val="0"/>
            <w:vAlign w:val="center"/>
          </w:tcPr>
          <w:p>
            <w:pPr>
              <w:pStyle w:val="73"/>
              <w:rPr>
                <w:rFonts w:hint="eastAsia"/>
                <w:color w:val="auto"/>
                <w:sz w:val="21"/>
                <w:szCs w:val="21"/>
                <w:u w:val="single"/>
              </w:rPr>
            </w:pPr>
            <w:r>
              <w:rPr>
                <w:rFonts w:hint="eastAsia"/>
                <w:color w:val="auto"/>
                <w:sz w:val="21"/>
                <w:szCs w:val="21"/>
                <w:u w:val="single"/>
              </w:rPr>
              <w:t>能源利用重点管控区</w:t>
            </w: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各城市建成区划定的高污染燃料禁燃区</w:t>
            </w:r>
          </w:p>
        </w:tc>
        <w:tc>
          <w:tcPr>
            <w:tcW w:w="5462" w:type="dxa"/>
            <w:noWrap w:val="0"/>
            <w:vAlign w:val="center"/>
          </w:tcPr>
          <w:p>
            <w:pPr>
              <w:pStyle w:val="73"/>
              <w:rPr>
                <w:rFonts w:hint="eastAsia"/>
                <w:color w:val="auto"/>
                <w:sz w:val="21"/>
                <w:szCs w:val="21"/>
                <w:u w:val="single"/>
              </w:rPr>
            </w:pPr>
            <w:r>
              <w:rPr>
                <w:rFonts w:hint="eastAsia"/>
                <w:color w:val="auto"/>
                <w:sz w:val="21"/>
                <w:szCs w:val="21"/>
                <w:u w:val="single"/>
              </w:rPr>
              <w:t>本项目不涉及城市建成区划定的高污染燃料禁燃区</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vMerge w:val="restart"/>
            <w:noWrap w:val="0"/>
            <w:vAlign w:val="center"/>
          </w:tcPr>
          <w:p>
            <w:pPr>
              <w:pStyle w:val="73"/>
              <w:rPr>
                <w:rFonts w:hint="eastAsia"/>
                <w:color w:val="auto"/>
                <w:sz w:val="21"/>
                <w:szCs w:val="21"/>
                <w:u w:val="single"/>
              </w:rPr>
            </w:pPr>
            <w:r>
              <w:rPr>
                <w:rFonts w:hint="eastAsia"/>
                <w:color w:val="auto"/>
                <w:sz w:val="21"/>
                <w:szCs w:val="21"/>
                <w:u w:val="single"/>
              </w:rPr>
              <w:t>水资源重点管控区</w:t>
            </w: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水资源利用重点管控区，含水资源利用效率临界超载（含临界达标）的区域</w:t>
            </w:r>
          </w:p>
        </w:tc>
        <w:tc>
          <w:tcPr>
            <w:tcW w:w="5462" w:type="dxa"/>
            <w:noWrap w:val="0"/>
            <w:vAlign w:val="center"/>
          </w:tcPr>
          <w:p>
            <w:pPr>
              <w:pStyle w:val="73"/>
              <w:rPr>
                <w:rFonts w:hint="eastAsia"/>
                <w:color w:val="auto"/>
                <w:sz w:val="21"/>
                <w:szCs w:val="21"/>
                <w:u w:val="single"/>
              </w:rPr>
            </w:pPr>
            <w:r>
              <w:rPr>
                <w:rFonts w:hint="eastAsia"/>
                <w:color w:val="auto"/>
                <w:sz w:val="21"/>
                <w:szCs w:val="21"/>
                <w:u w:val="single"/>
              </w:rPr>
              <w:t>本项目不涉及水资源利用重点管控区</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vMerge w:val="continue"/>
            <w:noWrap w:val="0"/>
            <w:vAlign w:val="center"/>
          </w:tcPr>
          <w:p>
            <w:pPr>
              <w:pStyle w:val="73"/>
              <w:rPr>
                <w:rFonts w:hint="eastAsia"/>
                <w:color w:val="auto"/>
                <w:sz w:val="21"/>
                <w:szCs w:val="21"/>
                <w:u w:val="single"/>
              </w:rPr>
            </w:pP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生态用水补给区，含生态用水保障不足及临界的区域</w:t>
            </w:r>
          </w:p>
        </w:tc>
        <w:tc>
          <w:tcPr>
            <w:tcW w:w="5462" w:type="dxa"/>
            <w:noWrap w:val="0"/>
            <w:vAlign w:val="center"/>
          </w:tcPr>
          <w:p>
            <w:pPr>
              <w:pStyle w:val="73"/>
              <w:rPr>
                <w:rFonts w:hint="eastAsia"/>
                <w:color w:val="auto"/>
                <w:sz w:val="21"/>
                <w:szCs w:val="21"/>
                <w:u w:val="single"/>
              </w:rPr>
            </w:pPr>
            <w:r>
              <w:rPr>
                <w:rFonts w:hint="eastAsia"/>
                <w:color w:val="auto"/>
                <w:sz w:val="21"/>
                <w:szCs w:val="21"/>
                <w:u w:val="single"/>
              </w:rPr>
              <w:t>本项目不涉及生态用水补给区</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3"/>
              <w:rPr>
                <w:rFonts w:hint="eastAsia"/>
                <w:color w:val="auto"/>
                <w:sz w:val="21"/>
                <w:szCs w:val="21"/>
                <w:u w:val="single"/>
              </w:rPr>
            </w:pPr>
          </w:p>
        </w:tc>
        <w:tc>
          <w:tcPr>
            <w:tcW w:w="1083" w:type="dxa"/>
            <w:vMerge w:val="continue"/>
            <w:noWrap w:val="0"/>
            <w:vAlign w:val="center"/>
          </w:tcPr>
          <w:p>
            <w:pPr>
              <w:pStyle w:val="73"/>
              <w:rPr>
                <w:rFonts w:hint="eastAsia"/>
                <w:color w:val="auto"/>
                <w:sz w:val="21"/>
                <w:szCs w:val="21"/>
                <w:u w:val="single"/>
              </w:rPr>
            </w:pPr>
          </w:p>
        </w:tc>
        <w:tc>
          <w:tcPr>
            <w:tcW w:w="1940" w:type="dxa"/>
            <w:noWrap w:val="0"/>
            <w:vAlign w:val="center"/>
          </w:tcPr>
          <w:p>
            <w:pPr>
              <w:pStyle w:val="73"/>
              <w:rPr>
                <w:rFonts w:hint="eastAsia"/>
                <w:color w:val="auto"/>
                <w:sz w:val="21"/>
                <w:szCs w:val="21"/>
                <w:u w:val="single"/>
              </w:rPr>
            </w:pPr>
            <w:r>
              <w:rPr>
                <w:rFonts w:hint="eastAsia"/>
                <w:color w:val="auto"/>
                <w:sz w:val="21"/>
                <w:szCs w:val="21"/>
                <w:u w:val="single"/>
              </w:rPr>
              <w:t>土地资源重点管控区</w:t>
            </w:r>
          </w:p>
        </w:tc>
        <w:tc>
          <w:tcPr>
            <w:tcW w:w="3963" w:type="dxa"/>
            <w:noWrap w:val="0"/>
            <w:vAlign w:val="center"/>
          </w:tcPr>
          <w:p>
            <w:pPr>
              <w:pStyle w:val="73"/>
              <w:rPr>
                <w:rFonts w:hint="eastAsia"/>
                <w:color w:val="auto"/>
                <w:sz w:val="21"/>
                <w:szCs w:val="21"/>
                <w:u w:val="single"/>
              </w:rPr>
            </w:pPr>
            <w:r>
              <w:rPr>
                <w:rFonts w:hint="eastAsia"/>
                <w:color w:val="auto"/>
                <w:sz w:val="21"/>
                <w:szCs w:val="21"/>
                <w:u w:val="single"/>
              </w:rPr>
              <w:t>含生态保护红线集中、重度污染农用地或污染地块集中的区域</w:t>
            </w:r>
          </w:p>
        </w:tc>
        <w:tc>
          <w:tcPr>
            <w:tcW w:w="5462" w:type="dxa"/>
            <w:noWrap w:val="0"/>
            <w:vAlign w:val="center"/>
          </w:tcPr>
          <w:p>
            <w:pPr>
              <w:pStyle w:val="73"/>
              <w:rPr>
                <w:rFonts w:hint="eastAsia"/>
                <w:color w:val="auto"/>
                <w:sz w:val="21"/>
                <w:szCs w:val="21"/>
                <w:u w:val="single"/>
              </w:rPr>
            </w:pPr>
            <w:r>
              <w:rPr>
                <w:rFonts w:hint="eastAsia"/>
                <w:color w:val="auto"/>
                <w:sz w:val="21"/>
                <w:szCs w:val="21"/>
                <w:u w:val="single"/>
              </w:rPr>
              <w:t>本项目</w:t>
            </w:r>
            <w:r>
              <w:rPr>
                <w:rFonts w:hint="eastAsia"/>
                <w:color w:val="auto"/>
                <w:sz w:val="21"/>
                <w:szCs w:val="21"/>
                <w:u w:val="single"/>
                <w:lang w:eastAsia="zh-CN"/>
              </w:rPr>
              <w:t>不位于调规后的</w:t>
            </w:r>
            <w:r>
              <w:rPr>
                <w:color w:val="auto"/>
                <w:sz w:val="21"/>
                <w:szCs w:val="21"/>
                <w:u w:val="single"/>
              </w:rPr>
              <w:t>生态保护红线</w:t>
            </w:r>
            <w:r>
              <w:rPr>
                <w:rFonts w:hint="eastAsia"/>
                <w:color w:val="auto"/>
                <w:sz w:val="21"/>
                <w:szCs w:val="21"/>
                <w:u w:val="single"/>
                <w:lang w:eastAsia="zh-CN"/>
              </w:rPr>
              <w:t>内</w:t>
            </w:r>
            <w:r>
              <w:rPr>
                <w:rFonts w:hint="eastAsia"/>
                <w:color w:val="auto"/>
                <w:sz w:val="21"/>
                <w:szCs w:val="21"/>
                <w:u w:val="single"/>
              </w:rPr>
              <w:t>；本项目</w:t>
            </w:r>
            <w:r>
              <w:rPr>
                <w:rFonts w:hint="eastAsia"/>
                <w:color w:val="auto"/>
                <w:sz w:val="21"/>
                <w:szCs w:val="21"/>
                <w:u w:val="single"/>
                <w:lang w:eastAsia="zh-CN"/>
              </w:rPr>
              <w:t>选址不涉及</w:t>
            </w:r>
            <w:r>
              <w:rPr>
                <w:rFonts w:hint="eastAsia"/>
                <w:color w:val="auto"/>
                <w:sz w:val="21"/>
                <w:szCs w:val="21"/>
                <w:u w:val="single"/>
              </w:rPr>
              <w:t>重度污染农用地或污染地块集中的区域</w:t>
            </w:r>
          </w:p>
        </w:tc>
        <w:tc>
          <w:tcPr>
            <w:tcW w:w="1145" w:type="dxa"/>
            <w:noWrap w:val="0"/>
            <w:vAlign w:val="center"/>
          </w:tcPr>
          <w:p>
            <w:pPr>
              <w:pStyle w:val="73"/>
              <w:rPr>
                <w:rFonts w:hint="eastAsia"/>
                <w:color w:val="auto"/>
                <w:sz w:val="21"/>
                <w:szCs w:val="21"/>
                <w:u w:val="single"/>
              </w:rPr>
            </w:pPr>
            <w:r>
              <w:rPr>
                <w:rFonts w:hint="eastAsia"/>
                <w:color w:val="auto"/>
                <w:sz w:val="21"/>
                <w:szCs w:val="21"/>
                <w:u w:val="single"/>
              </w:rPr>
              <w:t>符合</w:t>
            </w:r>
          </w:p>
        </w:tc>
      </w:tr>
    </w:tbl>
    <w:p>
      <w:pPr>
        <w:ind w:firstLine="452"/>
        <w:rPr>
          <w:rFonts w:hint="eastAsia"/>
          <w:color w:val="auto"/>
          <w:lang w:val="zh-CN" w:eastAsia="zh-CN"/>
        </w:rPr>
      </w:pPr>
      <w:r>
        <w:rPr>
          <w:rFonts w:hint="eastAsia"/>
          <w:color w:val="auto"/>
          <w:u w:val="single"/>
          <w:lang w:eastAsia="zh-CN"/>
        </w:rPr>
        <w:t>综上所述，本项目</w:t>
      </w:r>
      <w:r>
        <w:rPr>
          <w:rFonts w:hint="eastAsia" w:ascii="宋体" w:hAnsi="宋体" w:eastAsia="宋体" w:cs="宋体"/>
          <w:bCs/>
          <w:color w:val="auto"/>
          <w:kern w:val="44"/>
          <w:u w:val="single"/>
          <w:lang w:eastAsia="zh-CN"/>
        </w:rPr>
        <w:t>不属于国家和地方产业准入负面清单项目，</w:t>
      </w:r>
      <w:r>
        <w:rPr>
          <w:rFonts w:hint="eastAsia" w:ascii="宋体" w:hAnsi="宋体" w:eastAsia="宋体" w:cs="宋体"/>
          <w:bCs/>
          <w:color w:val="auto"/>
          <w:kern w:val="44"/>
          <w:u w:val="single"/>
          <w:lang w:val="en-US" w:eastAsia="zh-CN"/>
        </w:rPr>
        <w:t>且</w:t>
      </w:r>
      <w:r>
        <w:rPr>
          <w:rFonts w:hint="eastAsia" w:ascii="宋体" w:hAnsi="宋体" w:eastAsia="宋体" w:cs="宋体"/>
          <w:bCs/>
          <w:color w:val="auto"/>
          <w:kern w:val="44"/>
          <w:u w:val="single"/>
          <w:lang w:eastAsia="zh-CN"/>
        </w:rPr>
        <w:t>本项目</w:t>
      </w:r>
      <w:r>
        <w:rPr>
          <w:rFonts w:hint="eastAsia"/>
          <w:color w:val="auto"/>
          <w:u w:val="single"/>
          <w:lang w:eastAsia="zh-CN"/>
        </w:rPr>
        <w:t>建设情况与永顺</w:t>
      </w:r>
      <w:r>
        <w:rPr>
          <w:rFonts w:hint="eastAsia"/>
          <w:color w:val="auto"/>
          <w:u w:val="single"/>
        </w:rPr>
        <w:t>经济开发区</w:t>
      </w:r>
      <w:r>
        <w:rPr>
          <w:rFonts w:hint="eastAsia"/>
          <w:color w:val="auto"/>
          <w:u w:val="single"/>
          <w:lang w:eastAsia="zh-CN"/>
        </w:rPr>
        <w:t>管控要求不冲突，故本项目符合</w:t>
      </w:r>
      <w:r>
        <w:rPr>
          <w:rFonts w:hint="eastAsia"/>
          <w:color w:val="auto"/>
          <w:u w:val="single"/>
          <w:lang w:val="zh-CN" w:eastAsia="zh-CN"/>
        </w:rPr>
        <w:t>“三线一单”相关要求。</w:t>
      </w:r>
    </w:p>
    <w:p>
      <w:pPr>
        <w:ind w:left="0" w:leftChars="0" w:firstLine="0" w:firstLineChars="0"/>
        <w:rPr>
          <w:rFonts w:hint="eastAsia"/>
          <w:color w:val="auto"/>
          <w:lang w:val="en-US" w:eastAsia="zh-CN"/>
        </w:rPr>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cols w:space="720" w:num="1"/>
          <w:docGrid w:type="lines" w:linePitch="326" w:charSpace="0"/>
        </w:sectPr>
      </w:pPr>
    </w:p>
    <w:p>
      <w:pPr>
        <w:ind w:firstLine="452"/>
        <w:jc w:val="both"/>
        <w:rPr>
          <w:b/>
          <w:bCs/>
          <w:color w:val="auto"/>
          <w:spacing w:val="-7"/>
          <w:u w:val="none"/>
        </w:rPr>
      </w:pPr>
      <w:r>
        <w:rPr>
          <w:rFonts w:hint="eastAsia"/>
          <w:b/>
          <w:bCs/>
          <w:color w:val="auto"/>
          <w:spacing w:val="-7"/>
          <w:u w:val="none"/>
          <w:lang w:eastAsia="zh-CN"/>
        </w:rPr>
        <w:t>（</w:t>
      </w:r>
      <w:r>
        <w:rPr>
          <w:rFonts w:hint="eastAsia"/>
          <w:b/>
          <w:bCs/>
          <w:color w:val="auto"/>
          <w:spacing w:val="-7"/>
          <w:u w:val="none"/>
          <w:lang w:val="en-US" w:eastAsia="zh-CN"/>
        </w:rPr>
        <w:t>4</w:t>
      </w:r>
      <w:r>
        <w:rPr>
          <w:rFonts w:hint="eastAsia"/>
          <w:b/>
          <w:bCs/>
          <w:color w:val="auto"/>
          <w:spacing w:val="-7"/>
          <w:u w:val="none"/>
          <w:lang w:eastAsia="zh-CN"/>
        </w:rPr>
        <w:t>）</w:t>
      </w:r>
      <w:r>
        <w:rPr>
          <w:rFonts w:hint="eastAsia"/>
          <w:b/>
          <w:bCs/>
          <w:color w:val="auto"/>
          <w:spacing w:val="-7"/>
          <w:u w:val="none"/>
        </w:rPr>
        <w:t>与湖南永顺经济开发区调扩区规划</w:t>
      </w:r>
      <w:r>
        <w:rPr>
          <w:rFonts w:hint="eastAsia"/>
          <w:b/>
          <w:bCs/>
          <w:color w:val="auto"/>
          <w:spacing w:val="-7"/>
          <w:u w:val="none"/>
          <w:lang w:eastAsia="zh-CN"/>
        </w:rPr>
        <w:t>环评</w:t>
      </w:r>
      <w:r>
        <w:rPr>
          <w:rFonts w:hint="eastAsia"/>
          <w:b/>
          <w:bCs/>
          <w:color w:val="auto"/>
          <w:spacing w:val="-7"/>
          <w:u w:val="none"/>
        </w:rPr>
        <w:t>符合性分析</w:t>
      </w:r>
    </w:p>
    <w:p>
      <w:pPr>
        <w:ind w:firstLine="480"/>
        <w:jc w:val="both"/>
        <w:rPr>
          <w:b/>
          <w:bCs/>
          <w:color w:val="auto"/>
          <w:u w:val="none"/>
        </w:rPr>
      </w:pPr>
      <w:r>
        <w:rPr>
          <w:rFonts w:hint="eastAsia"/>
          <w:b/>
          <w:bCs/>
          <w:color w:val="auto"/>
          <w:u w:val="none"/>
          <w:lang w:val="en-US" w:eastAsia="zh-CN"/>
        </w:rPr>
        <w:t>1）</w:t>
      </w:r>
      <w:r>
        <w:rPr>
          <w:rFonts w:hint="eastAsia"/>
          <w:b/>
          <w:bCs/>
          <w:color w:val="auto"/>
          <w:u w:val="none"/>
        </w:rPr>
        <w:t>总体规划符合性分析</w:t>
      </w:r>
    </w:p>
    <w:p>
      <w:pPr>
        <w:ind w:firstLine="480"/>
        <w:jc w:val="both"/>
        <w:rPr>
          <w:rFonts w:hint="eastAsia" w:eastAsia="宋体"/>
          <w:color w:val="auto"/>
          <w:u w:val="none"/>
          <w:lang w:eastAsia="zh-CN"/>
        </w:rPr>
      </w:pPr>
      <w:r>
        <w:rPr>
          <w:rFonts w:hint="eastAsia" w:ascii="宋体" w:hAnsi="宋体" w:eastAsia="宋体" w:cs="宋体"/>
          <w:color w:val="auto"/>
          <w:u w:val="none"/>
        </w:rPr>
        <w:t>永顺县经济开发区调扩区为</w:t>
      </w:r>
      <w:r>
        <w:rPr>
          <w:rFonts w:hint="eastAsia" w:ascii="宋体" w:hAnsi="宋体" w:eastAsia="宋体" w:cs="宋体"/>
          <w:color w:val="auto"/>
          <w:u w:val="none"/>
          <w:lang w:eastAsia="zh-CN"/>
        </w:rPr>
        <w:t>“</w:t>
      </w:r>
      <w:r>
        <w:rPr>
          <w:rFonts w:hint="eastAsia" w:ascii="宋体" w:hAnsi="宋体" w:eastAsia="宋体" w:cs="宋体"/>
          <w:color w:val="auto"/>
          <w:u w:val="none"/>
        </w:rPr>
        <w:t>一区两园</w:t>
      </w:r>
      <w:r>
        <w:rPr>
          <w:rFonts w:hint="eastAsia" w:ascii="宋体" w:hAnsi="宋体" w:eastAsia="宋体" w:cs="宋体"/>
          <w:color w:val="auto"/>
          <w:u w:val="none"/>
          <w:lang w:eastAsia="zh-CN"/>
        </w:rPr>
        <w:t>”</w:t>
      </w:r>
      <w:r>
        <w:rPr>
          <w:rFonts w:hint="eastAsia" w:ascii="宋体" w:hAnsi="宋体" w:eastAsia="宋体" w:cs="宋体"/>
          <w:color w:val="auto"/>
          <w:u w:val="none"/>
        </w:rPr>
        <w:t>开发模式，一区</w:t>
      </w:r>
      <w:r>
        <w:rPr>
          <w:rFonts w:hint="eastAsia" w:ascii="宋体" w:hAnsi="宋体" w:eastAsia="宋体" w:cs="宋体"/>
          <w:color w:val="auto"/>
          <w:u w:val="none"/>
          <w:lang w:eastAsia="zh-CN"/>
        </w:rPr>
        <w:t>即</w:t>
      </w:r>
      <w:r>
        <w:rPr>
          <w:rFonts w:hint="eastAsia" w:ascii="宋体" w:hAnsi="宋体" w:eastAsia="宋体" w:cs="宋体"/>
          <w:color w:val="auto"/>
          <w:u w:val="none"/>
        </w:rPr>
        <w:t>永顺经</w:t>
      </w:r>
      <w:r>
        <w:rPr>
          <w:rFonts w:hint="eastAsia" w:ascii="宋体" w:hAnsi="宋体" w:eastAsia="宋体" w:cs="宋体"/>
          <w:color w:val="auto"/>
          <w:u w:val="none"/>
          <w:lang w:eastAsia="zh-CN"/>
        </w:rPr>
        <w:t>济</w:t>
      </w:r>
      <w:r>
        <w:rPr>
          <w:rFonts w:hint="eastAsia" w:ascii="宋体" w:hAnsi="宋体" w:eastAsia="宋体" w:cs="宋体"/>
          <w:color w:val="auto"/>
          <w:u w:val="none"/>
        </w:rPr>
        <w:t>开</w:t>
      </w:r>
      <w:r>
        <w:rPr>
          <w:rFonts w:hint="eastAsia" w:ascii="宋体" w:hAnsi="宋体" w:eastAsia="宋体" w:cs="宋体"/>
          <w:color w:val="auto"/>
          <w:u w:val="none"/>
          <w:lang w:eastAsia="zh-CN"/>
        </w:rPr>
        <w:t>发</w:t>
      </w:r>
      <w:r>
        <w:rPr>
          <w:rFonts w:hint="eastAsia" w:ascii="宋体" w:hAnsi="宋体" w:eastAsia="宋体" w:cs="宋体"/>
          <w:color w:val="auto"/>
          <w:u w:val="none"/>
        </w:rPr>
        <w:t>区，两园分别为芙蓉镇产业园和猛洞河产业园</w:t>
      </w:r>
      <w:r>
        <w:rPr>
          <w:rFonts w:hint="eastAsia" w:ascii="宋体" w:hAnsi="宋体" w:eastAsia="宋体" w:cs="宋体"/>
          <w:bCs/>
          <w:color w:val="auto"/>
          <w:u w:val="none"/>
          <w:lang w:eastAsia="zh-CN"/>
        </w:rPr>
        <w:t>。猛洞河产业园选址于永顺县城南的岔那村，</w:t>
      </w:r>
      <w:r>
        <w:rPr>
          <w:rFonts w:hint="eastAsia" w:ascii="宋体" w:hAnsi="宋体" w:eastAsia="宋体" w:cs="宋体"/>
          <w:bCs/>
          <w:color w:val="auto"/>
          <w:kern w:val="44"/>
          <w:u w:val="none"/>
        </w:rPr>
        <w:t>县城总体规划区的西南部，</w:t>
      </w:r>
      <w:r>
        <w:rPr>
          <w:rFonts w:hint="eastAsia" w:ascii="宋体" w:hAnsi="宋体" w:eastAsia="宋体" w:cs="宋体"/>
          <w:color w:val="auto"/>
          <w:u w:val="none"/>
        </w:rPr>
        <w:t>东临猛洞河，南至岔那村风洞路，西抵岔那村老寨，北靠琵琶湾，规划占地面</w:t>
      </w:r>
      <w:r>
        <w:rPr>
          <w:rFonts w:hint="default" w:ascii="Times New Roman" w:hAnsi="Times New Roman" w:eastAsia="宋体" w:cs="Times New Roman"/>
          <w:color w:val="auto"/>
          <w:u w:val="none"/>
        </w:rPr>
        <w:t>积</w:t>
      </w:r>
      <w:r>
        <w:rPr>
          <w:rFonts w:hint="default" w:ascii="Times New Roman" w:hAnsi="Times New Roman" w:eastAsia="宋体" w:cs="Times New Roman"/>
          <w:color w:val="auto"/>
          <w:u w:val="none"/>
          <w:lang w:val="en-US" w:eastAsia="zh-CN"/>
        </w:rPr>
        <w:t>187</w:t>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lang w:val="en-US" w:eastAsia="zh-CN"/>
        </w:rPr>
        <w:t>83</w:t>
      </w:r>
      <w:r>
        <w:rPr>
          <w:rFonts w:hint="default" w:ascii="Times New Roman" w:hAnsi="Times New Roman" w:eastAsia="宋体" w:cs="Times New Roman"/>
          <w:color w:val="auto"/>
          <w:u w:val="none"/>
        </w:rPr>
        <w:t>公</w:t>
      </w:r>
      <w:r>
        <w:rPr>
          <w:rFonts w:hint="eastAsia" w:ascii="宋体" w:hAnsi="宋体" w:eastAsia="宋体" w:cs="宋体"/>
          <w:color w:val="auto"/>
          <w:u w:val="none"/>
        </w:rPr>
        <w:t>顷</w:t>
      </w:r>
      <w:r>
        <w:rPr>
          <w:rFonts w:hint="eastAsia" w:ascii="宋体" w:hAnsi="宋体" w:eastAsia="宋体" w:cs="宋体"/>
          <w:bCs/>
          <w:color w:val="auto"/>
          <w:u w:val="none"/>
          <w:lang w:eastAsia="zh-CN"/>
        </w:rPr>
        <w:t>。</w:t>
      </w:r>
    </w:p>
    <w:p>
      <w:pPr>
        <w:ind w:firstLine="480"/>
        <w:jc w:val="both"/>
        <w:rPr>
          <w:rFonts w:hint="eastAsia" w:eastAsia="宋体"/>
          <w:b/>
          <w:bCs/>
          <w:color w:val="auto"/>
          <w:u w:val="none"/>
          <w:lang w:eastAsia="zh-CN"/>
        </w:rPr>
      </w:pPr>
      <w:r>
        <w:rPr>
          <w:rFonts w:hint="eastAsia"/>
          <w:b/>
          <w:bCs/>
          <w:color w:val="auto"/>
          <w:u w:val="none"/>
          <w:lang w:eastAsia="zh-CN"/>
        </w:rPr>
        <w:t>规划性质与产业定位</w:t>
      </w:r>
    </w:p>
    <w:p>
      <w:pPr>
        <w:ind w:firstLine="480"/>
        <w:jc w:val="both"/>
        <w:rPr>
          <w:rFonts w:hint="eastAsia"/>
          <w:color w:val="auto"/>
          <w:u w:val="none"/>
        </w:rPr>
      </w:pPr>
      <w:r>
        <w:rPr>
          <w:rFonts w:hint="eastAsia" w:ascii="宋体" w:hAnsi="宋体" w:eastAsia="宋体" w:cs="宋体"/>
          <w:color w:val="auto"/>
          <w:u w:val="none"/>
        </w:rPr>
        <w:t>猛洞河产业园</w:t>
      </w:r>
      <w:r>
        <w:rPr>
          <w:rFonts w:hint="eastAsia" w:ascii="宋体" w:hAnsi="宋体" w:eastAsia="宋体" w:cs="宋体"/>
          <w:color w:val="auto"/>
          <w:u w:val="none"/>
          <w:lang w:val="en-US" w:eastAsia="zh-CN"/>
        </w:rPr>
        <w:t>定位</w:t>
      </w:r>
      <w:r>
        <w:rPr>
          <w:rFonts w:hint="eastAsia" w:ascii="宋体" w:hAnsi="宋体" w:eastAsia="宋体" w:cs="宋体"/>
          <w:bCs/>
          <w:color w:val="auto"/>
          <w:kern w:val="44"/>
          <w:u w:val="none"/>
          <w:lang w:eastAsia="zh-CN"/>
        </w:rPr>
        <w:t>以电子信息、特色食品加工、新型材料加工产业为主导，配套电子商务、现代物流业</w:t>
      </w:r>
      <w:r>
        <w:rPr>
          <w:rFonts w:hint="eastAsia" w:ascii="宋体" w:hAnsi="宋体" w:eastAsia="宋体" w:cs="宋体"/>
          <w:bCs/>
          <w:color w:val="auto"/>
          <w:u w:val="none"/>
          <w:lang w:eastAsia="zh-CN"/>
        </w:rPr>
        <w:t>。</w:t>
      </w:r>
    </w:p>
    <w:p>
      <w:pPr>
        <w:ind w:firstLine="480"/>
        <w:jc w:val="both"/>
        <w:rPr>
          <w:rFonts w:hint="eastAsia" w:eastAsia="宋体"/>
          <w:b/>
          <w:bCs/>
          <w:color w:val="auto"/>
          <w:u w:val="none"/>
          <w:lang w:eastAsia="zh-CN"/>
        </w:rPr>
      </w:pPr>
      <w:r>
        <w:rPr>
          <w:rFonts w:hint="eastAsia"/>
          <w:b/>
          <w:bCs/>
          <w:color w:val="auto"/>
          <w:u w:val="none"/>
          <w:lang w:eastAsia="zh-CN"/>
        </w:rPr>
        <w:t>功能布局</w:t>
      </w:r>
    </w:p>
    <w:p>
      <w:pPr>
        <w:ind w:firstLine="480"/>
        <w:jc w:val="both"/>
        <w:rPr>
          <w:rFonts w:hint="eastAsia"/>
          <w:color w:val="auto"/>
          <w:u w:val="none"/>
        </w:rPr>
      </w:pPr>
      <w:r>
        <w:rPr>
          <w:rFonts w:hint="eastAsia" w:ascii="宋体" w:hAnsi="宋体" w:eastAsia="宋体" w:cs="宋体"/>
          <w:color w:val="auto"/>
          <w:szCs w:val="24"/>
          <w:u w:val="none"/>
        </w:rPr>
        <w:t>功能结构为“一心、二区”。一心：即公共配套服务中心——承担园区最重要的公共功能的区域，以建设办公、居住、商业等各项公共服务设施为主，是展示形象的区域；</w:t>
      </w:r>
      <w:r>
        <w:rPr>
          <w:rFonts w:hint="eastAsia" w:ascii="宋体" w:hAnsi="宋体" w:eastAsia="宋体" w:cs="宋体"/>
          <w:b w:val="0"/>
          <w:bCs/>
          <w:color w:val="auto"/>
          <w:szCs w:val="24"/>
          <w:u w:val="none"/>
        </w:rPr>
        <w:t>二区：</w:t>
      </w:r>
      <w:r>
        <w:rPr>
          <w:rFonts w:hint="eastAsia" w:ascii="宋体" w:hAnsi="宋体" w:eastAsia="宋体" w:cs="宋体"/>
          <w:color w:val="auto"/>
          <w:szCs w:val="24"/>
          <w:u w:val="none"/>
        </w:rPr>
        <w:t>指南部工业区和东北部物流区</w:t>
      </w:r>
    </w:p>
    <w:p>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color w:val="auto"/>
          <w:szCs w:val="24"/>
          <w:u w:val="none"/>
        </w:rPr>
      </w:pPr>
      <w:r>
        <w:rPr>
          <w:rFonts w:hint="eastAsia" w:eastAsia="宋体" w:cs="Times New Roman"/>
          <w:b/>
          <w:bCs w:val="0"/>
          <w:color w:val="auto"/>
          <w:szCs w:val="24"/>
          <w:u w:val="none"/>
          <w:lang w:eastAsia="zh-CN"/>
        </w:rPr>
        <w:t>①</w:t>
      </w:r>
      <w:r>
        <w:rPr>
          <w:rFonts w:hint="default" w:ascii="Times New Roman" w:hAnsi="Times New Roman" w:eastAsia="宋体" w:cs="Times New Roman"/>
          <w:b/>
          <w:bCs w:val="0"/>
          <w:color w:val="auto"/>
          <w:szCs w:val="24"/>
          <w:u w:val="none"/>
        </w:rPr>
        <w:t>居住用地规划</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居住用地规划均为二类居住用地。主要为村民安置及部分就业居住用地，主要布置在环境较好，交通便利的区域。其中猛洞河产业园居住用地布置在永顺大道以北，中小学及部分居住用地等配套设施依托北部县城及溪州新区，居住用地总面积为</w:t>
      </w:r>
      <w:r>
        <w:rPr>
          <w:rFonts w:hint="default" w:ascii="Times New Roman" w:hAnsi="Times New Roman" w:eastAsia="宋体" w:cs="Times New Roman"/>
          <w:color w:val="auto"/>
          <w:szCs w:val="24"/>
          <w:u w:val="none"/>
          <w:lang w:val="en-US" w:eastAsia="zh-CN"/>
        </w:rPr>
        <w:t>16.09</w:t>
      </w:r>
      <w:r>
        <w:rPr>
          <w:rFonts w:hint="default" w:ascii="Times New Roman" w:hAnsi="Times New Roman" w:eastAsia="宋体" w:cs="Times New Roman"/>
          <w:color w:val="auto"/>
          <w:szCs w:val="24"/>
          <w:u w:val="none"/>
        </w:rPr>
        <w:t>公顷。</w:t>
      </w:r>
    </w:p>
    <w:p>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宋体" w:hAnsi="宋体" w:eastAsia="宋体" w:cs="宋体"/>
          <w:b w:val="0"/>
          <w:bCs/>
          <w:color w:val="auto"/>
          <w:szCs w:val="24"/>
          <w:u w:val="none"/>
        </w:rPr>
      </w:pPr>
      <w:r>
        <w:rPr>
          <w:rFonts w:hint="eastAsia" w:eastAsia="宋体" w:cs="Times New Roman"/>
          <w:b/>
          <w:bCs w:val="0"/>
          <w:color w:val="auto"/>
          <w:szCs w:val="24"/>
          <w:u w:val="none"/>
          <w:lang w:eastAsia="zh-CN"/>
        </w:rPr>
        <w:t>②</w:t>
      </w:r>
      <w:r>
        <w:rPr>
          <w:rFonts w:hint="default" w:ascii="Times New Roman" w:hAnsi="Times New Roman" w:eastAsia="宋体" w:cs="Times New Roman"/>
          <w:b/>
          <w:bCs w:val="0"/>
          <w:color w:val="auto"/>
          <w:szCs w:val="24"/>
          <w:u w:val="none"/>
        </w:rPr>
        <w:t>公共管理</w:t>
      </w:r>
      <w:r>
        <w:rPr>
          <w:rFonts w:hint="eastAsia" w:ascii="宋体" w:hAnsi="宋体" w:eastAsia="宋体" w:cs="宋体"/>
          <w:b/>
          <w:bCs w:val="0"/>
          <w:color w:val="auto"/>
          <w:szCs w:val="24"/>
          <w:u w:val="none"/>
        </w:rPr>
        <w:t>与公共服务用地规划</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猛洞河产业园区2.41公顷</w:t>
      </w:r>
      <w:r>
        <w:rPr>
          <w:rFonts w:hint="default" w:ascii="Times New Roman" w:hAnsi="Times New Roman" w:eastAsia="宋体" w:cs="Times New Roman"/>
          <w:color w:val="auto"/>
          <w:szCs w:val="24"/>
          <w:u w:val="none"/>
          <w:lang w:eastAsia="zh-CN"/>
        </w:rPr>
        <w:t>，</w:t>
      </w:r>
      <w:r>
        <w:rPr>
          <w:rFonts w:hint="default" w:ascii="Times New Roman" w:hAnsi="Times New Roman" w:eastAsia="宋体" w:cs="Times New Roman"/>
          <w:color w:val="auto"/>
          <w:szCs w:val="24"/>
          <w:u w:val="none"/>
        </w:rPr>
        <w:t>主要为管委会用地，猛洞河产业园区布置在永顺大道以南。另两园区布置了部分文化设施用地及加油加气站用地，其它配套管理服务设施两园区分别依托永顺县城区和芙蓉镇区。</w:t>
      </w:r>
    </w:p>
    <w:p>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color w:val="auto"/>
          <w:szCs w:val="24"/>
          <w:u w:val="none"/>
        </w:rPr>
      </w:pPr>
      <w:r>
        <w:rPr>
          <w:rFonts w:hint="eastAsia" w:eastAsia="宋体" w:cs="Times New Roman"/>
          <w:b/>
          <w:bCs w:val="0"/>
          <w:color w:val="auto"/>
          <w:szCs w:val="24"/>
          <w:u w:val="none"/>
          <w:lang w:eastAsia="zh-CN"/>
        </w:rPr>
        <w:t>③</w:t>
      </w:r>
      <w:r>
        <w:rPr>
          <w:rFonts w:hint="default" w:ascii="Times New Roman" w:hAnsi="Times New Roman" w:eastAsia="宋体" w:cs="Times New Roman"/>
          <w:b/>
          <w:bCs w:val="0"/>
          <w:color w:val="auto"/>
          <w:szCs w:val="24"/>
          <w:u w:val="none"/>
        </w:rPr>
        <w:t>商业服务业设施用地规划</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猛洞河产业园区14.20公顷，分别布置在猛洞河产业园永顺大道两侧</w:t>
      </w:r>
    </w:p>
    <w:p>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color w:val="auto"/>
          <w:szCs w:val="24"/>
          <w:u w:val="none"/>
        </w:rPr>
      </w:pPr>
      <w:r>
        <w:rPr>
          <w:rFonts w:hint="eastAsia" w:eastAsia="宋体" w:cs="Times New Roman"/>
          <w:b/>
          <w:bCs w:val="0"/>
          <w:color w:val="auto"/>
          <w:szCs w:val="24"/>
          <w:u w:val="none"/>
          <w:lang w:eastAsia="zh-CN"/>
        </w:rPr>
        <w:t>④</w:t>
      </w:r>
      <w:r>
        <w:rPr>
          <w:rFonts w:hint="default" w:ascii="Times New Roman" w:hAnsi="Times New Roman" w:eastAsia="宋体" w:cs="Times New Roman"/>
          <w:b/>
          <w:bCs w:val="0"/>
          <w:color w:val="auto"/>
          <w:szCs w:val="24"/>
          <w:u w:val="none"/>
        </w:rPr>
        <w:t>工业用地</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Cs w:val="24"/>
          <w:u w:val="none"/>
        </w:rPr>
      </w:pPr>
      <w:r>
        <w:rPr>
          <w:rFonts w:hint="default" w:ascii="Times New Roman" w:hAnsi="Times New Roman" w:eastAsia="宋体" w:cs="Times New Roman"/>
          <w:color w:val="auto"/>
          <w:szCs w:val="24"/>
          <w:u w:val="none"/>
        </w:rPr>
        <w:t>一类工业用地</w:t>
      </w:r>
      <w:r>
        <w:rPr>
          <w:rFonts w:hint="default" w:ascii="Times New Roman" w:hAnsi="Times New Roman" w:eastAsia="宋体" w:cs="Times New Roman"/>
          <w:color w:val="auto"/>
          <w:szCs w:val="24"/>
          <w:u w:val="none"/>
          <w:lang w:val="en-US" w:eastAsia="zh-CN"/>
        </w:rPr>
        <w:t>164.40</w:t>
      </w:r>
      <w:r>
        <w:rPr>
          <w:rFonts w:hint="default" w:ascii="Times New Roman" w:hAnsi="Times New Roman" w:eastAsia="宋体" w:cs="Times New Roman"/>
          <w:color w:val="auto"/>
          <w:szCs w:val="24"/>
          <w:u w:val="none"/>
        </w:rPr>
        <w:t>公顷，其中猛洞河产业园区</w:t>
      </w:r>
      <w:r>
        <w:rPr>
          <w:rFonts w:hint="default" w:ascii="Times New Roman" w:hAnsi="Times New Roman" w:eastAsia="宋体" w:cs="Times New Roman"/>
          <w:color w:val="auto"/>
          <w:szCs w:val="24"/>
          <w:u w:val="none"/>
          <w:lang w:val="en-US" w:eastAsia="zh-CN"/>
        </w:rPr>
        <w:t>78.85</w:t>
      </w:r>
      <w:r>
        <w:rPr>
          <w:rFonts w:hint="default" w:ascii="Times New Roman" w:hAnsi="Times New Roman" w:eastAsia="宋体" w:cs="Times New Roman"/>
          <w:color w:val="auto"/>
          <w:szCs w:val="24"/>
          <w:u w:val="none"/>
        </w:rPr>
        <w:t>公顷，规划设置在</w:t>
      </w:r>
      <w:r>
        <w:rPr>
          <w:rFonts w:hint="default" w:ascii="Times New Roman" w:hAnsi="Times New Roman" w:eastAsia="宋体" w:cs="Times New Roman"/>
          <w:color w:val="auto"/>
          <w:szCs w:val="24"/>
          <w:u w:val="none"/>
          <w:lang w:eastAsia="zh-CN"/>
        </w:rPr>
        <w:t>猛洞河产业园</w:t>
      </w:r>
      <w:r>
        <w:rPr>
          <w:rFonts w:hint="default" w:ascii="Times New Roman" w:hAnsi="Times New Roman" w:eastAsia="宋体" w:cs="Times New Roman"/>
          <w:color w:val="auto"/>
          <w:szCs w:val="24"/>
          <w:u w:val="none"/>
        </w:rPr>
        <w:t>中南部；二类工业用地</w:t>
      </w:r>
      <w:r>
        <w:rPr>
          <w:rFonts w:hint="default" w:ascii="Times New Roman" w:hAnsi="Times New Roman" w:eastAsia="宋体" w:cs="Times New Roman"/>
          <w:color w:val="auto"/>
          <w:szCs w:val="24"/>
          <w:u w:val="none"/>
          <w:lang w:val="en-US" w:eastAsia="zh-CN"/>
        </w:rPr>
        <w:t>57.16</w:t>
      </w:r>
      <w:r>
        <w:rPr>
          <w:rFonts w:hint="default" w:ascii="Times New Roman" w:hAnsi="Times New Roman" w:eastAsia="宋体" w:cs="Times New Roman"/>
          <w:color w:val="auto"/>
          <w:szCs w:val="24"/>
          <w:u w:val="none"/>
        </w:rPr>
        <w:t>公顷，其中猛洞河产业园区</w:t>
      </w:r>
      <w:r>
        <w:rPr>
          <w:rFonts w:hint="default" w:ascii="Times New Roman" w:hAnsi="Times New Roman" w:eastAsia="宋体" w:cs="Times New Roman"/>
          <w:color w:val="auto"/>
          <w:szCs w:val="24"/>
          <w:u w:val="none"/>
          <w:lang w:val="en-US" w:eastAsia="zh-CN"/>
        </w:rPr>
        <w:t>20</w:t>
      </w:r>
      <w:r>
        <w:rPr>
          <w:rFonts w:hint="default" w:ascii="Times New Roman" w:hAnsi="Times New Roman" w:eastAsia="宋体" w:cs="Times New Roman"/>
          <w:color w:val="auto"/>
          <w:szCs w:val="24"/>
          <w:u w:val="none"/>
        </w:rPr>
        <w:t>.</w:t>
      </w:r>
      <w:r>
        <w:rPr>
          <w:rFonts w:hint="default" w:ascii="Times New Roman" w:hAnsi="Times New Roman" w:eastAsia="宋体" w:cs="Times New Roman"/>
          <w:color w:val="auto"/>
          <w:szCs w:val="24"/>
          <w:u w:val="none"/>
          <w:lang w:val="en-US" w:eastAsia="zh-CN"/>
        </w:rPr>
        <w:t>63</w:t>
      </w:r>
      <w:r>
        <w:rPr>
          <w:rFonts w:hint="default" w:ascii="Times New Roman" w:hAnsi="Times New Roman" w:eastAsia="宋体" w:cs="Times New Roman"/>
          <w:color w:val="auto"/>
          <w:szCs w:val="24"/>
          <w:u w:val="none"/>
        </w:rPr>
        <w:t>公顷，规划设置在猛洞河</w:t>
      </w:r>
      <w:r>
        <w:rPr>
          <w:rFonts w:hint="eastAsia" w:ascii="宋体" w:hAnsi="宋体" w:eastAsia="宋体" w:cs="宋体"/>
          <w:color w:val="auto"/>
          <w:szCs w:val="24"/>
          <w:u w:val="none"/>
        </w:rPr>
        <w:t>产业园南端部。</w:t>
      </w:r>
    </w:p>
    <w:p>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color w:val="auto"/>
          <w:szCs w:val="24"/>
          <w:u w:val="none"/>
        </w:rPr>
      </w:pPr>
      <w:r>
        <w:rPr>
          <w:rFonts w:hint="eastAsia" w:eastAsia="宋体" w:cs="Times New Roman"/>
          <w:b/>
          <w:bCs w:val="0"/>
          <w:color w:val="auto"/>
          <w:szCs w:val="24"/>
          <w:u w:val="none"/>
          <w:lang w:eastAsia="zh-CN"/>
        </w:rPr>
        <w:t>⑤</w:t>
      </w:r>
      <w:r>
        <w:rPr>
          <w:rFonts w:hint="default" w:ascii="Times New Roman" w:hAnsi="Times New Roman" w:eastAsia="宋体" w:cs="Times New Roman"/>
          <w:b/>
          <w:bCs w:val="0"/>
          <w:color w:val="auto"/>
          <w:szCs w:val="24"/>
          <w:u w:val="none"/>
        </w:rPr>
        <w:t>仓储用地规划</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规划结合产业园设置仓储配套用地。规划仓储用地</w:t>
      </w:r>
      <w:r>
        <w:rPr>
          <w:rFonts w:hint="default" w:ascii="Times New Roman" w:hAnsi="Times New Roman" w:eastAsia="宋体" w:cs="Times New Roman"/>
          <w:color w:val="auto"/>
          <w:szCs w:val="24"/>
          <w:u w:val="none"/>
          <w:lang w:val="en-US" w:eastAsia="zh-CN"/>
        </w:rPr>
        <w:t>27.18</w:t>
      </w:r>
      <w:r>
        <w:rPr>
          <w:rFonts w:hint="default" w:ascii="Times New Roman" w:hAnsi="Times New Roman" w:eastAsia="宋体" w:cs="Times New Roman"/>
          <w:color w:val="auto"/>
          <w:szCs w:val="24"/>
          <w:u w:val="none"/>
        </w:rPr>
        <w:t>公顷，占经开区建设用地的</w:t>
      </w:r>
      <w:r>
        <w:rPr>
          <w:rFonts w:hint="default" w:ascii="Times New Roman" w:hAnsi="Times New Roman" w:eastAsia="宋体" w:cs="Times New Roman"/>
          <w:color w:val="auto"/>
          <w:szCs w:val="24"/>
          <w:u w:val="none"/>
          <w:lang w:val="en-US" w:eastAsia="zh-CN"/>
        </w:rPr>
        <w:t>6</w:t>
      </w:r>
      <w:r>
        <w:rPr>
          <w:rFonts w:hint="default" w:ascii="Times New Roman" w:hAnsi="Times New Roman" w:eastAsia="宋体" w:cs="Times New Roman"/>
          <w:color w:val="auto"/>
          <w:szCs w:val="24"/>
          <w:u w:val="none"/>
        </w:rPr>
        <w:t>.</w:t>
      </w:r>
      <w:r>
        <w:rPr>
          <w:rFonts w:hint="default" w:ascii="Times New Roman" w:hAnsi="Times New Roman" w:eastAsia="宋体" w:cs="Times New Roman"/>
          <w:color w:val="auto"/>
          <w:szCs w:val="24"/>
          <w:u w:val="none"/>
          <w:lang w:val="en-US" w:eastAsia="zh-CN"/>
        </w:rPr>
        <w:t>66</w:t>
      </w:r>
      <w:r>
        <w:rPr>
          <w:rFonts w:hint="default" w:ascii="Times New Roman" w:hAnsi="Times New Roman" w:eastAsia="宋体" w:cs="Times New Roman"/>
          <w:color w:val="auto"/>
          <w:szCs w:val="24"/>
          <w:u w:val="none"/>
        </w:rPr>
        <w:t>%</w:t>
      </w:r>
      <w:r>
        <w:rPr>
          <w:rFonts w:hint="default" w:ascii="Times New Roman" w:hAnsi="Times New Roman" w:eastAsia="宋体" w:cs="Times New Roman"/>
          <w:color w:val="auto"/>
          <w:szCs w:val="24"/>
          <w:u w:val="none"/>
          <w:lang w:eastAsia="zh-CN"/>
        </w:rPr>
        <w:t>，</w:t>
      </w:r>
      <w:r>
        <w:rPr>
          <w:rFonts w:hint="default" w:ascii="Times New Roman" w:hAnsi="Times New Roman" w:eastAsia="宋体" w:cs="Times New Roman"/>
          <w:color w:val="auto"/>
          <w:szCs w:val="24"/>
          <w:u w:val="none"/>
        </w:rPr>
        <w:t>分别布置在猛洞河产</w:t>
      </w:r>
      <w:r>
        <w:rPr>
          <w:rFonts w:hint="eastAsia" w:cs="Times New Roman"/>
          <w:color w:val="auto"/>
          <w:szCs w:val="24"/>
          <w:u w:val="none"/>
          <w:lang w:eastAsia="zh-CN"/>
        </w:rPr>
        <w:t>产业</w:t>
      </w:r>
      <w:r>
        <w:rPr>
          <w:rFonts w:hint="default" w:ascii="Times New Roman" w:hAnsi="Times New Roman" w:eastAsia="宋体" w:cs="Times New Roman"/>
          <w:color w:val="auto"/>
          <w:szCs w:val="24"/>
          <w:u w:val="none"/>
        </w:rPr>
        <w:t>园。</w:t>
      </w:r>
    </w:p>
    <w:p>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color w:val="auto"/>
          <w:szCs w:val="24"/>
          <w:u w:val="none"/>
        </w:rPr>
      </w:pPr>
      <w:r>
        <w:rPr>
          <w:rFonts w:hint="eastAsia" w:eastAsia="宋体" w:cs="Times New Roman"/>
          <w:b/>
          <w:bCs w:val="0"/>
          <w:color w:val="auto"/>
          <w:szCs w:val="24"/>
          <w:u w:val="none"/>
          <w:lang w:eastAsia="zh-CN"/>
        </w:rPr>
        <w:t>⑥</w:t>
      </w:r>
      <w:r>
        <w:rPr>
          <w:rFonts w:hint="default" w:ascii="Times New Roman" w:hAnsi="Times New Roman" w:eastAsia="宋体" w:cs="Times New Roman"/>
          <w:b/>
          <w:bCs w:val="0"/>
          <w:color w:val="auto"/>
          <w:szCs w:val="24"/>
          <w:u w:val="none"/>
        </w:rPr>
        <w:t>交通设施用地规划</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规划交通设施用地80.</w:t>
      </w:r>
      <w:r>
        <w:rPr>
          <w:rFonts w:hint="default" w:ascii="Times New Roman" w:hAnsi="Times New Roman" w:eastAsia="宋体" w:cs="Times New Roman"/>
          <w:color w:val="auto"/>
          <w:szCs w:val="24"/>
          <w:u w:val="none"/>
          <w:lang w:val="en-US" w:eastAsia="zh-CN"/>
        </w:rPr>
        <w:t>59</w:t>
      </w:r>
      <w:r>
        <w:rPr>
          <w:rFonts w:hint="default" w:ascii="Times New Roman" w:hAnsi="Times New Roman" w:eastAsia="宋体" w:cs="Times New Roman"/>
          <w:color w:val="auto"/>
          <w:szCs w:val="24"/>
          <w:u w:val="none"/>
        </w:rPr>
        <w:t>公顷，其中猛洞河产业园用地为30.32ha，要建设城市道路用地和社会停车场。</w:t>
      </w:r>
    </w:p>
    <w:p>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color w:val="auto"/>
          <w:szCs w:val="24"/>
          <w:u w:val="none"/>
        </w:rPr>
      </w:pPr>
      <w:r>
        <w:rPr>
          <w:rFonts w:hint="eastAsia" w:eastAsia="宋体" w:cs="Times New Roman"/>
          <w:b/>
          <w:bCs w:val="0"/>
          <w:color w:val="auto"/>
          <w:szCs w:val="24"/>
          <w:u w:val="none"/>
          <w:lang w:eastAsia="zh-CN"/>
        </w:rPr>
        <w:t>⑦</w:t>
      </w:r>
      <w:r>
        <w:rPr>
          <w:rFonts w:hint="default" w:ascii="Times New Roman" w:hAnsi="Times New Roman" w:eastAsia="宋体" w:cs="Times New Roman"/>
          <w:b/>
          <w:bCs w:val="0"/>
          <w:color w:val="auto"/>
          <w:szCs w:val="24"/>
          <w:u w:val="none"/>
        </w:rPr>
        <w:t>市政公用设施用地</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市政公用设施用地面积2.34公顷。两园公用设施以依托县城和芙蓉镇公用设施为主，本规划区仅为</w:t>
      </w:r>
      <w:r>
        <w:rPr>
          <w:rFonts w:hint="default" w:ascii="Times New Roman" w:hAnsi="Times New Roman" w:eastAsia="宋体" w:cs="Times New Roman"/>
          <w:color w:val="auto"/>
          <w:u w:val="none"/>
        </w:rPr>
        <w:t>猛洞河</w:t>
      </w:r>
      <w:r>
        <w:rPr>
          <w:rFonts w:hint="default" w:ascii="Times New Roman" w:hAnsi="Times New Roman" w:eastAsia="宋体" w:cs="Times New Roman"/>
          <w:color w:val="auto"/>
          <w:u w:val="none"/>
          <w:lang w:eastAsia="zh-CN"/>
        </w:rPr>
        <w:t>产</w:t>
      </w:r>
      <w:r>
        <w:rPr>
          <w:rFonts w:hint="default" w:ascii="Times New Roman" w:hAnsi="Times New Roman" w:eastAsia="宋体" w:cs="Times New Roman"/>
          <w:color w:val="auto"/>
          <w:u w:val="none"/>
        </w:rPr>
        <w:t>业园</w:t>
      </w:r>
      <w:r>
        <w:rPr>
          <w:rFonts w:hint="default" w:ascii="Times New Roman" w:hAnsi="Times New Roman" w:eastAsia="宋体" w:cs="Times New Roman"/>
          <w:color w:val="auto"/>
          <w:szCs w:val="24"/>
          <w:u w:val="none"/>
        </w:rPr>
        <w:t>布置所需的110KV变电站、垃圾中转站、污水厂、消防站等，芙蓉镇</w:t>
      </w:r>
      <w:r>
        <w:rPr>
          <w:rFonts w:hint="default" w:ascii="Times New Roman" w:hAnsi="Times New Roman" w:eastAsia="宋体" w:cs="Times New Roman"/>
          <w:color w:val="auto"/>
          <w:szCs w:val="24"/>
          <w:u w:val="none"/>
          <w:lang w:eastAsia="zh-CN"/>
        </w:rPr>
        <w:t>产业园</w:t>
      </w:r>
      <w:r>
        <w:rPr>
          <w:rFonts w:hint="default" w:ascii="Times New Roman" w:hAnsi="Times New Roman" w:eastAsia="宋体" w:cs="Times New Roman"/>
          <w:color w:val="auto"/>
          <w:szCs w:val="24"/>
          <w:u w:val="none"/>
        </w:rPr>
        <w:t>布置芙蓉变电站、消防站、通信分局等。</w:t>
      </w:r>
    </w:p>
    <w:p>
      <w:pPr>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color w:val="auto"/>
          <w:szCs w:val="24"/>
          <w:u w:val="none"/>
        </w:rPr>
      </w:pPr>
      <w:r>
        <w:rPr>
          <w:rFonts w:hint="eastAsia" w:eastAsia="宋体" w:cs="Times New Roman"/>
          <w:b/>
          <w:bCs w:val="0"/>
          <w:color w:val="auto"/>
          <w:szCs w:val="24"/>
          <w:u w:val="none"/>
          <w:lang w:eastAsia="zh-CN"/>
        </w:rPr>
        <w:t>⑧</w:t>
      </w:r>
      <w:r>
        <w:rPr>
          <w:rFonts w:hint="default" w:ascii="Times New Roman" w:hAnsi="Times New Roman" w:eastAsia="宋体" w:cs="Times New Roman"/>
          <w:b/>
          <w:bCs w:val="0"/>
          <w:color w:val="auto"/>
          <w:szCs w:val="24"/>
          <w:u w:val="none"/>
        </w:rPr>
        <w:t>绿地规划</w:t>
      </w:r>
    </w:p>
    <w:p>
      <w:pPr>
        <w:ind w:firstLine="480"/>
        <w:jc w:val="both"/>
        <w:rPr>
          <w:rFonts w:hint="eastAsia"/>
          <w:color w:val="auto"/>
          <w:u w:val="none"/>
        </w:rPr>
      </w:pPr>
      <w:r>
        <w:rPr>
          <w:rFonts w:hint="default" w:ascii="Times New Roman" w:hAnsi="Times New Roman" w:eastAsia="宋体" w:cs="Times New Roman"/>
          <w:color w:val="auto"/>
          <w:szCs w:val="24"/>
          <w:u w:val="none"/>
        </w:rPr>
        <w:t>两园区并设置部分防护绿地、城市公园及广场。规划绿地面积</w:t>
      </w:r>
      <w:r>
        <w:rPr>
          <w:rFonts w:hint="default" w:ascii="Times New Roman" w:hAnsi="Times New Roman" w:eastAsia="宋体" w:cs="Times New Roman"/>
          <w:color w:val="auto"/>
          <w:szCs w:val="24"/>
          <w:u w:val="none"/>
          <w:lang w:val="en-US" w:eastAsia="zh-CN"/>
        </w:rPr>
        <w:t>29</w:t>
      </w:r>
      <w:r>
        <w:rPr>
          <w:rFonts w:hint="default" w:ascii="Times New Roman" w:hAnsi="Times New Roman" w:eastAsia="宋体" w:cs="Times New Roman"/>
          <w:color w:val="auto"/>
          <w:szCs w:val="24"/>
          <w:u w:val="none"/>
        </w:rPr>
        <w:t>.</w:t>
      </w:r>
      <w:r>
        <w:rPr>
          <w:rFonts w:hint="default" w:ascii="Times New Roman" w:hAnsi="Times New Roman" w:eastAsia="宋体" w:cs="Times New Roman"/>
          <w:color w:val="auto"/>
          <w:szCs w:val="24"/>
          <w:u w:val="none"/>
          <w:lang w:val="en-US" w:eastAsia="zh-CN"/>
        </w:rPr>
        <w:t>53</w:t>
      </w:r>
      <w:r>
        <w:rPr>
          <w:rFonts w:hint="default" w:ascii="Times New Roman" w:hAnsi="Times New Roman" w:eastAsia="宋体" w:cs="Times New Roman"/>
          <w:color w:val="auto"/>
          <w:szCs w:val="24"/>
          <w:u w:val="none"/>
        </w:rPr>
        <w:t>公顷，其中猛洞河产业园区</w:t>
      </w:r>
      <w:r>
        <w:rPr>
          <w:rFonts w:hint="default" w:ascii="Times New Roman" w:hAnsi="Times New Roman" w:eastAsia="宋体" w:cs="Times New Roman"/>
          <w:color w:val="auto"/>
          <w:szCs w:val="24"/>
          <w:u w:val="none"/>
          <w:lang w:val="en-US" w:eastAsia="zh-CN"/>
        </w:rPr>
        <w:t>5</w:t>
      </w:r>
      <w:r>
        <w:rPr>
          <w:rFonts w:hint="default" w:ascii="Times New Roman" w:hAnsi="Times New Roman" w:eastAsia="宋体" w:cs="Times New Roman"/>
          <w:color w:val="auto"/>
          <w:szCs w:val="24"/>
          <w:u w:val="none"/>
        </w:rPr>
        <w:t>.6</w:t>
      </w:r>
      <w:r>
        <w:rPr>
          <w:rFonts w:hint="default" w:ascii="Times New Roman" w:hAnsi="Times New Roman" w:eastAsia="宋体" w:cs="Times New Roman"/>
          <w:color w:val="auto"/>
          <w:szCs w:val="24"/>
          <w:u w:val="none"/>
          <w:lang w:val="en-US" w:eastAsia="zh-CN"/>
        </w:rPr>
        <w:t>1</w:t>
      </w:r>
      <w:r>
        <w:rPr>
          <w:rFonts w:hint="default" w:ascii="Times New Roman" w:hAnsi="Times New Roman" w:eastAsia="宋体" w:cs="Times New Roman"/>
          <w:color w:val="auto"/>
          <w:szCs w:val="24"/>
          <w:u w:val="none"/>
        </w:rPr>
        <w:t>公顷。</w:t>
      </w:r>
    </w:p>
    <w:p>
      <w:pPr>
        <w:ind w:firstLine="480"/>
        <w:rPr>
          <w:rFonts w:hint="eastAsia" w:eastAsia="宋体"/>
          <w:b/>
          <w:bCs/>
          <w:color w:val="auto"/>
          <w:u w:val="none"/>
          <w:lang w:eastAsia="zh-CN"/>
        </w:rPr>
      </w:pPr>
      <w:r>
        <w:rPr>
          <w:rFonts w:hint="eastAsia"/>
          <w:b/>
          <w:bCs/>
          <w:color w:val="auto"/>
          <w:u w:val="none"/>
          <w:lang w:eastAsia="zh-CN"/>
        </w:rPr>
        <w:t>⑨排水体制</w:t>
      </w:r>
    </w:p>
    <w:p>
      <w:pPr>
        <w:bidi w:val="0"/>
        <w:rPr>
          <w:rFonts w:hint="eastAsia" w:eastAsia="宋体"/>
          <w:color w:val="auto"/>
          <w:lang w:eastAsia="zh-CN"/>
        </w:rPr>
      </w:pPr>
      <w:r>
        <w:rPr>
          <w:rFonts w:hint="eastAsia" w:ascii="宋体" w:hAnsi="宋体" w:eastAsia="宋体" w:cs="宋体"/>
          <w:color w:val="auto"/>
          <w:u w:val="none"/>
          <w:lang w:eastAsia="zh-CN"/>
        </w:rPr>
        <w:t>猛洞河产业园</w:t>
      </w:r>
      <w:r>
        <w:rPr>
          <w:rFonts w:hint="eastAsia" w:ascii="宋体" w:hAnsi="宋体" w:eastAsia="宋体" w:cs="宋体"/>
          <w:color w:val="auto"/>
          <w:u w:val="none"/>
        </w:rPr>
        <w:t>排水采取雨污分流制</w:t>
      </w:r>
      <w:r>
        <w:rPr>
          <w:rFonts w:hint="eastAsia" w:ascii="宋体" w:hAnsi="宋体" w:eastAsia="宋体" w:cs="宋体"/>
          <w:color w:val="auto"/>
          <w:u w:val="none"/>
          <w:lang w:eastAsia="zh-CN"/>
        </w:rPr>
        <w:t>，猛洞河产业园</w:t>
      </w:r>
      <w:r>
        <w:rPr>
          <w:color w:val="auto"/>
        </w:rPr>
        <w:t>内雨水采用就近排放的原则，流经支管后就近排至各条沟渠，污水进行集中处理</w:t>
      </w:r>
      <w:r>
        <w:rPr>
          <w:rFonts w:hint="eastAsia"/>
          <w:color w:val="auto"/>
          <w:lang w:eastAsia="zh-CN"/>
        </w:rPr>
        <w:t>。</w:t>
      </w:r>
    </w:p>
    <w:p>
      <w:pPr>
        <w:bidi w:val="0"/>
        <w:jc w:val="both"/>
        <w:rPr>
          <w:rFonts w:hint="eastAsia" w:eastAsia="宋体"/>
          <w:color w:val="auto"/>
          <w:lang w:eastAsia="zh-CN"/>
        </w:rPr>
      </w:pPr>
      <w:r>
        <w:rPr>
          <w:rFonts w:hint="eastAsia"/>
          <w:color w:val="auto"/>
          <w:lang w:eastAsia="zh-CN"/>
        </w:rPr>
        <w:t>猛洞河产业园作为新调扩区，暂未修建工业污水处理厂，</w:t>
      </w:r>
      <w:r>
        <w:rPr>
          <w:rFonts w:hint="eastAsia"/>
          <w:color w:val="auto"/>
          <w:kern w:val="0"/>
          <w:lang w:eastAsia="zh-CN"/>
        </w:rPr>
        <w:t>园区内企事业污水</w:t>
      </w:r>
      <w:r>
        <w:rPr>
          <w:rFonts w:hint="eastAsia" w:ascii="宋体" w:hAnsi="宋体" w:eastAsia="宋体" w:cs="宋体"/>
          <w:color w:val="auto"/>
          <w:u w:val="none"/>
        </w:rPr>
        <w:t>仅经化粪池处理后</w:t>
      </w:r>
      <w:r>
        <w:rPr>
          <w:rFonts w:hint="eastAsia" w:ascii="宋体" w:hAnsi="宋体" w:eastAsia="宋体" w:cs="宋体"/>
          <w:color w:val="auto"/>
          <w:u w:val="none"/>
          <w:lang w:eastAsia="zh-CN"/>
        </w:rPr>
        <w:t>用于农灌。</w:t>
      </w:r>
      <w:r>
        <w:rPr>
          <w:rFonts w:hint="eastAsia"/>
          <w:color w:val="auto"/>
        </w:rPr>
        <w:t>因此急需对该</w:t>
      </w:r>
      <w:r>
        <w:rPr>
          <w:rFonts w:hint="eastAsia"/>
          <w:color w:val="auto"/>
          <w:lang w:eastAsia="zh-CN"/>
        </w:rPr>
        <w:t>园区</w:t>
      </w:r>
      <w:r>
        <w:rPr>
          <w:rFonts w:hint="eastAsia"/>
          <w:color w:val="auto"/>
        </w:rPr>
        <w:t>的排水系统进行统一规划，根据</w:t>
      </w:r>
      <w:r>
        <w:rPr>
          <w:rFonts w:hint="eastAsia"/>
          <w:color w:val="auto"/>
          <w:lang w:eastAsia="zh-CN"/>
        </w:rPr>
        <w:t>《</w:t>
      </w:r>
      <w:r>
        <w:rPr>
          <w:rFonts w:hint="eastAsia"/>
          <w:color w:val="auto"/>
        </w:rPr>
        <w:t>湖南永顺经济开发区调扩区环境影响报告书</w:t>
      </w:r>
      <w:r>
        <w:rPr>
          <w:rFonts w:hint="eastAsia"/>
          <w:color w:val="auto"/>
          <w:lang w:eastAsia="zh-CN"/>
        </w:rPr>
        <w:t>》</w:t>
      </w:r>
      <w:r>
        <w:rPr>
          <w:rFonts w:hint="eastAsia"/>
          <w:color w:val="auto"/>
        </w:rPr>
        <w:t>要求，</w:t>
      </w:r>
      <w:r>
        <w:rPr>
          <w:rFonts w:hint="eastAsia"/>
          <w:color w:val="auto"/>
          <w:lang w:eastAsia="zh-CN"/>
        </w:rPr>
        <w:t>规划</w:t>
      </w:r>
      <w:r>
        <w:rPr>
          <w:rFonts w:hint="eastAsia"/>
          <w:color w:val="auto"/>
        </w:rPr>
        <w:t>新建一座</w:t>
      </w:r>
      <w:r>
        <w:rPr>
          <w:rFonts w:hint="eastAsia"/>
          <w:color w:val="auto"/>
          <w:lang w:eastAsia="zh-CN"/>
        </w:rPr>
        <w:t>工业</w:t>
      </w:r>
      <w:r>
        <w:rPr>
          <w:rFonts w:hint="eastAsia"/>
          <w:color w:val="auto"/>
        </w:rPr>
        <w:t>型污水处理厂，</w:t>
      </w:r>
      <w:r>
        <w:rPr>
          <w:rFonts w:hint="eastAsia"/>
          <w:color w:val="auto"/>
          <w:lang w:eastAsia="zh-CN"/>
        </w:rPr>
        <w:t>初步选址</w:t>
      </w:r>
      <w:r>
        <w:rPr>
          <w:rFonts w:hint="eastAsia"/>
          <w:color w:val="auto"/>
        </w:rPr>
        <w:t>位于</w:t>
      </w:r>
      <w:r>
        <w:rPr>
          <w:rFonts w:hint="eastAsia"/>
          <w:color w:val="auto"/>
          <w:lang w:eastAsia="zh-CN"/>
        </w:rPr>
        <w:t>产业园东南角</w:t>
      </w:r>
      <w:r>
        <w:rPr>
          <w:rFonts w:hint="eastAsia"/>
          <w:color w:val="auto"/>
        </w:rPr>
        <w:t>，本项目与</w:t>
      </w:r>
      <w:r>
        <w:rPr>
          <w:rFonts w:hint="eastAsia"/>
          <w:color w:val="auto"/>
          <w:kern w:val="0"/>
          <w:lang w:eastAsia="zh-CN"/>
        </w:rPr>
        <w:t>永顺县</w:t>
      </w:r>
      <w:r>
        <w:rPr>
          <w:rFonts w:hint="eastAsia"/>
          <w:color w:val="auto"/>
          <w:kern w:val="0"/>
        </w:rPr>
        <w:t>经济开发区</w:t>
      </w:r>
      <w:r>
        <w:rPr>
          <w:rFonts w:hint="eastAsia"/>
          <w:color w:val="auto"/>
        </w:rPr>
        <w:t>总体规划</w:t>
      </w:r>
      <w:r>
        <w:rPr>
          <w:rFonts w:hint="eastAsia"/>
          <w:color w:val="auto"/>
          <w:lang w:eastAsia="zh-CN"/>
        </w:rPr>
        <w:t>（</w:t>
      </w:r>
      <w:r>
        <w:rPr>
          <w:rFonts w:hint="eastAsia"/>
          <w:color w:val="auto"/>
          <w:lang w:val="en-US" w:eastAsia="zh-CN"/>
        </w:rPr>
        <w:t>2015-2025</w:t>
      </w:r>
      <w:r>
        <w:rPr>
          <w:rFonts w:hint="eastAsia"/>
          <w:color w:val="auto"/>
          <w:lang w:eastAsia="zh-CN"/>
        </w:rPr>
        <w:t>）</w:t>
      </w:r>
      <w:r>
        <w:rPr>
          <w:rFonts w:hint="eastAsia"/>
          <w:color w:val="auto"/>
        </w:rPr>
        <w:t>相符</w:t>
      </w:r>
    </w:p>
    <w:p>
      <w:pPr>
        <w:ind w:firstLine="452"/>
        <w:rPr>
          <w:color w:val="auto"/>
          <w:spacing w:val="-7"/>
          <w:u w:val="none"/>
        </w:rPr>
      </w:pPr>
      <w:r>
        <w:rPr>
          <w:rFonts w:hint="eastAsia"/>
          <w:b/>
          <w:bCs/>
          <w:color w:val="auto"/>
          <w:lang w:val="en-US" w:eastAsia="zh-CN"/>
        </w:rPr>
        <w:t>2</w:t>
      </w:r>
      <w:r>
        <w:rPr>
          <w:rFonts w:hint="eastAsia"/>
          <w:b/>
          <w:bCs/>
          <w:color w:val="auto"/>
          <w:lang w:eastAsia="zh-CN"/>
        </w:rPr>
        <w:t>）</w:t>
      </w:r>
      <w:r>
        <w:rPr>
          <w:rFonts w:hint="eastAsia"/>
          <w:b/>
          <w:bCs/>
          <w:color w:val="auto"/>
          <w:spacing w:val="-7"/>
          <w:u w:val="none"/>
        </w:rPr>
        <w:t>土地利用规划符合性分析</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color w:val="auto"/>
          <w:u w:val="none"/>
        </w:rPr>
      </w:pPr>
      <w:r>
        <w:rPr>
          <w:rFonts w:hint="default" w:ascii="Times New Roman" w:hAnsi="Times New Roman" w:eastAsia="宋体" w:cs="Times New Roman"/>
          <w:color w:val="auto"/>
          <w:u w:val="none"/>
          <w:lang w:eastAsia="zh-CN"/>
        </w:rPr>
        <w:t>猛洞河产业园</w:t>
      </w:r>
      <w:r>
        <w:rPr>
          <w:rFonts w:hint="default" w:ascii="Times New Roman" w:hAnsi="Times New Roman" w:eastAsia="宋体" w:cs="Times New Roman"/>
          <w:color w:val="auto"/>
          <w:u w:val="none"/>
        </w:rPr>
        <w:t>为新增扩园区，规划总用地面积</w:t>
      </w:r>
      <w:r>
        <w:rPr>
          <w:rFonts w:hint="default" w:ascii="Times New Roman" w:hAnsi="Times New Roman" w:eastAsia="宋体" w:cs="Times New Roman"/>
          <w:color w:val="auto"/>
          <w:u w:val="none"/>
          <w:lang w:val="en-US" w:eastAsia="zh-CN"/>
        </w:rPr>
        <w:t>187</w:t>
      </w:r>
      <w:r>
        <w:rPr>
          <w:rFonts w:hint="default" w:ascii="Times New Roman" w:hAnsi="Times New Roman" w:eastAsia="宋体" w:cs="Times New Roman"/>
          <w:color w:val="auto"/>
          <w:u w:val="none"/>
        </w:rPr>
        <w:t>.</w:t>
      </w:r>
      <w:r>
        <w:rPr>
          <w:rFonts w:hint="default" w:ascii="Times New Roman" w:hAnsi="Times New Roman" w:eastAsia="宋体" w:cs="Times New Roman"/>
          <w:color w:val="auto"/>
          <w:u w:val="none"/>
          <w:lang w:val="en-US" w:eastAsia="zh-CN"/>
        </w:rPr>
        <w:t>83</w:t>
      </w:r>
      <w:r>
        <w:rPr>
          <w:rFonts w:hint="default" w:ascii="Times New Roman" w:hAnsi="Times New Roman" w:eastAsia="宋体" w:cs="Times New Roman"/>
          <w:color w:val="auto"/>
          <w:u w:val="none"/>
        </w:rPr>
        <w:t>公顷，根据现场调查，区内现状主要为山地农村环境，基础设施落后，目前，</w:t>
      </w:r>
      <w:r>
        <w:rPr>
          <w:rFonts w:hint="default" w:ascii="Times New Roman" w:hAnsi="Times New Roman" w:eastAsia="宋体" w:cs="Times New Roman"/>
          <w:color w:val="auto"/>
          <w:u w:val="none"/>
          <w:lang w:val="en-US" w:eastAsia="zh-CN"/>
        </w:rPr>
        <w:t>G</w:t>
      </w:r>
      <w:r>
        <w:rPr>
          <w:rFonts w:hint="default" w:ascii="Times New Roman" w:hAnsi="Times New Roman" w:eastAsia="宋体" w:cs="Times New Roman"/>
          <w:color w:val="auto"/>
          <w:u w:val="none"/>
        </w:rPr>
        <w:t>209</w:t>
      </w:r>
      <w:r>
        <w:rPr>
          <w:rFonts w:hint="default" w:ascii="Times New Roman" w:hAnsi="Times New Roman" w:eastAsia="宋体" w:cs="Times New Roman"/>
          <w:color w:val="auto"/>
          <w:u w:val="none"/>
          <w:lang w:eastAsia="zh-CN"/>
        </w:rPr>
        <w:t>国</w:t>
      </w:r>
      <w:r>
        <w:rPr>
          <w:rFonts w:hint="default" w:ascii="Times New Roman" w:hAnsi="Times New Roman" w:eastAsia="宋体" w:cs="Times New Roman"/>
          <w:color w:val="auto"/>
          <w:u w:val="none"/>
        </w:rPr>
        <w:t>道南北向穿越该区，片区内规划的永顺大道已基本完成路基施工，在园区的北部沿在建的永顺大道两侧已进行了土地平整，兴建或在建了部分安置房、公租房等房</w:t>
      </w:r>
      <w:r>
        <w:rPr>
          <w:rFonts w:hint="eastAsia" w:ascii="宋体" w:hAnsi="宋体" w:eastAsia="宋体" w:cs="宋体"/>
          <w:color w:val="auto"/>
          <w:u w:val="none"/>
        </w:rPr>
        <w:t>地产和公立医院；在园区的中部引进了亚湘电子、山水牛郎寨食品、吊角楼食品、永发鞋业、鑫新鞋业、荣耀灯饰、明强建材、兴城建材、泰丰建材、楷瑞钢化玻璃、洪飞纸厂</w:t>
      </w:r>
      <w:r>
        <w:rPr>
          <w:rFonts w:hint="eastAsia" w:cs="宋体"/>
          <w:color w:val="auto"/>
          <w:u w:val="none"/>
          <w:lang w:eastAsia="zh-CN"/>
        </w:rPr>
        <w:t>这</w:t>
      </w:r>
      <w:r>
        <w:rPr>
          <w:rFonts w:hint="eastAsia" w:ascii="宋体" w:hAnsi="宋体" w:eastAsia="宋体" w:cs="宋体"/>
          <w:color w:val="auto"/>
          <w:u w:val="none"/>
        </w:rPr>
        <w:t>1</w:t>
      </w:r>
      <w:r>
        <w:rPr>
          <w:rFonts w:hint="eastAsia" w:ascii="宋体" w:hAnsi="宋体" w:eastAsia="宋体" w:cs="宋体"/>
          <w:color w:val="auto"/>
          <w:u w:val="none"/>
          <w:lang w:val="en-US" w:eastAsia="zh-CN"/>
        </w:rPr>
        <w:t>1</w:t>
      </w:r>
      <w:r>
        <w:rPr>
          <w:rFonts w:hint="eastAsia" w:ascii="宋体" w:hAnsi="宋体" w:eastAsia="宋体" w:cs="宋体"/>
          <w:color w:val="auto"/>
          <w:u w:val="none"/>
        </w:rPr>
        <w:t>家企业。</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u w:val="none"/>
        </w:rPr>
      </w:pPr>
      <w:r>
        <w:rPr>
          <w:rFonts w:hint="eastAsia" w:ascii="宋体" w:hAnsi="宋体" w:eastAsia="宋体" w:cs="宋体"/>
          <w:color w:val="auto"/>
          <w:u w:val="none"/>
        </w:rPr>
        <w:t>内交通干线已完成永顺大道路基施工，其他基础设施正在规划和筹备之中。调扩区控制性详细规划正在编制中，国土、基本农田、林业等相关手续正在审核办理中</w:t>
      </w:r>
      <w:r>
        <w:rPr>
          <w:rFonts w:hint="eastAsia" w:cs="宋体"/>
          <w:color w:val="auto"/>
          <w:u w:val="none"/>
          <w:lang w:eastAsia="zh-CN"/>
        </w:rPr>
        <w:t>，《湖南永顺经济开发区总体</w:t>
      </w:r>
      <w:r>
        <w:rPr>
          <w:rFonts w:hint="default" w:ascii="Times New Roman" w:hAnsi="Times New Roman" w:cs="Times New Roman"/>
          <w:color w:val="auto"/>
          <w:u w:val="none"/>
          <w:lang w:eastAsia="zh-CN"/>
        </w:rPr>
        <w:t>规划（</w:t>
      </w:r>
      <w:r>
        <w:rPr>
          <w:rFonts w:hint="default" w:ascii="Times New Roman" w:hAnsi="Times New Roman" w:cs="Times New Roman"/>
          <w:color w:val="auto"/>
          <w:u w:val="none"/>
          <w:lang w:val="en-US" w:eastAsia="zh-CN"/>
        </w:rPr>
        <w:t>2015-2025</w:t>
      </w:r>
      <w:r>
        <w:rPr>
          <w:rFonts w:hint="default" w:ascii="Times New Roman" w:hAnsi="Times New Roman" w:cs="Times New Roman"/>
          <w:color w:val="auto"/>
          <w:u w:val="none"/>
          <w:lang w:eastAsia="zh-CN"/>
        </w:rPr>
        <w:t>）——</w:t>
      </w:r>
      <w:r>
        <w:rPr>
          <w:rFonts w:hint="eastAsia"/>
          <w:color w:val="auto"/>
          <w:u w:val="none"/>
        </w:rPr>
        <w:t>土地利用规划图</w:t>
      </w:r>
      <w:r>
        <w:rPr>
          <w:rFonts w:hint="eastAsia" w:cs="宋体"/>
          <w:color w:val="auto"/>
          <w:u w:val="none"/>
          <w:lang w:eastAsia="zh-CN"/>
        </w:rPr>
        <w:t>》</w:t>
      </w:r>
      <w:r>
        <w:rPr>
          <w:rFonts w:hint="eastAsia"/>
          <w:color w:val="auto"/>
          <w:u w:val="none"/>
          <w:lang w:eastAsia="zh-CN"/>
        </w:rPr>
        <w:t>详见</w:t>
      </w:r>
      <w:r>
        <w:rPr>
          <w:rFonts w:hint="eastAsia"/>
          <w:color w:val="auto"/>
          <w:u w:val="none"/>
        </w:rPr>
        <w:t>附</w:t>
      </w:r>
      <w:r>
        <w:rPr>
          <w:rFonts w:hint="default" w:ascii="Times New Roman" w:hAnsi="Times New Roman" w:cs="Times New Roman"/>
          <w:color w:val="auto"/>
          <w:u w:val="none"/>
        </w:rPr>
        <w:t>图</w:t>
      </w:r>
      <w:r>
        <w:rPr>
          <w:rFonts w:hint="eastAsia" w:ascii="Times New Roman" w:hAnsi="Times New Roman" w:cs="Times New Roman"/>
          <w:color w:val="auto"/>
          <w:u w:val="none"/>
          <w:lang w:val="en-US" w:eastAsia="zh-CN"/>
        </w:rPr>
        <w:t>11</w:t>
      </w:r>
      <w:r>
        <w:rPr>
          <w:rFonts w:hint="eastAsia" w:ascii="宋体" w:hAnsi="宋体" w:eastAsia="宋体" w:cs="宋体"/>
          <w:color w:val="auto"/>
          <w:u w:val="none"/>
        </w:rPr>
        <w:t>。</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u w:val="none"/>
        </w:rPr>
      </w:pPr>
      <w:r>
        <w:rPr>
          <w:rFonts w:hint="eastAsia" w:ascii="宋体" w:hAnsi="宋体" w:eastAsia="宋体" w:cs="宋体"/>
          <w:color w:val="auto"/>
          <w:u w:val="none"/>
        </w:rPr>
        <w:t>开发</w:t>
      </w:r>
      <w:r>
        <w:rPr>
          <w:rFonts w:hint="default" w:ascii="Times New Roman" w:hAnsi="Times New Roman" w:eastAsia="宋体" w:cs="Times New Roman"/>
          <w:color w:val="auto"/>
          <w:u w:val="none"/>
        </w:rPr>
        <w:t>区调扩区土地利用现状见表</w:t>
      </w:r>
      <w:r>
        <w:rPr>
          <w:rFonts w:hint="eastAsia" w:ascii="Times New Roman" w:hAnsi="Times New Roman" w:cs="Times New Roman"/>
          <w:color w:val="auto"/>
          <w:u w:val="none"/>
          <w:lang w:val="en-US" w:eastAsia="zh-CN"/>
        </w:rPr>
        <w:t>3-3</w:t>
      </w:r>
      <w:r>
        <w:rPr>
          <w:rFonts w:hint="default" w:ascii="Times New Roman" w:hAnsi="Times New Roman" w:eastAsia="宋体" w:cs="Times New Roman"/>
          <w:color w:val="auto"/>
          <w:u w:val="none"/>
        </w:rPr>
        <w:t>，已开发用地类别占规划用地类别比例情况见表</w:t>
      </w:r>
      <w:r>
        <w:rPr>
          <w:rFonts w:hint="eastAsia" w:ascii="Times New Roman" w:hAnsi="Times New Roman" w:cs="Times New Roman"/>
          <w:color w:val="auto"/>
          <w:u w:val="none"/>
          <w:lang w:val="en-US" w:eastAsia="zh-CN"/>
        </w:rPr>
        <w:t>3-4</w:t>
      </w:r>
      <w:r>
        <w:rPr>
          <w:rFonts w:hint="default" w:ascii="Times New Roman" w:hAnsi="Times New Roman" w:eastAsia="宋体" w:cs="Times New Roman"/>
          <w:color w:val="auto"/>
          <w:u w:val="none"/>
        </w:rPr>
        <w:t>。</w:t>
      </w:r>
    </w:p>
    <w:p>
      <w:pPr>
        <w:jc w:val="center"/>
        <w:rPr>
          <w:rFonts w:hint="eastAsia" w:ascii="宋体" w:hAnsi="宋体" w:eastAsia="宋体" w:cs="宋体"/>
          <w:b/>
          <w:bCs/>
          <w:color w:val="auto"/>
          <w:szCs w:val="24"/>
          <w:u w:val="none"/>
        </w:rPr>
      </w:pPr>
      <w:r>
        <w:rPr>
          <w:rFonts w:hint="eastAsia" w:ascii="宋体" w:hAnsi="宋体" w:eastAsia="宋体" w:cs="宋体"/>
          <w:b/>
          <w:bCs/>
          <w:color w:val="auto"/>
          <w:szCs w:val="24"/>
          <w:u w:val="none"/>
          <w:lang w:val="en-US" w:eastAsia="zh-CN"/>
        </w:rPr>
        <w:t>3-3</w:t>
      </w:r>
      <w:r>
        <w:rPr>
          <w:rFonts w:hint="eastAsia" w:ascii="宋体" w:hAnsi="宋体" w:eastAsia="宋体" w:cs="宋体"/>
          <w:b/>
          <w:bCs/>
          <w:color w:val="auto"/>
          <w:szCs w:val="24"/>
          <w:u w:val="none"/>
        </w:rPr>
        <w:t xml:space="preserve">  开发区调扩区土地利用现状表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4"/>
        <w:gridCol w:w="708"/>
        <w:gridCol w:w="1545"/>
        <w:gridCol w:w="1050"/>
        <w:gridCol w:w="900"/>
        <w:gridCol w:w="1020"/>
        <w:gridCol w:w="900"/>
        <w:gridCol w:w="964"/>
        <w:gridCol w:w="9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3" w:hRule="atLeast"/>
        </w:trPr>
        <w:tc>
          <w:tcPr>
            <w:tcW w:w="534" w:type="dxa"/>
            <w:vMerge w:val="restart"/>
            <w:noWrap w:val="0"/>
            <w:vAlign w:val="center"/>
          </w:tcPr>
          <w:p>
            <w:pPr>
              <w:pStyle w:val="113"/>
              <w:bidi w:val="0"/>
              <w:rPr>
                <w:rFonts w:hint="eastAsia"/>
                <w:color w:val="auto"/>
              </w:rPr>
            </w:pPr>
            <w:r>
              <w:rPr>
                <w:rFonts w:hint="eastAsia"/>
                <w:color w:val="auto"/>
              </w:rPr>
              <w:t>序号</w:t>
            </w:r>
          </w:p>
        </w:tc>
        <w:tc>
          <w:tcPr>
            <w:tcW w:w="708" w:type="dxa"/>
            <w:vMerge w:val="restart"/>
            <w:noWrap w:val="0"/>
            <w:vAlign w:val="center"/>
          </w:tcPr>
          <w:p>
            <w:pPr>
              <w:pStyle w:val="113"/>
              <w:bidi w:val="0"/>
              <w:rPr>
                <w:rFonts w:hint="eastAsia"/>
                <w:color w:val="auto"/>
              </w:rPr>
            </w:pPr>
            <w:r>
              <w:rPr>
                <w:rFonts w:hint="eastAsia"/>
                <w:color w:val="auto"/>
              </w:rPr>
              <w:t>用地代号</w:t>
            </w:r>
          </w:p>
        </w:tc>
        <w:tc>
          <w:tcPr>
            <w:tcW w:w="1545" w:type="dxa"/>
            <w:vMerge w:val="restart"/>
            <w:noWrap w:val="0"/>
            <w:vAlign w:val="center"/>
          </w:tcPr>
          <w:p>
            <w:pPr>
              <w:pStyle w:val="113"/>
              <w:bidi w:val="0"/>
              <w:rPr>
                <w:rFonts w:hint="eastAsia"/>
                <w:color w:val="auto"/>
              </w:rPr>
            </w:pPr>
            <w:r>
              <w:rPr>
                <w:rFonts w:hint="eastAsia"/>
                <w:color w:val="auto"/>
              </w:rPr>
              <w:t>用地名称</w:t>
            </w:r>
          </w:p>
        </w:tc>
        <w:tc>
          <w:tcPr>
            <w:tcW w:w="1950" w:type="dxa"/>
            <w:gridSpan w:val="2"/>
            <w:noWrap w:val="0"/>
            <w:vAlign w:val="center"/>
          </w:tcPr>
          <w:p>
            <w:pPr>
              <w:pStyle w:val="113"/>
              <w:bidi w:val="0"/>
              <w:rPr>
                <w:rFonts w:hint="eastAsia"/>
                <w:color w:val="auto"/>
              </w:rPr>
            </w:pPr>
            <w:r>
              <w:rPr>
                <w:rFonts w:hint="eastAsia"/>
                <w:color w:val="auto"/>
              </w:rPr>
              <w:t>芙蓉镇产业园</w:t>
            </w:r>
          </w:p>
        </w:tc>
        <w:tc>
          <w:tcPr>
            <w:tcW w:w="1920" w:type="dxa"/>
            <w:gridSpan w:val="2"/>
            <w:noWrap w:val="0"/>
            <w:vAlign w:val="center"/>
          </w:tcPr>
          <w:p>
            <w:pPr>
              <w:pStyle w:val="113"/>
              <w:bidi w:val="0"/>
              <w:rPr>
                <w:rFonts w:hint="eastAsia"/>
                <w:color w:val="auto"/>
              </w:rPr>
            </w:pPr>
            <w:r>
              <w:rPr>
                <w:rFonts w:hint="eastAsia"/>
                <w:color w:val="auto"/>
              </w:rPr>
              <w:t>猛洞河产业园</w:t>
            </w:r>
          </w:p>
        </w:tc>
        <w:tc>
          <w:tcPr>
            <w:tcW w:w="1865" w:type="dxa"/>
            <w:gridSpan w:val="2"/>
            <w:noWrap w:val="0"/>
            <w:vAlign w:val="center"/>
          </w:tcPr>
          <w:p>
            <w:pPr>
              <w:pStyle w:val="113"/>
              <w:bidi w:val="0"/>
              <w:rPr>
                <w:rFonts w:hint="eastAsia"/>
                <w:color w:val="auto"/>
              </w:rPr>
            </w:pPr>
            <w:r>
              <w:rPr>
                <w:rFonts w:hint="eastAsia"/>
                <w:color w:val="auto"/>
              </w:rPr>
              <w:t>总用地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6" w:hRule="atLeast"/>
        </w:trPr>
        <w:tc>
          <w:tcPr>
            <w:tcW w:w="534" w:type="dxa"/>
            <w:vMerge w:val="continue"/>
            <w:noWrap w:val="0"/>
            <w:vAlign w:val="center"/>
          </w:tcPr>
          <w:p>
            <w:pPr>
              <w:pStyle w:val="113"/>
              <w:bidi w:val="0"/>
              <w:rPr>
                <w:rFonts w:hint="eastAsia"/>
                <w:color w:val="auto"/>
              </w:rPr>
            </w:pPr>
          </w:p>
        </w:tc>
        <w:tc>
          <w:tcPr>
            <w:tcW w:w="708" w:type="dxa"/>
            <w:vMerge w:val="continue"/>
            <w:noWrap w:val="0"/>
            <w:vAlign w:val="center"/>
          </w:tcPr>
          <w:p>
            <w:pPr>
              <w:pStyle w:val="113"/>
              <w:bidi w:val="0"/>
              <w:rPr>
                <w:rFonts w:hint="eastAsia"/>
                <w:color w:val="auto"/>
              </w:rPr>
            </w:pPr>
          </w:p>
        </w:tc>
        <w:tc>
          <w:tcPr>
            <w:tcW w:w="1545" w:type="dxa"/>
            <w:vMerge w:val="continue"/>
            <w:noWrap w:val="0"/>
            <w:vAlign w:val="center"/>
          </w:tcPr>
          <w:p>
            <w:pPr>
              <w:pStyle w:val="113"/>
              <w:bidi w:val="0"/>
              <w:rPr>
                <w:rFonts w:hint="eastAsia"/>
                <w:color w:val="auto"/>
              </w:rPr>
            </w:pPr>
          </w:p>
        </w:tc>
        <w:tc>
          <w:tcPr>
            <w:tcW w:w="1050" w:type="dxa"/>
            <w:noWrap w:val="0"/>
            <w:vAlign w:val="center"/>
          </w:tcPr>
          <w:p>
            <w:pPr>
              <w:pStyle w:val="113"/>
              <w:bidi w:val="0"/>
              <w:rPr>
                <w:rFonts w:hint="eastAsia"/>
                <w:color w:val="auto"/>
              </w:rPr>
            </w:pPr>
            <w:r>
              <w:rPr>
                <w:rFonts w:hint="eastAsia"/>
                <w:color w:val="auto"/>
              </w:rPr>
              <w:t>面积（ha）</w:t>
            </w:r>
          </w:p>
        </w:tc>
        <w:tc>
          <w:tcPr>
            <w:tcW w:w="900" w:type="dxa"/>
            <w:noWrap w:val="0"/>
            <w:vAlign w:val="center"/>
          </w:tcPr>
          <w:p>
            <w:pPr>
              <w:pStyle w:val="113"/>
              <w:bidi w:val="0"/>
              <w:rPr>
                <w:rFonts w:hint="eastAsia"/>
                <w:color w:val="auto"/>
              </w:rPr>
            </w:pPr>
            <w:r>
              <w:rPr>
                <w:rFonts w:hint="eastAsia"/>
                <w:color w:val="auto"/>
              </w:rPr>
              <w:t>比例（%）</w:t>
            </w:r>
          </w:p>
        </w:tc>
        <w:tc>
          <w:tcPr>
            <w:tcW w:w="1020" w:type="dxa"/>
            <w:noWrap w:val="0"/>
            <w:vAlign w:val="center"/>
          </w:tcPr>
          <w:p>
            <w:pPr>
              <w:pStyle w:val="113"/>
              <w:bidi w:val="0"/>
              <w:rPr>
                <w:rFonts w:hint="eastAsia"/>
                <w:color w:val="auto"/>
              </w:rPr>
            </w:pPr>
            <w:r>
              <w:rPr>
                <w:rFonts w:hint="eastAsia"/>
                <w:color w:val="auto"/>
              </w:rPr>
              <w:t>面积（ha）</w:t>
            </w:r>
          </w:p>
        </w:tc>
        <w:tc>
          <w:tcPr>
            <w:tcW w:w="900" w:type="dxa"/>
            <w:noWrap w:val="0"/>
            <w:vAlign w:val="center"/>
          </w:tcPr>
          <w:p>
            <w:pPr>
              <w:pStyle w:val="113"/>
              <w:bidi w:val="0"/>
              <w:rPr>
                <w:rFonts w:hint="eastAsia"/>
                <w:color w:val="auto"/>
              </w:rPr>
            </w:pPr>
            <w:r>
              <w:rPr>
                <w:rFonts w:hint="eastAsia"/>
                <w:color w:val="auto"/>
              </w:rPr>
              <w:t>比例（%）</w:t>
            </w:r>
          </w:p>
        </w:tc>
        <w:tc>
          <w:tcPr>
            <w:tcW w:w="964" w:type="dxa"/>
            <w:noWrap w:val="0"/>
            <w:vAlign w:val="center"/>
          </w:tcPr>
          <w:p>
            <w:pPr>
              <w:pStyle w:val="113"/>
              <w:bidi w:val="0"/>
              <w:rPr>
                <w:rFonts w:hint="eastAsia"/>
                <w:color w:val="auto"/>
              </w:rPr>
            </w:pPr>
            <w:r>
              <w:rPr>
                <w:rFonts w:hint="eastAsia"/>
                <w:color w:val="auto"/>
              </w:rPr>
              <w:t>面积（ha）</w:t>
            </w:r>
          </w:p>
        </w:tc>
        <w:tc>
          <w:tcPr>
            <w:tcW w:w="901" w:type="dxa"/>
            <w:noWrap w:val="0"/>
            <w:vAlign w:val="center"/>
          </w:tcPr>
          <w:p>
            <w:pPr>
              <w:pStyle w:val="113"/>
              <w:bidi w:val="0"/>
              <w:rPr>
                <w:rFonts w:hint="eastAsia"/>
                <w:color w:val="auto"/>
              </w:rPr>
            </w:pPr>
            <w:r>
              <w:rPr>
                <w:rFonts w:hint="eastAsia"/>
                <w:color w:val="auto"/>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4" w:type="dxa"/>
            <w:noWrap w:val="0"/>
            <w:vAlign w:val="center"/>
          </w:tcPr>
          <w:p>
            <w:pPr>
              <w:pStyle w:val="113"/>
              <w:bidi w:val="0"/>
              <w:rPr>
                <w:rFonts w:hint="eastAsia"/>
                <w:color w:val="auto"/>
              </w:rPr>
            </w:pPr>
            <w:r>
              <w:rPr>
                <w:rFonts w:hint="eastAsia"/>
                <w:color w:val="auto"/>
              </w:rPr>
              <w:t>一</w:t>
            </w:r>
          </w:p>
        </w:tc>
        <w:tc>
          <w:tcPr>
            <w:tcW w:w="708" w:type="dxa"/>
            <w:noWrap w:val="0"/>
            <w:vAlign w:val="center"/>
          </w:tcPr>
          <w:p>
            <w:pPr>
              <w:pStyle w:val="113"/>
              <w:bidi w:val="0"/>
              <w:rPr>
                <w:rFonts w:hint="eastAsia"/>
                <w:color w:val="auto"/>
              </w:rPr>
            </w:pPr>
            <w:r>
              <w:rPr>
                <w:rFonts w:hint="eastAsia"/>
                <w:color w:val="auto"/>
              </w:rPr>
              <w:t>H11</w:t>
            </w:r>
          </w:p>
        </w:tc>
        <w:tc>
          <w:tcPr>
            <w:tcW w:w="1545" w:type="dxa"/>
            <w:noWrap w:val="0"/>
            <w:vAlign w:val="center"/>
          </w:tcPr>
          <w:p>
            <w:pPr>
              <w:pStyle w:val="113"/>
              <w:bidi w:val="0"/>
              <w:rPr>
                <w:rFonts w:hint="eastAsia"/>
                <w:color w:val="auto"/>
              </w:rPr>
            </w:pPr>
            <w:r>
              <w:rPr>
                <w:rFonts w:hint="eastAsia"/>
                <w:color w:val="auto"/>
              </w:rPr>
              <w:t>城市建设用地</w:t>
            </w:r>
          </w:p>
        </w:tc>
        <w:tc>
          <w:tcPr>
            <w:tcW w:w="1050" w:type="dxa"/>
            <w:noWrap w:val="0"/>
            <w:vAlign w:val="center"/>
          </w:tcPr>
          <w:p>
            <w:pPr>
              <w:pStyle w:val="113"/>
              <w:bidi w:val="0"/>
              <w:rPr>
                <w:rFonts w:hint="eastAsia"/>
                <w:color w:val="auto"/>
                <w:lang w:val="en-US" w:eastAsia="zh-CN"/>
              </w:rPr>
            </w:pPr>
            <w:r>
              <w:rPr>
                <w:rFonts w:hint="eastAsia"/>
                <w:color w:val="auto"/>
                <w:lang w:val="en-US" w:eastAsia="zh-CN"/>
              </w:rPr>
              <w:t>107.53</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48.76</w:t>
            </w:r>
          </w:p>
        </w:tc>
        <w:tc>
          <w:tcPr>
            <w:tcW w:w="1020" w:type="dxa"/>
            <w:noWrap w:val="0"/>
            <w:vAlign w:val="center"/>
          </w:tcPr>
          <w:p>
            <w:pPr>
              <w:pStyle w:val="113"/>
              <w:bidi w:val="0"/>
              <w:rPr>
                <w:rFonts w:hint="eastAsia"/>
                <w:color w:val="auto"/>
              </w:rPr>
            </w:pPr>
            <w:r>
              <w:rPr>
                <w:rFonts w:hint="eastAsia"/>
                <w:color w:val="auto"/>
              </w:rPr>
              <w:t>81.94</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43.62</w:t>
            </w:r>
          </w:p>
        </w:tc>
        <w:tc>
          <w:tcPr>
            <w:tcW w:w="964" w:type="dxa"/>
            <w:noWrap w:val="0"/>
            <w:vAlign w:val="center"/>
          </w:tcPr>
          <w:p>
            <w:pPr>
              <w:pStyle w:val="113"/>
              <w:bidi w:val="0"/>
              <w:rPr>
                <w:rFonts w:hint="eastAsia"/>
                <w:color w:val="auto"/>
                <w:lang w:val="en-US" w:eastAsia="zh-CN"/>
              </w:rPr>
            </w:pPr>
            <w:r>
              <w:rPr>
                <w:rFonts w:hint="eastAsia"/>
                <w:color w:val="auto"/>
                <w:lang w:val="en-US" w:eastAsia="zh-CN"/>
              </w:rPr>
              <w:t>189.47</w:t>
            </w:r>
          </w:p>
        </w:tc>
        <w:tc>
          <w:tcPr>
            <w:tcW w:w="901" w:type="dxa"/>
            <w:noWrap w:val="0"/>
            <w:vAlign w:val="center"/>
          </w:tcPr>
          <w:p>
            <w:pPr>
              <w:pStyle w:val="113"/>
              <w:bidi w:val="0"/>
              <w:rPr>
                <w:rFonts w:hint="eastAsia"/>
                <w:color w:val="auto"/>
                <w:lang w:val="en-US" w:eastAsia="zh-CN"/>
              </w:rPr>
            </w:pPr>
            <w:r>
              <w:rPr>
                <w:rFonts w:hint="eastAsia"/>
                <w:color w:val="auto"/>
                <w:lang w:val="en-US" w:eastAsia="zh-CN"/>
              </w:rPr>
              <w:t>46.40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4" w:type="dxa"/>
            <w:noWrap w:val="0"/>
            <w:vAlign w:val="center"/>
          </w:tcPr>
          <w:p>
            <w:pPr>
              <w:pStyle w:val="113"/>
              <w:bidi w:val="0"/>
              <w:rPr>
                <w:rFonts w:hint="eastAsia"/>
                <w:color w:val="auto"/>
              </w:rPr>
            </w:pPr>
            <w:r>
              <w:rPr>
                <w:rFonts w:hint="eastAsia"/>
                <w:color w:val="auto"/>
              </w:rPr>
              <w:t>1</w:t>
            </w:r>
          </w:p>
        </w:tc>
        <w:tc>
          <w:tcPr>
            <w:tcW w:w="708" w:type="dxa"/>
            <w:noWrap w:val="0"/>
            <w:vAlign w:val="center"/>
          </w:tcPr>
          <w:p>
            <w:pPr>
              <w:pStyle w:val="113"/>
              <w:bidi w:val="0"/>
              <w:rPr>
                <w:rFonts w:hint="eastAsia"/>
                <w:color w:val="auto"/>
              </w:rPr>
            </w:pPr>
            <w:r>
              <w:rPr>
                <w:rFonts w:hint="eastAsia"/>
                <w:color w:val="auto"/>
              </w:rPr>
              <w:t>R</w:t>
            </w:r>
          </w:p>
        </w:tc>
        <w:tc>
          <w:tcPr>
            <w:tcW w:w="1545" w:type="dxa"/>
            <w:noWrap w:val="0"/>
            <w:vAlign w:val="center"/>
          </w:tcPr>
          <w:p>
            <w:pPr>
              <w:pStyle w:val="113"/>
              <w:bidi w:val="0"/>
              <w:rPr>
                <w:rFonts w:hint="eastAsia"/>
                <w:color w:val="auto"/>
              </w:rPr>
            </w:pPr>
            <w:r>
              <w:rPr>
                <w:rFonts w:hint="eastAsia"/>
                <w:color w:val="auto"/>
              </w:rPr>
              <w:t>居住与商业用地</w:t>
            </w:r>
          </w:p>
        </w:tc>
        <w:tc>
          <w:tcPr>
            <w:tcW w:w="1050" w:type="dxa"/>
            <w:noWrap w:val="0"/>
            <w:vAlign w:val="center"/>
          </w:tcPr>
          <w:p>
            <w:pPr>
              <w:pStyle w:val="113"/>
              <w:bidi w:val="0"/>
              <w:rPr>
                <w:rFonts w:hint="eastAsia"/>
                <w:color w:val="auto"/>
              </w:rPr>
            </w:pPr>
            <w:r>
              <w:rPr>
                <w:rFonts w:hint="eastAsia"/>
                <w:color w:val="auto"/>
              </w:rPr>
              <w:t>1</w:t>
            </w:r>
            <w:r>
              <w:rPr>
                <w:rFonts w:hint="eastAsia"/>
                <w:color w:val="auto"/>
                <w:lang w:val="en-US" w:eastAsia="zh-CN"/>
              </w:rPr>
              <w:t>0.0</w:t>
            </w:r>
            <w:r>
              <w:rPr>
                <w:rFonts w:hint="eastAsia"/>
                <w:color w:val="auto"/>
              </w:rPr>
              <w:t>4</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4.55</w:t>
            </w:r>
          </w:p>
        </w:tc>
        <w:tc>
          <w:tcPr>
            <w:tcW w:w="1020" w:type="dxa"/>
            <w:noWrap w:val="0"/>
            <w:vAlign w:val="center"/>
          </w:tcPr>
          <w:p>
            <w:pPr>
              <w:pStyle w:val="113"/>
              <w:bidi w:val="0"/>
              <w:rPr>
                <w:rFonts w:hint="eastAsia"/>
                <w:color w:val="auto"/>
              </w:rPr>
            </w:pPr>
            <w:r>
              <w:rPr>
                <w:rFonts w:hint="eastAsia"/>
                <w:color w:val="auto"/>
              </w:rPr>
              <w:t>16.66</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8.87</w:t>
            </w:r>
          </w:p>
        </w:tc>
        <w:tc>
          <w:tcPr>
            <w:tcW w:w="964" w:type="dxa"/>
            <w:noWrap w:val="0"/>
            <w:vAlign w:val="center"/>
          </w:tcPr>
          <w:p>
            <w:pPr>
              <w:pStyle w:val="113"/>
              <w:bidi w:val="0"/>
              <w:rPr>
                <w:rFonts w:hint="eastAsia"/>
                <w:color w:val="auto"/>
                <w:lang w:val="en-US" w:eastAsia="zh-CN"/>
              </w:rPr>
            </w:pPr>
            <w:r>
              <w:rPr>
                <w:rFonts w:hint="eastAsia"/>
                <w:color w:val="auto"/>
                <w:lang w:val="en-US" w:eastAsia="zh-CN"/>
              </w:rPr>
              <w:t>26.70</w:t>
            </w:r>
          </w:p>
        </w:tc>
        <w:tc>
          <w:tcPr>
            <w:tcW w:w="901" w:type="dxa"/>
            <w:noWrap w:val="0"/>
            <w:vAlign w:val="center"/>
          </w:tcPr>
          <w:p>
            <w:pPr>
              <w:pStyle w:val="113"/>
              <w:bidi w:val="0"/>
              <w:rPr>
                <w:rFonts w:hint="eastAsia"/>
                <w:color w:val="auto"/>
                <w:lang w:val="en-US" w:eastAsia="zh-CN"/>
              </w:rPr>
            </w:pPr>
            <w:r>
              <w:rPr>
                <w:rFonts w:hint="eastAsia"/>
                <w:color w:val="auto"/>
                <w:lang w:val="en-US" w:eastAsia="zh-CN"/>
              </w:rPr>
              <w:t>6.54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4" w:type="dxa"/>
            <w:noWrap w:val="0"/>
            <w:vAlign w:val="center"/>
          </w:tcPr>
          <w:p>
            <w:pPr>
              <w:pStyle w:val="113"/>
              <w:bidi w:val="0"/>
              <w:rPr>
                <w:rFonts w:hint="eastAsia"/>
                <w:color w:val="auto"/>
              </w:rPr>
            </w:pPr>
            <w:r>
              <w:rPr>
                <w:rFonts w:hint="eastAsia"/>
                <w:color w:val="auto"/>
              </w:rPr>
              <w:t>2</w:t>
            </w:r>
          </w:p>
        </w:tc>
        <w:tc>
          <w:tcPr>
            <w:tcW w:w="708" w:type="dxa"/>
            <w:noWrap w:val="0"/>
            <w:vAlign w:val="center"/>
          </w:tcPr>
          <w:p>
            <w:pPr>
              <w:pStyle w:val="113"/>
              <w:bidi w:val="0"/>
              <w:rPr>
                <w:rFonts w:hint="eastAsia"/>
                <w:color w:val="auto"/>
              </w:rPr>
            </w:pPr>
            <w:r>
              <w:rPr>
                <w:rFonts w:hint="eastAsia"/>
                <w:color w:val="auto"/>
              </w:rPr>
              <w:t>M</w:t>
            </w:r>
          </w:p>
        </w:tc>
        <w:tc>
          <w:tcPr>
            <w:tcW w:w="1545" w:type="dxa"/>
            <w:noWrap w:val="0"/>
            <w:vAlign w:val="center"/>
          </w:tcPr>
          <w:p>
            <w:pPr>
              <w:pStyle w:val="113"/>
              <w:bidi w:val="0"/>
              <w:rPr>
                <w:rFonts w:hint="eastAsia"/>
                <w:color w:val="auto"/>
              </w:rPr>
            </w:pPr>
            <w:r>
              <w:rPr>
                <w:rFonts w:hint="eastAsia"/>
                <w:color w:val="auto"/>
              </w:rPr>
              <w:t>工业与仓储用地</w:t>
            </w:r>
          </w:p>
        </w:tc>
        <w:tc>
          <w:tcPr>
            <w:tcW w:w="1050" w:type="dxa"/>
            <w:noWrap w:val="0"/>
            <w:vAlign w:val="center"/>
          </w:tcPr>
          <w:p>
            <w:pPr>
              <w:pStyle w:val="113"/>
              <w:bidi w:val="0"/>
              <w:rPr>
                <w:rFonts w:hint="eastAsia"/>
                <w:color w:val="auto"/>
              </w:rPr>
            </w:pPr>
            <w:r>
              <w:rPr>
                <w:rFonts w:hint="eastAsia"/>
                <w:color w:val="auto"/>
              </w:rPr>
              <w:t>75.27</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34.13</w:t>
            </w:r>
          </w:p>
        </w:tc>
        <w:tc>
          <w:tcPr>
            <w:tcW w:w="1020" w:type="dxa"/>
            <w:noWrap w:val="0"/>
            <w:vAlign w:val="center"/>
          </w:tcPr>
          <w:p>
            <w:pPr>
              <w:pStyle w:val="113"/>
              <w:bidi w:val="0"/>
              <w:rPr>
                <w:rFonts w:hint="eastAsia"/>
                <w:color w:val="auto"/>
              </w:rPr>
            </w:pPr>
            <w:r>
              <w:rPr>
                <w:rFonts w:hint="eastAsia"/>
                <w:color w:val="auto"/>
              </w:rPr>
              <w:t>55.27</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29.43</w:t>
            </w:r>
          </w:p>
        </w:tc>
        <w:tc>
          <w:tcPr>
            <w:tcW w:w="964" w:type="dxa"/>
            <w:noWrap w:val="0"/>
            <w:vAlign w:val="center"/>
          </w:tcPr>
          <w:p>
            <w:pPr>
              <w:pStyle w:val="113"/>
              <w:bidi w:val="0"/>
              <w:rPr>
                <w:rFonts w:hint="eastAsia"/>
                <w:color w:val="auto"/>
              </w:rPr>
            </w:pPr>
            <w:r>
              <w:rPr>
                <w:rFonts w:hint="eastAsia"/>
                <w:color w:val="auto"/>
              </w:rPr>
              <w:t>130.54</w:t>
            </w:r>
          </w:p>
        </w:tc>
        <w:tc>
          <w:tcPr>
            <w:tcW w:w="901" w:type="dxa"/>
            <w:noWrap w:val="0"/>
            <w:vAlign w:val="center"/>
          </w:tcPr>
          <w:p>
            <w:pPr>
              <w:pStyle w:val="113"/>
              <w:bidi w:val="0"/>
              <w:rPr>
                <w:rFonts w:hint="eastAsia"/>
                <w:color w:val="auto"/>
                <w:lang w:val="en-US" w:eastAsia="zh-CN"/>
              </w:rPr>
            </w:pPr>
            <w:r>
              <w:rPr>
                <w:rFonts w:hint="eastAsia"/>
                <w:color w:val="auto"/>
                <w:lang w:val="en-US" w:eastAsia="zh-CN"/>
              </w:rPr>
              <w:t>31.97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4" w:type="dxa"/>
            <w:noWrap w:val="0"/>
            <w:vAlign w:val="center"/>
          </w:tcPr>
          <w:p>
            <w:pPr>
              <w:pStyle w:val="113"/>
              <w:bidi w:val="0"/>
              <w:rPr>
                <w:rFonts w:hint="eastAsia"/>
                <w:color w:val="auto"/>
              </w:rPr>
            </w:pPr>
            <w:r>
              <w:rPr>
                <w:rFonts w:hint="eastAsia"/>
                <w:color w:val="auto"/>
              </w:rPr>
              <w:t>3</w:t>
            </w:r>
          </w:p>
        </w:tc>
        <w:tc>
          <w:tcPr>
            <w:tcW w:w="708" w:type="dxa"/>
            <w:noWrap w:val="0"/>
            <w:vAlign w:val="center"/>
          </w:tcPr>
          <w:p>
            <w:pPr>
              <w:pStyle w:val="113"/>
              <w:bidi w:val="0"/>
              <w:rPr>
                <w:rFonts w:hint="eastAsia"/>
                <w:color w:val="auto"/>
              </w:rPr>
            </w:pPr>
            <w:r>
              <w:rPr>
                <w:rFonts w:hint="eastAsia"/>
                <w:color w:val="auto"/>
              </w:rPr>
              <w:t>S</w:t>
            </w:r>
          </w:p>
        </w:tc>
        <w:tc>
          <w:tcPr>
            <w:tcW w:w="1545" w:type="dxa"/>
            <w:noWrap w:val="0"/>
            <w:vAlign w:val="center"/>
          </w:tcPr>
          <w:p>
            <w:pPr>
              <w:pStyle w:val="113"/>
              <w:bidi w:val="0"/>
              <w:rPr>
                <w:rFonts w:hint="eastAsia"/>
                <w:color w:val="auto"/>
              </w:rPr>
            </w:pPr>
            <w:r>
              <w:rPr>
                <w:rFonts w:hint="eastAsia"/>
                <w:color w:val="auto"/>
              </w:rPr>
              <w:t>交通市政用地</w:t>
            </w:r>
          </w:p>
        </w:tc>
        <w:tc>
          <w:tcPr>
            <w:tcW w:w="1050" w:type="dxa"/>
            <w:noWrap w:val="0"/>
            <w:vAlign w:val="center"/>
          </w:tcPr>
          <w:p>
            <w:pPr>
              <w:pStyle w:val="113"/>
              <w:bidi w:val="0"/>
              <w:rPr>
                <w:rFonts w:hint="eastAsia"/>
                <w:color w:val="auto"/>
              </w:rPr>
            </w:pPr>
            <w:r>
              <w:rPr>
                <w:rFonts w:hint="eastAsia"/>
                <w:color w:val="auto"/>
              </w:rPr>
              <w:t>20.72</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9.39</w:t>
            </w:r>
          </w:p>
        </w:tc>
        <w:tc>
          <w:tcPr>
            <w:tcW w:w="1020" w:type="dxa"/>
            <w:noWrap w:val="0"/>
            <w:vAlign w:val="center"/>
          </w:tcPr>
          <w:p>
            <w:pPr>
              <w:pStyle w:val="113"/>
              <w:bidi w:val="0"/>
              <w:rPr>
                <w:rFonts w:hint="eastAsia"/>
                <w:color w:val="auto"/>
              </w:rPr>
            </w:pPr>
            <w:r>
              <w:rPr>
                <w:rFonts w:hint="eastAsia"/>
                <w:color w:val="auto"/>
              </w:rPr>
              <w:t>10.01</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5.33</w:t>
            </w:r>
          </w:p>
        </w:tc>
        <w:tc>
          <w:tcPr>
            <w:tcW w:w="964" w:type="dxa"/>
            <w:noWrap w:val="0"/>
            <w:vAlign w:val="center"/>
          </w:tcPr>
          <w:p>
            <w:pPr>
              <w:pStyle w:val="113"/>
              <w:bidi w:val="0"/>
              <w:rPr>
                <w:rFonts w:hint="eastAsia"/>
                <w:color w:val="auto"/>
                <w:lang w:val="en-US" w:eastAsia="zh-CN"/>
              </w:rPr>
            </w:pPr>
            <w:r>
              <w:rPr>
                <w:rFonts w:hint="eastAsia"/>
                <w:color w:val="auto"/>
                <w:lang w:val="en-US" w:eastAsia="zh-CN"/>
              </w:rPr>
              <w:t>30.73</w:t>
            </w:r>
          </w:p>
        </w:tc>
        <w:tc>
          <w:tcPr>
            <w:tcW w:w="901" w:type="dxa"/>
            <w:noWrap w:val="0"/>
            <w:vAlign w:val="center"/>
          </w:tcPr>
          <w:p>
            <w:pPr>
              <w:pStyle w:val="113"/>
              <w:bidi w:val="0"/>
              <w:rPr>
                <w:rFonts w:hint="eastAsia"/>
                <w:color w:val="auto"/>
                <w:lang w:val="en-US" w:eastAsia="zh-CN"/>
              </w:rPr>
            </w:pPr>
            <w:r>
              <w:rPr>
                <w:rFonts w:hint="eastAsia"/>
                <w:color w:val="auto"/>
                <w:lang w:val="en-US" w:eastAsia="zh-CN"/>
              </w:rPr>
              <w:t>7.52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4" w:type="dxa"/>
            <w:noWrap w:val="0"/>
            <w:vAlign w:val="center"/>
          </w:tcPr>
          <w:p>
            <w:pPr>
              <w:pStyle w:val="113"/>
              <w:bidi w:val="0"/>
              <w:rPr>
                <w:rFonts w:hint="eastAsia"/>
                <w:color w:val="auto"/>
              </w:rPr>
            </w:pPr>
            <w:r>
              <w:rPr>
                <w:rFonts w:hint="eastAsia"/>
                <w:color w:val="auto"/>
              </w:rPr>
              <w:t>4</w:t>
            </w:r>
          </w:p>
        </w:tc>
        <w:tc>
          <w:tcPr>
            <w:tcW w:w="708" w:type="dxa"/>
            <w:noWrap w:val="0"/>
            <w:vAlign w:val="center"/>
          </w:tcPr>
          <w:p>
            <w:pPr>
              <w:pStyle w:val="113"/>
              <w:bidi w:val="0"/>
              <w:rPr>
                <w:rFonts w:hint="eastAsia"/>
                <w:color w:val="auto"/>
              </w:rPr>
            </w:pPr>
            <w:r>
              <w:rPr>
                <w:rFonts w:hint="eastAsia"/>
                <w:color w:val="auto"/>
              </w:rPr>
              <w:t>G</w:t>
            </w:r>
          </w:p>
        </w:tc>
        <w:tc>
          <w:tcPr>
            <w:tcW w:w="1545" w:type="dxa"/>
            <w:noWrap w:val="0"/>
            <w:vAlign w:val="center"/>
          </w:tcPr>
          <w:p>
            <w:pPr>
              <w:pStyle w:val="113"/>
              <w:bidi w:val="0"/>
              <w:rPr>
                <w:rFonts w:hint="eastAsia"/>
                <w:color w:val="auto"/>
              </w:rPr>
            </w:pPr>
            <w:r>
              <w:rPr>
                <w:rFonts w:hint="eastAsia"/>
                <w:color w:val="auto"/>
              </w:rPr>
              <w:t>公共绿地</w:t>
            </w:r>
          </w:p>
        </w:tc>
        <w:tc>
          <w:tcPr>
            <w:tcW w:w="1050" w:type="dxa"/>
            <w:noWrap w:val="0"/>
            <w:vAlign w:val="center"/>
          </w:tcPr>
          <w:p>
            <w:pPr>
              <w:pStyle w:val="113"/>
              <w:bidi w:val="0"/>
              <w:rPr>
                <w:rFonts w:hint="eastAsia"/>
                <w:color w:val="auto"/>
              </w:rPr>
            </w:pPr>
            <w:r>
              <w:rPr>
                <w:rFonts w:hint="eastAsia"/>
                <w:color w:val="auto"/>
              </w:rPr>
              <w:t>1.50</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0.68</w:t>
            </w:r>
          </w:p>
        </w:tc>
        <w:tc>
          <w:tcPr>
            <w:tcW w:w="1020" w:type="dxa"/>
            <w:noWrap w:val="0"/>
            <w:vAlign w:val="center"/>
          </w:tcPr>
          <w:p>
            <w:pPr>
              <w:pStyle w:val="113"/>
              <w:bidi w:val="0"/>
              <w:rPr>
                <w:rFonts w:hint="eastAsia"/>
                <w:color w:val="auto"/>
              </w:rPr>
            </w:pPr>
            <w:r>
              <w:rPr>
                <w:rFonts w:hint="eastAsia"/>
                <w:color w:val="auto"/>
              </w:rPr>
              <w:t>0</w:t>
            </w:r>
          </w:p>
        </w:tc>
        <w:tc>
          <w:tcPr>
            <w:tcW w:w="900" w:type="dxa"/>
            <w:noWrap w:val="0"/>
            <w:vAlign w:val="center"/>
          </w:tcPr>
          <w:p>
            <w:pPr>
              <w:pStyle w:val="113"/>
              <w:bidi w:val="0"/>
              <w:rPr>
                <w:rFonts w:hint="eastAsia"/>
                <w:color w:val="auto"/>
              </w:rPr>
            </w:pPr>
            <w:r>
              <w:rPr>
                <w:rFonts w:hint="eastAsia"/>
                <w:color w:val="auto"/>
              </w:rPr>
              <w:t>0</w:t>
            </w:r>
          </w:p>
        </w:tc>
        <w:tc>
          <w:tcPr>
            <w:tcW w:w="964" w:type="dxa"/>
            <w:noWrap w:val="0"/>
            <w:vAlign w:val="center"/>
          </w:tcPr>
          <w:p>
            <w:pPr>
              <w:pStyle w:val="113"/>
              <w:bidi w:val="0"/>
              <w:rPr>
                <w:rFonts w:hint="eastAsia"/>
                <w:color w:val="auto"/>
                <w:lang w:val="en-US" w:eastAsia="zh-CN"/>
              </w:rPr>
            </w:pPr>
            <w:r>
              <w:rPr>
                <w:rFonts w:hint="eastAsia"/>
                <w:color w:val="auto"/>
                <w:lang w:val="en-US" w:eastAsia="zh-CN"/>
              </w:rPr>
              <w:t>1.50</w:t>
            </w:r>
          </w:p>
        </w:tc>
        <w:tc>
          <w:tcPr>
            <w:tcW w:w="901" w:type="dxa"/>
            <w:noWrap w:val="0"/>
            <w:vAlign w:val="center"/>
          </w:tcPr>
          <w:p>
            <w:pPr>
              <w:pStyle w:val="113"/>
              <w:bidi w:val="0"/>
              <w:rPr>
                <w:rFonts w:hint="eastAsia"/>
                <w:color w:val="auto"/>
                <w:lang w:val="en-US" w:eastAsia="zh-CN"/>
              </w:rPr>
            </w:pPr>
            <w:r>
              <w:rPr>
                <w:rFonts w:hint="eastAsia"/>
                <w:color w:val="auto"/>
                <w:lang w:val="en-US" w:eastAsia="zh-CN"/>
              </w:rPr>
              <w:t>0.37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4" w:type="dxa"/>
            <w:noWrap w:val="0"/>
            <w:vAlign w:val="center"/>
          </w:tcPr>
          <w:p>
            <w:pPr>
              <w:pStyle w:val="113"/>
              <w:bidi w:val="0"/>
              <w:rPr>
                <w:rFonts w:hint="eastAsia"/>
                <w:color w:val="auto"/>
              </w:rPr>
            </w:pPr>
            <w:r>
              <w:rPr>
                <w:rFonts w:hint="eastAsia"/>
                <w:color w:val="auto"/>
              </w:rPr>
              <w:t>二</w:t>
            </w:r>
          </w:p>
        </w:tc>
        <w:tc>
          <w:tcPr>
            <w:tcW w:w="708" w:type="dxa"/>
            <w:noWrap w:val="0"/>
            <w:vAlign w:val="center"/>
          </w:tcPr>
          <w:p>
            <w:pPr>
              <w:pStyle w:val="113"/>
              <w:bidi w:val="0"/>
              <w:rPr>
                <w:rFonts w:hint="eastAsia"/>
                <w:color w:val="auto"/>
              </w:rPr>
            </w:pPr>
            <w:r>
              <w:rPr>
                <w:rFonts w:hint="eastAsia"/>
                <w:color w:val="auto"/>
              </w:rPr>
              <w:t>H14</w:t>
            </w:r>
          </w:p>
        </w:tc>
        <w:tc>
          <w:tcPr>
            <w:tcW w:w="1545" w:type="dxa"/>
            <w:noWrap w:val="0"/>
            <w:vAlign w:val="center"/>
          </w:tcPr>
          <w:p>
            <w:pPr>
              <w:pStyle w:val="113"/>
              <w:bidi w:val="0"/>
              <w:rPr>
                <w:rFonts w:hint="eastAsia"/>
                <w:color w:val="auto"/>
              </w:rPr>
            </w:pPr>
            <w:r>
              <w:rPr>
                <w:rFonts w:hint="eastAsia"/>
                <w:color w:val="auto"/>
              </w:rPr>
              <w:t>村庄建设用地</w:t>
            </w:r>
          </w:p>
        </w:tc>
        <w:tc>
          <w:tcPr>
            <w:tcW w:w="1050" w:type="dxa"/>
            <w:noWrap w:val="0"/>
            <w:vAlign w:val="center"/>
          </w:tcPr>
          <w:p>
            <w:pPr>
              <w:pStyle w:val="113"/>
              <w:bidi w:val="0"/>
              <w:rPr>
                <w:rFonts w:hint="eastAsia"/>
                <w:color w:val="auto"/>
              </w:rPr>
            </w:pPr>
            <w:r>
              <w:rPr>
                <w:rFonts w:hint="eastAsia"/>
                <w:color w:val="auto"/>
              </w:rPr>
              <w:t>10.13</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4.59</w:t>
            </w:r>
          </w:p>
        </w:tc>
        <w:tc>
          <w:tcPr>
            <w:tcW w:w="1020" w:type="dxa"/>
            <w:noWrap w:val="0"/>
            <w:vAlign w:val="center"/>
          </w:tcPr>
          <w:p>
            <w:pPr>
              <w:pStyle w:val="113"/>
              <w:bidi w:val="0"/>
              <w:rPr>
                <w:rFonts w:hint="eastAsia"/>
                <w:color w:val="auto"/>
              </w:rPr>
            </w:pPr>
            <w:r>
              <w:rPr>
                <w:rFonts w:hint="eastAsia"/>
                <w:color w:val="auto"/>
              </w:rPr>
              <w:t>6.66</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3.55</w:t>
            </w:r>
          </w:p>
        </w:tc>
        <w:tc>
          <w:tcPr>
            <w:tcW w:w="964" w:type="dxa"/>
            <w:noWrap w:val="0"/>
            <w:vAlign w:val="center"/>
          </w:tcPr>
          <w:p>
            <w:pPr>
              <w:pStyle w:val="113"/>
              <w:bidi w:val="0"/>
              <w:rPr>
                <w:rFonts w:hint="eastAsia"/>
                <w:color w:val="auto"/>
              </w:rPr>
            </w:pPr>
            <w:r>
              <w:rPr>
                <w:rFonts w:hint="eastAsia"/>
                <w:color w:val="auto"/>
              </w:rPr>
              <w:t>16.79</w:t>
            </w:r>
          </w:p>
        </w:tc>
        <w:tc>
          <w:tcPr>
            <w:tcW w:w="901" w:type="dxa"/>
            <w:noWrap w:val="0"/>
            <w:vAlign w:val="center"/>
          </w:tcPr>
          <w:p>
            <w:pPr>
              <w:pStyle w:val="113"/>
              <w:bidi w:val="0"/>
              <w:rPr>
                <w:rFonts w:hint="eastAsia"/>
                <w:color w:val="auto"/>
                <w:lang w:val="en-US" w:eastAsia="zh-CN"/>
              </w:rPr>
            </w:pPr>
            <w:r>
              <w:rPr>
                <w:rFonts w:hint="eastAsia"/>
                <w:color w:val="auto"/>
                <w:lang w:val="en-US" w:eastAsia="zh-CN"/>
              </w:rPr>
              <w:t>4.11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4" w:type="dxa"/>
            <w:noWrap w:val="0"/>
            <w:vAlign w:val="center"/>
          </w:tcPr>
          <w:p>
            <w:pPr>
              <w:pStyle w:val="113"/>
              <w:bidi w:val="0"/>
              <w:rPr>
                <w:rFonts w:hint="eastAsia"/>
                <w:color w:val="auto"/>
              </w:rPr>
            </w:pPr>
            <w:r>
              <w:rPr>
                <w:rFonts w:hint="eastAsia"/>
                <w:color w:val="auto"/>
              </w:rPr>
              <w:t>三</w:t>
            </w:r>
          </w:p>
        </w:tc>
        <w:tc>
          <w:tcPr>
            <w:tcW w:w="708" w:type="dxa"/>
            <w:noWrap w:val="0"/>
            <w:vAlign w:val="center"/>
          </w:tcPr>
          <w:p>
            <w:pPr>
              <w:pStyle w:val="113"/>
              <w:bidi w:val="0"/>
              <w:rPr>
                <w:rFonts w:hint="eastAsia"/>
                <w:color w:val="auto"/>
              </w:rPr>
            </w:pPr>
            <w:r>
              <w:rPr>
                <w:rFonts w:hint="eastAsia"/>
                <w:color w:val="auto"/>
              </w:rPr>
              <w:t>E1</w:t>
            </w:r>
          </w:p>
        </w:tc>
        <w:tc>
          <w:tcPr>
            <w:tcW w:w="1545" w:type="dxa"/>
            <w:noWrap w:val="0"/>
            <w:vAlign w:val="center"/>
          </w:tcPr>
          <w:p>
            <w:pPr>
              <w:pStyle w:val="113"/>
              <w:bidi w:val="0"/>
              <w:rPr>
                <w:rFonts w:hint="eastAsia"/>
                <w:color w:val="auto"/>
              </w:rPr>
            </w:pPr>
            <w:r>
              <w:rPr>
                <w:rFonts w:hint="eastAsia"/>
                <w:color w:val="auto"/>
              </w:rPr>
              <w:t>水域</w:t>
            </w:r>
          </w:p>
        </w:tc>
        <w:tc>
          <w:tcPr>
            <w:tcW w:w="1050" w:type="dxa"/>
            <w:noWrap w:val="0"/>
            <w:vAlign w:val="center"/>
          </w:tcPr>
          <w:p>
            <w:pPr>
              <w:pStyle w:val="113"/>
              <w:bidi w:val="0"/>
              <w:rPr>
                <w:rFonts w:hint="eastAsia"/>
                <w:color w:val="auto"/>
              </w:rPr>
            </w:pPr>
            <w:r>
              <w:rPr>
                <w:rFonts w:hint="eastAsia"/>
                <w:color w:val="auto"/>
              </w:rPr>
              <w:t>1.</w:t>
            </w:r>
            <w:r>
              <w:rPr>
                <w:rFonts w:hint="eastAsia"/>
                <w:color w:val="auto"/>
                <w:lang w:val="en-US" w:eastAsia="zh-CN"/>
              </w:rPr>
              <w:t>3</w:t>
            </w:r>
            <w:r>
              <w:rPr>
                <w:rFonts w:hint="eastAsia"/>
                <w:color w:val="auto"/>
              </w:rPr>
              <w:t>0</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0.59</w:t>
            </w:r>
          </w:p>
        </w:tc>
        <w:tc>
          <w:tcPr>
            <w:tcW w:w="1020" w:type="dxa"/>
            <w:noWrap w:val="0"/>
            <w:vAlign w:val="center"/>
          </w:tcPr>
          <w:p>
            <w:pPr>
              <w:pStyle w:val="113"/>
              <w:bidi w:val="0"/>
              <w:rPr>
                <w:rFonts w:hint="eastAsia"/>
                <w:color w:val="auto"/>
              </w:rPr>
            </w:pPr>
            <w:r>
              <w:rPr>
                <w:rFonts w:hint="eastAsia"/>
                <w:color w:val="auto"/>
              </w:rPr>
              <w:t>3.01</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1.60</w:t>
            </w:r>
          </w:p>
        </w:tc>
        <w:tc>
          <w:tcPr>
            <w:tcW w:w="964" w:type="dxa"/>
            <w:noWrap w:val="0"/>
            <w:vAlign w:val="center"/>
          </w:tcPr>
          <w:p>
            <w:pPr>
              <w:pStyle w:val="113"/>
              <w:bidi w:val="0"/>
              <w:rPr>
                <w:rFonts w:hint="eastAsia"/>
                <w:color w:val="auto"/>
              </w:rPr>
            </w:pPr>
            <w:r>
              <w:rPr>
                <w:rFonts w:hint="eastAsia"/>
                <w:color w:val="auto"/>
              </w:rPr>
              <w:t>4.</w:t>
            </w:r>
            <w:r>
              <w:rPr>
                <w:rFonts w:hint="eastAsia"/>
                <w:color w:val="auto"/>
                <w:lang w:val="en-US" w:eastAsia="zh-CN"/>
              </w:rPr>
              <w:t>3</w:t>
            </w:r>
            <w:r>
              <w:rPr>
                <w:rFonts w:hint="eastAsia"/>
                <w:color w:val="auto"/>
              </w:rPr>
              <w:t>1</w:t>
            </w:r>
          </w:p>
        </w:tc>
        <w:tc>
          <w:tcPr>
            <w:tcW w:w="901" w:type="dxa"/>
            <w:noWrap w:val="0"/>
            <w:vAlign w:val="center"/>
          </w:tcPr>
          <w:p>
            <w:pPr>
              <w:pStyle w:val="113"/>
              <w:bidi w:val="0"/>
              <w:rPr>
                <w:rFonts w:hint="eastAsia"/>
                <w:color w:val="auto"/>
                <w:lang w:val="en-US" w:eastAsia="zh-CN"/>
              </w:rPr>
            </w:pPr>
            <w:r>
              <w:rPr>
                <w:rFonts w:hint="eastAsia"/>
                <w:color w:val="auto"/>
                <w:lang w:val="en-US" w:eastAsia="zh-CN"/>
              </w:rPr>
              <w:t>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34" w:type="dxa"/>
            <w:noWrap w:val="0"/>
            <w:vAlign w:val="center"/>
          </w:tcPr>
          <w:p>
            <w:pPr>
              <w:pStyle w:val="113"/>
              <w:bidi w:val="0"/>
              <w:rPr>
                <w:rFonts w:hint="eastAsia"/>
                <w:color w:val="auto"/>
              </w:rPr>
            </w:pPr>
            <w:r>
              <w:rPr>
                <w:rFonts w:hint="eastAsia"/>
                <w:color w:val="auto"/>
              </w:rPr>
              <w:t>四</w:t>
            </w:r>
          </w:p>
        </w:tc>
        <w:tc>
          <w:tcPr>
            <w:tcW w:w="708" w:type="dxa"/>
            <w:noWrap w:val="0"/>
            <w:vAlign w:val="center"/>
          </w:tcPr>
          <w:p>
            <w:pPr>
              <w:pStyle w:val="113"/>
              <w:bidi w:val="0"/>
              <w:rPr>
                <w:rFonts w:hint="eastAsia"/>
                <w:color w:val="auto"/>
              </w:rPr>
            </w:pPr>
            <w:r>
              <w:rPr>
                <w:rFonts w:hint="eastAsia"/>
                <w:color w:val="auto"/>
              </w:rPr>
              <w:t>E2</w:t>
            </w:r>
          </w:p>
        </w:tc>
        <w:tc>
          <w:tcPr>
            <w:tcW w:w="1545" w:type="dxa"/>
            <w:noWrap w:val="0"/>
            <w:vAlign w:val="center"/>
          </w:tcPr>
          <w:p>
            <w:pPr>
              <w:pStyle w:val="113"/>
              <w:bidi w:val="0"/>
              <w:rPr>
                <w:rFonts w:hint="eastAsia"/>
                <w:color w:val="auto"/>
              </w:rPr>
            </w:pPr>
            <w:r>
              <w:rPr>
                <w:rFonts w:hint="eastAsia"/>
                <w:color w:val="auto"/>
              </w:rPr>
              <w:t>农林用地</w:t>
            </w:r>
          </w:p>
        </w:tc>
        <w:tc>
          <w:tcPr>
            <w:tcW w:w="1050" w:type="dxa"/>
            <w:noWrap w:val="0"/>
            <w:vAlign w:val="center"/>
          </w:tcPr>
          <w:p>
            <w:pPr>
              <w:pStyle w:val="113"/>
              <w:bidi w:val="0"/>
              <w:rPr>
                <w:rFonts w:hint="eastAsia"/>
                <w:color w:val="auto"/>
                <w:lang w:val="en-US"/>
              </w:rPr>
            </w:pPr>
            <w:r>
              <w:rPr>
                <w:rFonts w:hint="eastAsia"/>
                <w:color w:val="auto"/>
                <w:lang w:val="en-US" w:eastAsia="zh-CN"/>
              </w:rPr>
              <w:t>101.59</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56.06</w:t>
            </w:r>
          </w:p>
        </w:tc>
        <w:tc>
          <w:tcPr>
            <w:tcW w:w="1020" w:type="dxa"/>
            <w:noWrap w:val="0"/>
            <w:vAlign w:val="center"/>
          </w:tcPr>
          <w:p>
            <w:pPr>
              <w:pStyle w:val="113"/>
              <w:bidi w:val="0"/>
              <w:rPr>
                <w:rFonts w:hint="eastAsia"/>
                <w:color w:val="auto"/>
                <w:lang w:val="en-US" w:eastAsia="zh-CN"/>
              </w:rPr>
            </w:pPr>
            <w:r>
              <w:rPr>
                <w:rFonts w:hint="eastAsia"/>
                <w:color w:val="auto"/>
                <w:lang w:val="en-US" w:eastAsia="zh-CN"/>
              </w:rPr>
              <w:t>96.22</w:t>
            </w:r>
          </w:p>
        </w:tc>
        <w:tc>
          <w:tcPr>
            <w:tcW w:w="900" w:type="dxa"/>
            <w:noWrap w:val="0"/>
            <w:vAlign w:val="center"/>
          </w:tcPr>
          <w:p>
            <w:pPr>
              <w:pStyle w:val="113"/>
              <w:bidi w:val="0"/>
              <w:rPr>
                <w:rFonts w:hint="eastAsia"/>
                <w:color w:val="auto"/>
                <w:lang w:val="en-US" w:eastAsia="zh-CN"/>
              </w:rPr>
            </w:pPr>
            <w:r>
              <w:rPr>
                <w:rFonts w:hint="eastAsia"/>
                <w:color w:val="auto"/>
                <w:lang w:val="en-US" w:eastAsia="zh-CN"/>
              </w:rPr>
              <w:t>51.23</w:t>
            </w:r>
          </w:p>
        </w:tc>
        <w:tc>
          <w:tcPr>
            <w:tcW w:w="964" w:type="dxa"/>
            <w:noWrap w:val="0"/>
            <w:vAlign w:val="center"/>
          </w:tcPr>
          <w:p>
            <w:pPr>
              <w:pStyle w:val="113"/>
              <w:bidi w:val="0"/>
              <w:rPr>
                <w:rFonts w:hint="eastAsia"/>
                <w:color w:val="auto"/>
                <w:lang w:val="en-US" w:eastAsia="zh-CN"/>
              </w:rPr>
            </w:pPr>
            <w:r>
              <w:rPr>
                <w:rFonts w:hint="eastAsia"/>
                <w:color w:val="auto"/>
                <w:lang w:val="en-US" w:eastAsia="zh-CN"/>
              </w:rPr>
              <w:t>197.81</w:t>
            </w:r>
          </w:p>
        </w:tc>
        <w:tc>
          <w:tcPr>
            <w:tcW w:w="901" w:type="dxa"/>
            <w:noWrap w:val="0"/>
            <w:vAlign w:val="center"/>
          </w:tcPr>
          <w:p>
            <w:pPr>
              <w:pStyle w:val="113"/>
              <w:bidi w:val="0"/>
              <w:rPr>
                <w:rFonts w:hint="eastAsia"/>
                <w:color w:val="auto"/>
                <w:lang w:val="en-US" w:eastAsia="zh-CN"/>
              </w:rPr>
            </w:pPr>
            <w:r>
              <w:rPr>
                <w:rFonts w:hint="eastAsia"/>
                <w:color w:val="auto"/>
                <w:lang w:val="en-US" w:eastAsia="zh-CN"/>
              </w:rPr>
              <w:t>48.44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42" w:type="dxa"/>
            <w:gridSpan w:val="2"/>
            <w:noWrap w:val="0"/>
            <w:vAlign w:val="center"/>
          </w:tcPr>
          <w:p>
            <w:pPr>
              <w:pStyle w:val="113"/>
              <w:bidi w:val="0"/>
              <w:rPr>
                <w:rFonts w:hint="eastAsia"/>
                <w:color w:val="auto"/>
              </w:rPr>
            </w:pPr>
            <w:r>
              <w:rPr>
                <w:rFonts w:hint="eastAsia"/>
                <w:color w:val="auto"/>
              </w:rPr>
              <w:t>合计</w:t>
            </w:r>
          </w:p>
        </w:tc>
        <w:tc>
          <w:tcPr>
            <w:tcW w:w="1545" w:type="dxa"/>
            <w:noWrap w:val="0"/>
            <w:vAlign w:val="center"/>
          </w:tcPr>
          <w:p>
            <w:pPr>
              <w:pStyle w:val="113"/>
              <w:bidi w:val="0"/>
              <w:rPr>
                <w:rFonts w:hint="eastAsia"/>
                <w:color w:val="auto"/>
              </w:rPr>
            </w:pPr>
            <w:r>
              <w:rPr>
                <w:rFonts w:hint="eastAsia"/>
                <w:color w:val="auto"/>
              </w:rPr>
              <w:t>总用地</w:t>
            </w:r>
          </w:p>
        </w:tc>
        <w:tc>
          <w:tcPr>
            <w:tcW w:w="1050" w:type="dxa"/>
            <w:noWrap w:val="0"/>
            <w:vAlign w:val="center"/>
          </w:tcPr>
          <w:p>
            <w:pPr>
              <w:pStyle w:val="113"/>
              <w:bidi w:val="0"/>
              <w:rPr>
                <w:rFonts w:hint="eastAsia"/>
                <w:color w:val="auto"/>
                <w:lang w:val="en-US" w:eastAsia="zh-CN"/>
              </w:rPr>
            </w:pPr>
            <w:r>
              <w:rPr>
                <w:rFonts w:hint="eastAsia"/>
                <w:color w:val="auto"/>
                <w:lang w:val="en-US" w:eastAsia="zh-CN"/>
              </w:rPr>
              <w:t>220.55</w:t>
            </w:r>
          </w:p>
        </w:tc>
        <w:tc>
          <w:tcPr>
            <w:tcW w:w="900" w:type="dxa"/>
            <w:noWrap w:val="0"/>
            <w:vAlign w:val="center"/>
          </w:tcPr>
          <w:p>
            <w:pPr>
              <w:pStyle w:val="113"/>
              <w:bidi w:val="0"/>
              <w:rPr>
                <w:rFonts w:hint="eastAsia"/>
                <w:color w:val="auto"/>
              </w:rPr>
            </w:pPr>
            <w:r>
              <w:rPr>
                <w:rFonts w:hint="eastAsia"/>
                <w:color w:val="auto"/>
              </w:rPr>
              <w:t>100</w:t>
            </w:r>
          </w:p>
        </w:tc>
        <w:tc>
          <w:tcPr>
            <w:tcW w:w="1020" w:type="dxa"/>
            <w:noWrap w:val="0"/>
            <w:vAlign w:val="center"/>
          </w:tcPr>
          <w:p>
            <w:pPr>
              <w:pStyle w:val="113"/>
              <w:bidi w:val="0"/>
              <w:rPr>
                <w:rFonts w:hint="eastAsia"/>
                <w:color w:val="auto"/>
                <w:lang w:val="en-US" w:eastAsia="zh-CN"/>
              </w:rPr>
            </w:pPr>
            <w:r>
              <w:rPr>
                <w:rFonts w:hint="eastAsia"/>
                <w:color w:val="auto"/>
                <w:lang w:val="en-US" w:eastAsia="zh-CN"/>
              </w:rPr>
              <w:t>187.83</w:t>
            </w:r>
          </w:p>
        </w:tc>
        <w:tc>
          <w:tcPr>
            <w:tcW w:w="900" w:type="dxa"/>
            <w:noWrap w:val="0"/>
            <w:vAlign w:val="center"/>
          </w:tcPr>
          <w:p>
            <w:pPr>
              <w:pStyle w:val="113"/>
              <w:bidi w:val="0"/>
              <w:rPr>
                <w:rFonts w:hint="eastAsia"/>
                <w:color w:val="auto"/>
              </w:rPr>
            </w:pPr>
            <w:r>
              <w:rPr>
                <w:rFonts w:hint="eastAsia"/>
                <w:color w:val="auto"/>
              </w:rPr>
              <w:t>100</w:t>
            </w:r>
          </w:p>
        </w:tc>
        <w:tc>
          <w:tcPr>
            <w:tcW w:w="964" w:type="dxa"/>
            <w:noWrap w:val="0"/>
            <w:vAlign w:val="center"/>
          </w:tcPr>
          <w:p>
            <w:pPr>
              <w:pStyle w:val="113"/>
              <w:bidi w:val="0"/>
              <w:rPr>
                <w:rFonts w:hint="eastAsia"/>
                <w:color w:val="auto"/>
                <w:lang w:val="en-US" w:eastAsia="zh-CN"/>
              </w:rPr>
            </w:pPr>
            <w:r>
              <w:rPr>
                <w:rFonts w:hint="eastAsia"/>
                <w:color w:val="auto"/>
                <w:lang w:val="en-US" w:eastAsia="zh-CN"/>
              </w:rPr>
              <w:t>408.38</w:t>
            </w:r>
          </w:p>
        </w:tc>
        <w:tc>
          <w:tcPr>
            <w:tcW w:w="901" w:type="dxa"/>
            <w:noWrap w:val="0"/>
            <w:vAlign w:val="center"/>
          </w:tcPr>
          <w:p>
            <w:pPr>
              <w:pStyle w:val="113"/>
              <w:bidi w:val="0"/>
              <w:rPr>
                <w:rFonts w:hint="eastAsia"/>
                <w:color w:val="auto"/>
              </w:rPr>
            </w:pPr>
            <w:r>
              <w:rPr>
                <w:rFonts w:hint="eastAsia"/>
                <w:color w:val="auto"/>
              </w:rPr>
              <w:t>100</w:t>
            </w:r>
          </w:p>
        </w:tc>
      </w:tr>
    </w:tbl>
    <w:p>
      <w:pPr>
        <w:jc w:val="center"/>
        <w:rPr>
          <w:rFonts w:hint="eastAsia" w:ascii="宋体" w:hAnsi="宋体" w:eastAsia="宋体" w:cs="宋体"/>
          <w:b/>
          <w:bCs/>
          <w:color w:val="auto"/>
          <w:szCs w:val="24"/>
          <w:u w:val="none"/>
        </w:rPr>
      </w:pPr>
      <w:r>
        <w:rPr>
          <w:rFonts w:hint="eastAsia" w:ascii="宋体" w:hAnsi="宋体" w:eastAsia="宋体" w:cs="宋体"/>
          <w:b/>
          <w:bCs/>
          <w:color w:val="auto"/>
          <w:szCs w:val="24"/>
          <w:u w:val="none"/>
          <w:lang w:val="en-US" w:eastAsia="zh-CN"/>
        </w:rPr>
        <w:t>3-4</w:t>
      </w:r>
      <w:r>
        <w:rPr>
          <w:rFonts w:hint="eastAsia" w:ascii="宋体" w:hAnsi="宋体" w:eastAsia="宋体" w:cs="宋体"/>
          <w:b/>
          <w:bCs/>
          <w:color w:val="auto"/>
          <w:szCs w:val="24"/>
          <w:u w:val="none"/>
        </w:rPr>
        <w:t xml:space="preserve">  开发区调扩区规划与已开发用地情况表</w:t>
      </w:r>
    </w:p>
    <w:tbl>
      <w:tblPr>
        <w:tblStyle w:val="36"/>
        <w:tblW w:w="861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9"/>
        <w:gridCol w:w="1079"/>
        <w:gridCol w:w="771"/>
        <w:gridCol w:w="772"/>
        <w:gridCol w:w="772"/>
        <w:gridCol w:w="771"/>
        <w:gridCol w:w="772"/>
        <w:gridCol w:w="772"/>
        <w:gridCol w:w="771"/>
        <w:gridCol w:w="772"/>
        <w:gridCol w:w="7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589" w:type="dxa"/>
            <w:vMerge w:val="restart"/>
            <w:noWrap w:val="0"/>
            <w:vAlign w:val="center"/>
          </w:tcPr>
          <w:p>
            <w:pPr>
              <w:pStyle w:val="113"/>
              <w:bidi w:val="0"/>
              <w:rPr>
                <w:rFonts w:hint="eastAsia"/>
                <w:color w:val="auto"/>
              </w:rPr>
            </w:pPr>
            <w:r>
              <w:rPr>
                <w:rFonts w:hint="eastAsia"/>
                <w:color w:val="auto"/>
              </w:rPr>
              <w:t>序号</w:t>
            </w:r>
          </w:p>
        </w:tc>
        <w:tc>
          <w:tcPr>
            <w:tcW w:w="1079" w:type="dxa"/>
            <w:vMerge w:val="restart"/>
            <w:noWrap w:val="0"/>
            <w:vAlign w:val="center"/>
          </w:tcPr>
          <w:p>
            <w:pPr>
              <w:pStyle w:val="113"/>
              <w:bidi w:val="0"/>
              <w:rPr>
                <w:rFonts w:hint="eastAsia"/>
                <w:color w:val="auto"/>
              </w:rPr>
            </w:pPr>
            <w:r>
              <w:rPr>
                <w:rFonts w:hint="eastAsia"/>
                <w:color w:val="auto"/>
              </w:rPr>
              <w:t>用地名称</w:t>
            </w:r>
          </w:p>
        </w:tc>
        <w:tc>
          <w:tcPr>
            <w:tcW w:w="2315" w:type="dxa"/>
            <w:gridSpan w:val="3"/>
            <w:noWrap w:val="0"/>
            <w:vAlign w:val="center"/>
          </w:tcPr>
          <w:p>
            <w:pPr>
              <w:pStyle w:val="113"/>
              <w:bidi w:val="0"/>
              <w:rPr>
                <w:rFonts w:hint="eastAsia"/>
                <w:color w:val="auto"/>
              </w:rPr>
            </w:pPr>
            <w:r>
              <w:rPr>
                <w:rFonts w:hint="eastAsia"/>
                <w:color w:val="auto"/>
              </w:rPr>
              <w:t>芙蓉镇产业园</w:t>
            </w:r>
          </w:p>
        </w:tc>
        <w:tc>
          <w:tcPr>
            <w:tcW w:w="2315" w:type="dxa"/>
            <w:gridSpan w:val="3"/>
            <w:noWrap w:val="0"/>
            <w:vAlign w:val="center"/>
          </w:tcPr>
          <w:p>
            <w:pPr>
              <w:pStyle w:val="113"/>
              <w:bidi w:val="0"/>
              <w:rPr>
                <w:rFonts w:hint="eastAsia"/>
                <w:color w:val="auto"/>
              </w:rPr>
            </w:pPr>
            <w:r>
              <w:rPr>
                <w:rFonts w:hint="eastAsia"/>
                <w:color w:val="auto"/>
              </w:rPr>
              <w:t>猛洞河产业园</w:t>
            </w:r>
          </w:p>
        </w:tc>
        <w:tc>
          <w:tcPr>
            <w:tcW w:w="2315" w:type="dxa"/>
            <w:gridSpan w:val="3"/>
            <w:noWrap w:val="0"/>
            <w:vAlign w:val="center"/>
          </w:tcPr>
          <w:p>
            <w:pPr>
              <w:pStyle w:val="113"/>
              <w:bidi w:val="0"/>
              <w:rPr>
                <w:rFonts w:hint="eastAsia"/>
                <w:color w:val="auto"/>
              </w:rPr>
            </w:pPr>
            <w:r>
              <w:rPr>
                <w:rFonts w:hint="eastAsia"/>
                <w:color w:val="auto"/>
              </w:rPr>
              <w:t>总用地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9" w:type="dxa"/>
            <w:vMerge w:val="continue"/>
            <w:noWrap w:val="0"/>
            <w:vAlign w:val="center"/>
          </w:tcPr>
          <w:p>
            <w:pPr>
              <w:pStyle w:val="113"/>
              <w:bidi w:val="0"/>
              <w:rPr>
                <w:rFonts w:hint="eastAsia"/>
                <w:color w:val="auto"/>
              </w:rPr>
            </w:pPr>
          </w:p>
        </w:tc>
        <w:tc>
          <w:tcPr>
            <w:tcW w:w="1079" w:type="dxa"/>
            <w:vMerge w:val="continue"/>
            <w:noWrap w:val="0"/>
            <w:vAlign w:val="center"/>
          </w:tcPr>
          <w:p>
            <w:pPr>
              <w:pStyle w:val="113"/>
              <w:bidi w:val="0"/>
              <w:rPr>
                <w:rFonts w:hint="eastAsia"/>
                <w:color w:val="auto"/>
              </w:rPr>
            </w:pPr>
          </w:p>
        </w:tc>
        <w:tc>
          <w:tcPr>
            <w:tcW w:w="771" w:type="dxa"/>
            <w:noWrap w:val="0"/>
            <w:vAlign w:val="center"/>
          </w:tcPr>
          <w:p>
            <w:pPr>
              <w:pStyle w:val="113"/>
              <w:bidi w:val="0"/>
              <w:rPr>
                <w:rFonts w:hint="eastAsia"/>
                <w:color w:val="auto"/>
              </w:rPr>
            </w:pPr>
            <w:r>
              <w:rPr>
                <w:rFonts w:hint="eastAsia"/>
                <w:color w:val="auto"/>
              </w:rPr>
              <w:t>规划面积（ha）</w:t>
            </w:r>
          </w:p>
        </w:tc>
        <w:tc>
          <w:tcPr>
            <w:tcW w:w="772" w:type="dxa"/>
            <w:noWrap w:val="0"/>
            <w:vAlign w:val="center"/>
          </w:tcPr>
          <w:p>
            <w:pPr>
              <w:pStyle w:val="113"/>
              <w:bidi w:val="0"/>
              <w:rPr>
                <w:rFonts w:hint="eastAsia"/>
                <w:color w:val="auto"/>
              </w:rPr>
            </w:pPr>
            <w:r>
              <w:rPr>
                <w:rFonts w:hint="eastAsia"/>
                <w:color w:val="auto"/>
              </w:rPr>
              <w:t>已用面积（ha）</w:t>
            </w:r>
          </w:p>
        </w:tc>
        <w:tc>
          <w:tcPr>
            <w:tcW w:w="772" w:type="dxa"/>
            <w:noWrap w:val="0"/>
            <w:vAlign w:val="center"/>
          </w:tcPr>
          <w:p>
            <w:pPr>
              <w:pStyle w:val="113"/>
              <w:bidi w:val="0"/>
              <w:rPr>
                <w:rFonts w:hint="eastAsia"/>
                <w:color w:val="auto"/>
              </w:rPr>
            </w:pPr>
            <w:r>
              <w:rPr>
                <w:rFonts w:hint="eastAsia"/>
                <w:color w:val="auto"/>
              </w:rPr>
              <w:t>开发占比（%）</w:t>
            </w:r>
          </w:p>
        </w:tc>
        <w:tc>
          <w:tcPr>
            <w:tcW w:w="771" w:type="dxa"/>
            <w:noWrap w:val="0"/>
            <w:vAlign w:val="center"/>
          </w:tcPr>
          <w:p>
            <w:pPr>
              <w:pStyle w:val="113"/>
              <w:bidi w:val="0"/>
              <w:rPr>
                <w:rFonts w:hint="eastAsia"/>
                <w:color w:val="auto"/>
              </w:rPr>
            </w:pPr>
            <w:r>
              <w:rPr>
                <w:rFonts w:hint="eastAsia"/>
                <w:color w:val="auto"/>
              </w:rPr>
              <w:t>规划面积（ha）</w:t>
            </w:r>
          </w:p>
        </w:tc>
        <w:tc>
          <w:tcPr>
            <w:tcW w:w="772" w:type="dxa"/>
            <w:noWrap w:val="0"/>
            <w:vAlign w:val="center"/>
          </w:tcPr>
          <w:p>
            <w:pPr>
              <w:pStyle w:val="113"/>
              <w:bidi w:val="0"/>
              <w:rPr>
                <w:rFonts w:hint="eastAsia"/>
                <w:color w:val="auto"/>
              </w:rPr>
            </w:pPr>
            <w:r>
              <w:rPr>
                <w:rFonts w:hint="eastAsia"/>
                <w:color w:val="auto"/>
              </w:rPr>
              <w:t>已用面积（ha）</w:t>
            </w:r>
          </w:p>
        </w:tc>
        <w:tc>
          <w:tcPr>
            <w:tcW w:w="772" w:type="dxa"/>
            <w:noWrap w:val="0"/>
            <w:vAlign w:val="center"/>
          </w:tcPr>
          <w:p>
            <w:pPr>
              <w:pStyle w:val="113"/>
              <w:bidi w:val="0"/>
              <w:rPr>
                <w:rFonts w:hint="eastAsia"/>
                <w:color w:val="auto"/>
              </w:rPr>
            </w:pPr>
            <w:r>
              <w:rPr>
                <w:rFonts w:hint="eastAsia"/>
                <w:color w:val="auto"/>
              </w:rPr>
              <w:t>开发占比（%）</w:t>
            </w:r>
          </w:p>
        </w:tc>
        <w:tc>
          <w:tcPr>
            <w:tcW w:w="771" w:type="dxa"/>
            <w:noWrap w:val="0"/>
            <w:vAlign w:val="center"/>
          </w:tcPr>
          <w:p>
            <w:pPr>
              <w:pStyle w:val="113"/>
              <w:bidi w:val="0"/>
              <w:rPr>
                <w:rFonts w:hint="eastAsia"/>
                <w:color w:val="auto"/>
              </w:rPr>
            </w:pPr>
            <w:r>
              <w:rPr>
                <w:rFonts w:hint="eastAsia"/>
                <w:color w:val="auto"/>
              </w:rPr>
              <w:t>规划面积（ha）</w:t>
            </w:r>
          </w:p>
        </w:tc>
        <w:tc>
          <w:tcPr>
            <w:tcW w:w="772" w:type="dxa"/>
            <w:noWrap w:val="0"/>
            <w:vAlign w:val="center"/>
          </w:tcPr>
          <w:p>
            <w:pPr>
              <w:pStyle w:val="113"/>
              <w:bidi w:val="0"/>
              <w:rPr>
                <w:rFonts w:hint="eastAsia"/>
                <w:color w:val="auto"/>
              </w:rPr>
            </w:pPr>
            <w:r>
              <w:rPr>
                <w:rFonts w:hint="eastAsia"/>
                <w:color w:val="auto"/>
              </w:rPr>
              <w:t>已用面积（ha）</w:t>
            </w:r>
          </w:p>
        </w:tc>
        <w:tc>
          <w:tcPr>
            <w:tcW w:w="772" w:type="dxa"/>
            <w:noWrap w:val="0"/>
            <w:vAlign w:val="center"/>
          </w:tcPr>
          <w:p>
            <w:pPr>
              <w:pStyle w:val="113"/>
              <w:bidi w:val="0"/>
              <w:rPr>
                <w:rFonts w:hint="eastAsia"/>
                <w:color w:val="auto"/>
              </w:rPr>
            </w:pPr>
            <w:r>
              <w:rPr>
                <w:rFonts w:hint="eastAsia"/>
                <w:color w:val="auto"/>
              </w:rPr>
              <w:t>开发占比（%）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9" w:type="dxa"/>
            <w:noWrap w:val="0"/>
            <w:vAlign w:val="center"/>
          </w:tcPr>
          <w:p>
            <w:pPr>
              <w:pStyle w:val="113"/>
              <w:bidi w:val="0"/>
              <w:rPr>
                <w:rFonts w:hint="eastAsia"/>
                <w:color w:val="auto"/>
              </w:rPr>
            </w:pPr>
            <w:r>
              <w:rPr>
                <w:rFonts w:hint="eastAsia"/>
                <w:color w:val="auto"/>
              </w:rPr>
              <w:t>1</w:t>
            </w:r>
          </w:p>
        </w:tc>
        <w:tc>
          <w:tcPr>
            <w:tcW w:w="1079" w:type="dxa"/>
            <w:noWrap w:val="0"/>
            <w:vAlign w:val="center"/>
          </w:tcPr>
          <w:p>
            <w:pPr>
              <w:pStyle w:val="113"/>
              <w:bidi w:val="0"/>
              <w:rPr>
                <w:rFonts w:hint="eastAsia"/>
                <w:color w:val="auto"/>
              </w:rPr>
            </w:pPr>
            <w:r>
              <w:rPr>
                <w:rFonts w:hint="eastAsia"/>
                <w:color w:val="auto"/>
              </w:rPr>
              <w:t>居住与商业用地</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14.48</w:t>
            </w:r>
          </w:p>
        </w:tc>
        <w:tc>
          <w:tcPr>
            <w:tcW w:w="772" w:type="dxa"/>
            <w:noWrap w:val="0"/>
            <w:vAlign w:val="center"/>
          </w:tcPr>
          <w:p>
            <w:pPr>
              <w:pStyle w:val="113"/>
              <w:bidi w:val="0"/>
              <w:rPr>
                <w:rFonts w:hint="eastAsia"/>
                <w:color w:val="auto"/>
              </w:rPr>
            </w:pPr>
            <w:r>
              <w:rPr>
                <w:rFonts w:hint="eastAsia"/>
                <w:color w:val="auto"/>
              </w:rPr>
              <w:t>1</w:t>
            </w:r>
            <w:r>
              <w:rPr>
                <w:rFonts w:hint="eastAsia"/>
                <w:color w:val="auto"/>
                <w:lang w:val="en-US" w:eastAsia="zh-CN"/>
              </w:rPr>
              <w:t>0</w:t>
            </w:r>
            <w:r>
              <w:rPr>
                <w:rFonts w:hint="eastAsia"/>
                <w:color w:val="auto"/>
              </w:rPr>
              <w:t>.</w:t>
            </w:r>
            <w:r>
              <w:rPr>
                <w:rFonts w:hint="eastAsia"/>
                <w:color w:val="auto"/>
                <w:lang w:val="en-US" w:eastAsia="zh-CN"/>
              </w:rPr>
              <w:t>04</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69.34</w:t>
            </w:r>
          </w:p>
        </w:tc>
        <w:tc>
          <w:tcPr>
            <w:tcW w:w="771" w:type="dxa"/>
            <w:noWrap w:val="0"/>
            <w:vAlign w:val="center"/>
          </w:tcPr>
          <w:p>
            <w:pPr>
              <w:pStyle w:val="113"/>
              <w:bidi w:val="0"/>
              <w:rPr>
                <w:rFonts w:hint="eastAsia"/>
                <w:color w:val="auto"/>
                <w:lang w:val="en-US" w:eastAsia="zh-CN"/>
              </w:rPr>
            </w:pPr>
            <w:r>
              <w:rPr>
                <w:rFonts w:hint="eastAsia"/>
                <w:color w:val="auto"/>
              </w:rPr>
              <w:t>3</w:t>
            </w:r>
            <w:r>
              <w:rPr>
                <w:rFonts w:hint="eastAsia"/>
                <w:color w:val="auto"/>
                <w:lang w:val="en-US" w:eastAsia="zh-CN"/>
              </w:rPr>
              <w:t>2</w:t>
            </w:r>
            <w:r>
              <w:rPr>
                <w:rFonts w:hint="eastAsia"/>
                <w:color w:val="auto"/>
              </w:rPr>
              <w:t>.</w:t>
            </w:r>
            <w:r>
              <w:rPr>
                <w:rFonts w:hint="eastAsia"/>
                <w:color w:val="auto"/>
                <w:lang w:val="en-US" w:eastAsia="zh-CN"/>
              </w:rPr>
              <w:t>70</w:t>
            </w:r>
          </w:p>
        </w:tc>
        <w:tc>
          <w:tcPr>
            <w:tcW w:w="772" w:type="dxa"/>
            <w:noWrap w:val="0"/>
            <w:vAlign w:val="center"/>
          </w:tcPr>
          <w:p>
            <w:pPr>
              <w:pStyle w:val="113"/>
              <w:bidi w:val="0"/>
              <w:rPr>
                <w:rFonts w:hint="eastAsia"/>
                <w:color w:val="auto"/>
              </w:rPr>
            </w:pPr>
            <w:r>
              <w:rPr>
                <w:rFonts w:hint="eastAsia"/>
                <w:color w:val="auto"/>
              </w:rPr>
              <w:t>16.66</w:t>
            </w:r>
          </w:p>
        </w:tc>
        <w:tc>
          <w:tcPr>
            <w:tcW w:w="772" w:type="dxa"/>
            <w:noWrap w:val="0"/>
            <w:vAlign w:val="center"/>
          </w:tcPr>
          <w:p>
            <w:pPr>
              <w:pStyle w:val="113"/>
              <w:bidi w:val="0"/>
              <w:rPr>
                <w:rFonts w:hint="eastAsia"/>
                <w:color w:val="auto"/>
              </w:rPr>
            </w:pPr>
            <w:r>
              <w:rPr>
                <w:rFonts w:hint="eastAsia"/>
                <w:color w:val="auto"/>
                <w:lang w:val="en-US" w:eastAsia="zh-CN"/>
              </w:rPr>
              <w:t>50.95</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47.18</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26.70</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56.59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9" w:type="dxa"/>
            <w:noWrap w:val="0"/>
            <w:vAlign w:val="center"/>
          </w:tcPr>
          <w:p>
            <w:pPr>
              <w:pStyle w:val="113"/>
              <w:bidi w:val="0"/>
              <w:rPr>
                <w:rFonts w:hint="eastAsia"/>
                <w:color w:val="auto"/>
              </w:rPr>
            </w:pPr>
            <w:r>
              <w:rPr>
                <w:rFonts w:hint="eastAsia"/>
                <w:color w:val="auto"/>
              </w:rPr>
              <w:t>2</w:t>
            </w:r>
          </w:p>
        </w:tc>
        <w:tc>
          <w:tcPr>
            <w:tcW w:w="1079" w:type="dxa"/>
            <w:noWrap w:val="0"/>
            <w:vAlign w:val="center"/>
          </w:tcPr>
          <w:p>
            <w:pPr>
              <w:pStyle w:val="113"/>
              <w:bidi w:val="0"/>
              <w:rPr>
                <w:rFonts w:hint="eastAsia"/>
                <w:color w:val="auto"/>
              </w:rPr>
            </w:pPr>
            <w:r>
              <w:rPr>
                <w:rFonts w:hint="eastAsia"/>
                <w:color w:val="auto"/>
              </w:rPr>
              <w:t>工业与仓储用地</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130.55</w:t>
            </w:r>
          </w:p>
        </w:tc>
        <w:tc>
          <w:tcPr>
            <w:tcW w:w="772" w:type="dxa"/>
            <w:noWrap w:val="0"/>
            <w:vAlign w:val="center"/>
          </w:tcPr>
          <w:p>
            <w:pPr>
              <w:pStyle w:val="113"/>
              <w:bidi w:val="0"/>
              <w:rPr>
                <w:rFonts w:hint="eastAsia"/>
                <w:color w:val="auto"/>
              </w:rPr>
            </w:pPr>
            <w:r>
              <w:rPr>
                <w:rFonts w:hint="eastAsia"/>
                <w:color w:val="auto"/>
              </w:rPr>
              <w:t>75.27</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57.66</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118.19</w:t>
            </w:r>
          </w:p>
        </w:tc>
        <w:tc>
          <w:tcPr>
            <w:tcW w:w="772" w:type="dxa"/>
            <w:noWrap w:val="0"/>
            <w:vAlign w:val="center"/>
          </w:tcPr>
          <w:p>
            <w:pPr>
              <w:pStyle w:val="113"/>
              <w:bidi w:val="0"/>
              <w:rPr>
                <w:rFonts w:hint="eastAsia"/>
                <w:color w:val="auto"/>
              </w:rPr>
            </w:pPr>
            <w:r>
              <w:rPr>
                <w:rFonts w:hint="eastAsia"/>
                <w:color w:val="auto"/>
              </w:rPr>
              <w:t>55.27</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46.76</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248.74</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130.54</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52.48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9" w:type="dxa"/>
            <w:noWrap w:val="0"/>
            <w:vAlign w:val="center"/>
          </w:tcPr>
          <w:p>
            <w:pPr>
              <w:pStyle w:val="113"/>
              <w:bidi w:val="0"/>
              <w:rPr>
                <w:rFonts w:hint="eastAsia"/>
                <w:color w:val="auto"/>
              </w:rPr>
            </w:pPr>
            <w:r>
              <w:rPr>
                <w:rFonts w:hint="eastAsia"/>
                <w:color w:val="auto"/>
              </w:rPr>
              <w:t>3</w:t>
            </w:r>
          </w:p>
        </w:tc>
        <w:tc>
          <w:tcPr>
            <w:tcW w:w="1079" w:type="dxa"/>
            <w:noWrap w:val="0"/>
            <w:vAlign w:val="center"/>
          </w:tcPr>
          <w:p>
            <w:pPr>
              <w:pStyle w:val="113"/>
              <w:bidi w:val="0"/>
              <w:rPr>
                <w:rFonts w:hint="eastAsia"/>
                <w:color w:val="auto"/>
              </w:rPr>
            </w:pPr>
            <w:r>
              <w:rPr>
                <w:rFonts w:hint="eastAsia"/>
                <w:color w:val="auto"/>
              </w:rPr>
              <w:t>交通市政用地</w:t>
            </w:r>
          </w:p>
        </w:tc>
        <w:tc>
          <w:tcPr>
            <w:tcW w:w="771" w:type="dxa"/>
            <w:noWrap w:val="0"/>
            <w:vAlign w:val="center"/>
          </w:tcPr>
          <w:p>
            <w:pPr>
              <w:pStyle w:val="113"/>
              <w:bidi w:val="0"/>
              <w:rPr>
                <w:rFonts w:hint="eastAsia"/>
                <w:color w:val="auto"/>
                <w:lang w:val="en-US" w:eastAsia="zh-CN"/>
              </w:rPr>
            </w:pPr>
            <w:r>
              <w:rPr>
                <w:rFonts w:hint="eastAsia"/>
                <w:color w:val="auto"/>
              </w:rPr>
              <w:t>5</w:t>
            </w:r>
            <w:r>
              <w:rPr>
                <w:rFonts w:hint="eastAsia"/>
                <w:color w:val="auto"/>
                <w:lang w:val="en-US" w:eastAsia="zh-CN"/>
              </w:rPr>
              <w:t>1.60</w:t>
            </w:r>
          </w:p>
        </w:tc>
        <w:tc>
          <w:tcPr>
            <w:tcW w:w="772" w:type="dxa"/>
            <w:noWrap w:val="0"/>
            <w:vAlign w:val="center"/>
          </w:tcPr>
          <w:p>
            <w:pPr>
              <w:pStyle w:val="113"/>
              <w:bidi w:val="0"/>
              <w:rPr>
                <w:rFonts w:hint="eastAsia"/>
                <w:color w:val="auto"/>
              </w:rPr>
            </w:pPr>
            <w:r>
              <w:rPr>
                <w:rFonts w:hint="eastAsia"/>
                <w:color w:val="auto"/>
              </w:rPr>
              <w:t>20.72</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40.16</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31.33</w:t>
            </w:r>
          </w:p>
        </w:tc>
        <w:tc>
          <w:tcPr>
            <w:tcW w:w="772" w:type="dxa"/>
            <w:noWrap w:val="0"/>
            <w:vAlign w:val="center"/>
          </w:tcPr>
          <w:p>
            <w:pPr>
              <w:pStyle w:val="113"/>
              <w:bidi w:val="0"/>
              <w:rPr>
                <w:rFonts w:hint="eastAsia"/>
                <w:color w:val="auto"/>
              </w:rPr>
            </w:pPr>
            <w:r>
              <w:rPr>
                <w:rFonts w:hint="eastAsia"/>
                <w:color w:val="auto"/>
              </w:rPr>
              <w:t>10.01</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31.95</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82.93</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30.73</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37.06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9" w:type="dxa"/>
            <w:noWrap w:val="0"/>
            <w:vAlign w:val="center"/>
          </w:tcPr>
          <w:p>
            <w:pPr>
              <w:pStyle w:val="113"/>
              <w:bidi w:val="0"/>
              <w:rPr>
                <w:rFonts w:hint="eastAsia"/>
                <w:color w:val="auto"/>
              </w:rPr>
            </w:pPr>
            <w:r>
              <w:rPr>
                <w:rFonts w:hint="eastAsia"/>
                <w:color w:val="auto"/>
              </w:rPr>
              <w:t>4</w:t>
            </w:r>
          </w:p>
        </w:tc>
        <w:tc>
          <w:tcPr>
            <w:tcW w:w="1079" w:type="dxa"/>
            <w:noWrap w:val="0"/>
            <w:vAlign w:val="center"/>
          </w:tcPr>
          <w:p>
            <w:pPr>
              <w:pStyle w:val="113"/>
              <w:bidi w:val="0"/>
              <w:rPr>
                <w:rFonts w:hint="eastAsia"/>
                <w:color w:val="auto"/>
              </w:rPr>
            </w:pPr>
            <w:r>
              <w:rPr>
                <w:rFonts w:hint="eastAsia"/>
                <w:color w:val="auto"/>
              </w:rPr>
              <w:t>公共绿地</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23.92</w:t>
            </w:r>
          </w:p>
        </w:tc>
        <w:tc>
          <w:tcPr>
            <w:tcW w:w="772" w:type="dxa"/>
            <w:noWrap w:val="0"/>
            <w:vAlign w:val="center"/>
          </w:tcPr>
          <w:p>
            <w:pPr>
              <w:pStyle w:val="113"/>
              <w:bidi w:val="0"/>
              <w:rPr>
                <w:rFonts w:hint="eastAsia"/>
                <w:color w:val="auto"/>
              </w:rPr>
            </w:pPr>
            <w:r>
              <w:rPr>
                <w:rFonts w:hint="eastAsia"/>
                <w:color w:val="auto"/>
              </w:rPr>
              <w:t>1.50</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6.27</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5.61</w:t>
            </w:r>
          </w:p>
        </w:tc>
        <w:tc>
          <w:tcPr>
            <w:tcW w:w="772" w:type="dxa"/>
            <w:noWrap w:val="0"/>
            <w:vAlign w:val="center"/>
          </w:tcPr>
          <w:p>
            <w:pPr>
              <w:pStyle w:val="113"/>
              <w:bidi w:val="0"/>
              <w:rPr>
                <w:rFonts w:hint="eastAsia"/>
                <w:color w:val="auto"/>
              </w:rPr>
            </w:pPr>
            <w:r>
              <w:rPr>
                <w:rFonts w:hint="eastAsia"/>
                <w:color w:val="auto"/>
              </w:rPr>
              <w:t>0</w:t>
            </w:r>
          </w:p>
        </w:tc>
        <w:tc>
          <w:tcPr>
            <w:tcW w:w="772" w:type="dxa"/>
            <w:noWrap w:val="0"/>
            <w:vAlign w:val="center"/>
          </w:tcPr>
          <w:p>
            <w:pPr>
              <w:pStyle w:val="113"/>
              <w:bidi w:val="0"/>
              <w:rPr>
                <w:rFonts w:hint="eastAsia"/>
                <w:color w:val="auto"/>
              </w:rPr>
            </w:pPr>
            <w:r>
              <w:rPr>
                <w:rFonts w:hint="eastAsia"/>
                <w:color w:val="auto"/>
              </w:rPr>
              <w:t>0</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29.53</w:t>
            </w:r>
          </w:p>
        </w:tc>
        <w:tc>
          <w:tcPr>
            <w:tcW w:w="772" w:type="dxa"/>
            <w:noWrap w:val="0"/>
            <w:vAlign w:val="center"/>
          </w:tcPr>
          <w:p>
            <w:pPr>
              <w:pStyle w:val="113"/>
              <w:bidi w:val="0"/>
              <w:rPr>
                <w:rFonts w:hint="eastAsia"/>
                <w:color w:val="auto"/>
              </w:rPr>
            </w:pPr>
            <w:r>
              <w:rPr>
                <w:rFonts w:hint="eastAsia"/>
                <w:color w:val="auto"/>
              </w:rPr>
              <w:t>1.50</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5.08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9" w:type="dxa"/>
            <w:noWrap w:val="0"/>
            <w:vAlign w:val="center"/>
          </w:tcPr>
          <w:p>
            <w:pPr>
              <w:pStyle w:val="113"/>
              <w:bidi w:val="0"/>
              <w:rPr>
                <w:rFonts w:hint="eastAsia"/>
                <w:color w:val="auto"/>
              </w:rPr>
            </w:pPr>
            <w:r>
              <w:rPr>
                <w:rFonts w:hint="eastAsia"/>
                <w:color w:val="auto"/>
              </w:rPr>
              <w:t>合计</w:t>
            </w:r>
          </w:p>
        </w:tc>
        <w:tc>
          <w:tcPr>
            <w:tcW w:w="1079" w:type="dxa"/>
            <w:noWrap w:val="0"/>
            <w:vAlign w:val="center"/>
          </w:tcPr>
          <w:p>
            <w:pPr>
              <w:pStyle w:val="113"/>
              <w:bidi w:val="0"/>
              <w:rPr>
                <w:rFonts w:hint="eastAsia"/>
                <w:color w:val="auto"/>
              </w:rPr>
            </w:pPr>
            <w:r>
              <w:rPr>
                <w:rFonts w:hint="eastAsia"/>
                <w:color w:val="auto"/>
              </w:rPr>
              <w:t>城市建设用地</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220.55</w:t>
            </w:r>
          </w:p>
        </w:tc>
        <w:tc>
          <w:tcPr>
            <w:tcW w:w="772" w:type="dxa"/>
            <w:noWrap w:val="0"/>
            <w:vAlign w:val="center"/>
          </w:tcPr>
          <w:p>
            <w:pPr>
              <w:pStyle w:val="113"/>
              <w:bidi w:val="0"/>
              <w:rPr>
                <w:rFonts w:hint="eastAsia"/>
                <w:color w:val="auto"/>
              </w:rPr>
            </w:pPr>
            <w:r>
              <w:rPr>
                <w:rFonts w:hint="eastAsia"/>
                <w:color w:val="auto"/>
              </w:rPr>
              <w:t>1</w:t>
            </w:r>
            <w:r>
              <w:rPr>
                <w:rFonts w:hint="eastAsia"/>
                <w:color w:val="auto"/>
                <w:lang w:val="en-US" w:eastAsia="zh-CN"/>
              </w:rPr>
              <w:t>07.53</w:t>
            </w:r>
          </w:p>
        </w:tc>
        <w:tc>
          <w:tcPr>
            <w:tcW w:w="772" w:type="dxa"/>
            <w:noWrap w:val="0"/>
            <w:vAlign w:val="center"/>
          </w:tcPr>
          <w:p>
            <w:pPr>
              <w:pStyle w:val="113"/>
              <w:bidi w:val="0"/>
              <w:rPr>
                <w:rFonts w:hint="eastAsia"/>
                <w:color w:val="auto"/>
              </w:rPr>
            </w:pPr>
            <w:r>
              <w:rPr>
                <w:rFonts w:hint="eastAsia"/>
                <w:color w:val="auto"/>
                <w:lang w:val="en-US" w:eastAsia="zh-CN"/>
              </w:rPr>
              <w:t>48.76</w:t>
            </w:r>
            <w:r>
              <w:rPr>
                <w:rFonts w:hint="eastAsia"/>
                <w:color w:val="auto"/>
              </w:rPr>
              <w:t xml:space="preserve"> </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187.83</w:t>
            </w:r>
          </w:p>
        </w:tc>
        <w:tc>
          <w:tcPr>
            <w:tcW w:w="772" w:type="dxa"/>
            <w:noWrap w:val="0"/>
            <w:vAlign w:val="center"/>
          </w:tcPr>
          <w:p>
            <w:pPr>
              <w:pStyle w:val="113"/>
              <w:bidi w:val="0"/>
              <w:rPr>
                <w:rFonts w:hint="eastAsia"/>
                <w:color w:val="auto"/>
              </w:rPr>
            </w:pPr>
            <w:r>
              <w:rPr>
                <w:rFonts w:hint="eastAsia"/>
                <w:color w:val="auto"/>
              </w:rPr>
              <w:t>81.94</w:t>
            </w:r>
          </w:p>
        </w:tc>
        <w:tc>
          <w:tcPr>
            <w:tcW w:w="772" w:type="dxa"/>
            <w:noWrap w:val="0"/>
            <w:vAlign w:val="center"/>
          </w:tcPr>
          <w:p>
            <w:pPr>
              <w:pStyle w:val="113"/>
              <w:bidi w:val="0"/>
              <w:rPr>
                <w:rFonts w:hint="eastAsia"/>
                <w:color w:val="auto"/>
              </w:rPr>
            </w:pPr>
            <w:r>
              <w:rPr>
                <w:rFonts w:hint="eastAsia"/>
                <w:color w:val="auto"/>
                <w:lang w:val="en-US" w:eastAsia="zh-CN"/>
              </w:rPr>
              <w:t>43.62</w:t>
            </w:r>
          </w:p>
        </w:tc>
        <w:tc>
          <w:tcPr>
            <w:tcW w:w="771" w:type="dxa"/>
            <w:noWrap w:val="0"/>
            <w:vAlign w:val="center"/>
          </w:tcPr>
          <w:p>
            <w:pPr>
              <w:pStyle w:val="113"/>
              <w:bidi w:val="0"/>
              <w:rPr>
                <w:rFonts w:hint="eastAsia"/>
                <w:color w:val="auto"/>
                <w:lang w:val="en-US" w:eastAsia="zh-CN"/>
              </w:rPr>
            </w:pPr>
            <w:r>
              <w:rPr>
                <w:rFonts w:hint="eastAsia"/>
                <w:color w:val="auto"/>
                <w:lang w:val="en-US" w:eastAsia="zh-CN"/>
              </w:rPr>
              <w:t>408.38</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189.47</w:t>
            </w:r>
          </w:p>
        </w:tc>
        <w:tc>
          <w:tcPr>
            <w:tcW w:w="772" w:type="dxa"/>
            <w:noWrap w:val="0"/>
            <w:vAlign w:val="center"/>
          </w:tcPr>
          <w:p>
            <w:pPr>
              <w:pStyle w:val="113"/>
              <w:bidi w:val="0"/>
              <w:rPr>
                <w:rFonts w:hint="eastAsia"/>
                <w:color w:val="auto"/>
                <w:lang w:val="en-US" w:eastAsia="zh-CN"/>
              </w:rPr>
            </w:pPr>
            <w:r>
              <w:rPr>
                <w:rFonts w:hint="eastAsia"/>
                <w:color w:val="auto"/>
                <w:lang w:val="en-US" w:eastAsia="zh-CN"/>
              </w:rPr>
              <w:t>46.40</w:t>
            </w:r>
          </w:p>
        </w:tc>
      </w:tr>
    </w:tbl>
    <w:p>
      <w:pPr>
        <w:ind w:firstLine="480"/>
        <w:jc w:val="both"/>
        <w:rPr>
          <w:color w:val="auto"/>
          <w:u w:val="none"/>
        </w:rPr>
      </w:pPr>
      <w:r>
        <w:rPr>
          <w:rFonts w:hint="eastAsia"/>
          <w:color w:val="auto"/>
          <w:u w:val="none"/>
        </w:rPr>
        <w:t>本项目污水处理厂</w:t>
      </w:r>
      <w:r>
        <w:rPr>
          <w:rFonts w:hint="eastAsia"/>
          <w:color w:val="auto"/>
          <w:u w:val="none"/>
          <w:lang w:eastAsia="zh-CN"/>
        </w:rPr>
        <w:t>规划厂址位于</w:t>
      </w:r>
      <w:r>
        <w:rPr>
          <w:rFonts w:hint="eastAsia"/>
          <w:color w:val="auto"/>
          <w:lang w:eastAsia="zh-CN"/>
        </w:rPr>
        <w:t>商贸路与岔那大道交叉口，由于规划厂址紧邻</w:t>
      </w:r>
      <w:r>
        <w:rPr>
          <w:rFonts w:hint="eastAsia"/>
          <w:color w:val="auto"/>
          <w:lang w:val="en-US" w:eastAsia="zh-CN"/>
        </w:rPr>
        <w:t>湖南不二门国家级森林公园、湖南永顺猛洞河地质公园、</w:t>
      </w:r>
      <w:r>
        <w:rPr>
          <w:rFonts w:hint="eastAsia"/>
          <w:color w:val="auto"/>
          <w:lang w:eastAsia="zh-CN"/>
        </w:rPr>
        <w:t>猛洞河国家级风景名胜区，本项目运营过程中会产生一定的氨气、硫化氢等废气，故避免项目产生废气对敏感区造成污染，</w:t>
      </w:r>
      <w:r>
        <w:rPr>
          <w:rFonts w:hint="eastAsia"/>
          <w:color w:val="auto"/>
          <w:u w:val="none"/>
          <w:lang w:eastAsia="zh-CN"/>
        </w:rPr>
        <w:t>湘西猛洞河旅游生态开发区建设有限责任公司经过</w:t>
      </w:r>
      <w:r>
        <w:rPr>
          <w:rFonts w:hint="eastAsia"/>
          <w:color w:val="auto"/>
          <w:u w:val="none"/>
        </w:rPr>
        <w:t>现场实地勘察</w:t>
      </w:r>
      <w:r>
        <w:rPr>
          <w:rFonts w:hint="eastAsia"/>
          <w:color w:val="auto"/>
          <w:lang w:eastAsia="zh-CN"/>
        </w:rPr>
        <w:t>后确定本项目</w:t>
      </w:r>
      <w:r>
        <w:rPr>
          <w:rFonts w:hint="eastAsia"/>
          <w:color w:val="auto"/>
          <w:u w:val="none"/>
          <w:lang w:eastAsia="zh-CN"/>
        </w:rPr>
        <w:t>厂址</w:t>
      </w:r>
      <w:r>
        <w:rPr>
          <w:rFonts w:hint="eastAsia"/>
          <w:color w:val="auto"/>
          <w:u w:val="none"/>
        </w:rPr>
        <w:t>位于规划选址</w:t>
      </w:r>
      <w:r>
        <w:rPr>
          <w:rFonts w:hint="eastAsia"/>
          <w:color w:val="auto"/>
          <w:u w:val="none"/>
          <w:lang w:eastAsia="zh-CN"/>
        </w:rPr>
        <w:t>西北</w:t>
      </w:r>
      <w:r>
        <w:rPr>
          <w:rFonts w:hint="eastAsia"/>
          <w:color w:val="auto"/>
          <w:u w:val="none"/>
        </w:rPr>
        <w:t>侧</w:t>
      </w:r>
      <w:r>
        <w:rPr>
          <w:rFonts w:hint="eastAsia"/>
          <w:color w:val="auto"/>
          <w:u w:val="none"/>
          <w:lang w:val="en-US" w:eastAsia="zh-CN"/>
        </w:rPr>
        <w:t>1400</w:t>
      </w:r>
      <w:r>
        <w:rPr>
          <w:rFonts w:hint="eastAsia"/>
          <w:color w:val="auto"/>
          <w:u w:val="none"/>
        </w:rPr>
        <w:t>m处，</w:t>
      </w:r>
      <w:r>
        <w:rPr>
          <w:rFonts w:hint="eastAsia"/>
          <w:color w:val="auto"/>
          <w:u w:val="none"/>
          <w:lang w:eastAsia="zh-CN"/>
        </w:rPr>
        <w:t>根据</w:t>
      </w:r>
      <w:r>
        <w:rPr>
          <w:rFonts w:hint="eastAsia"/>
          <w:color w:val="auto"/>
          <w:u w:val="none"/>
        </w:rPr>
        <w:t>猛洞河产业园土地利用规划图</w:t>
      </w:r>
      <w:r>
        <w:rPr>
          <w:rFonts w:hint="eastAsia"/>
          <w:color w:val="auto"/>
          <w:u w:val="none"/>
          <w:lang w:eastAsia="zh-CN"/>
        </w:rPr>
        <w:t>，现厂址位于一类工业用地，项目建设性质与</w:t>
      </w:r>
      <w:r>
        <w:rPr>
          <w:rFonts w:hint="eastAsia"/>
          <w:color w:val="auto"/>
          <w:u w:val="none"/>
        </w:rPr>
        <w:t>猛洞河产业园土地利用规划</w:t>
      </w:r>
      <w:r>
        <w:rPr>
          <w:rFonts w:hint="eastAsia"/>
          <w:color w:val="auto"/>
          <w:u w:val="none"/>
          <w:lang w:eastAsia="zh-CN"/>
        </w:rPr>
        <w:t>不冲突</w:t>
      </w:r>
      <w:r>
        <w:rPr>
          <w:rFonts w:hint="eastAsia"/>
          <w:color w:val="auto"/>
          <w:u w:val="none"/>
        </w:rPr>
        <w:t>。</w:t>
      </w:r>
    </w:p>
    <w:p>
      <w:pPr>
        <w:ind w:firstLine="452"/>
        <w:rPr>
          <w:color w:val="auto"/>
          <w:spacing w:val="-7"/>
          <w:u w:val="none"/>
        </w:rPr>
      </w:pPr>
      <w:r>
        <w:rPr>
          <w:rFonts w:hint="eastAsia"/>
          <w:b/>
          <w:bCs/>
          <w:color w:val="auto"/>
          <w:spacing w:val="-7"/>
          <w:u w:val="none"/>
        </w:rPr>
        <w:t>3）规划环评符合性分析</w:t>
      </w:r>
    </w:p>
    <w:p>
      <w:pPr>
        <w:ind w:firstLine="480"/>
        <w:jc w:val="both"/>
        <w:rPr>
          <w:rFonts w:hint="eastAsia"/>
          <w:color w:val="auto"/>
          <w:u w:val="none"/>
          <w:lang w:eastAsia="zh-CN"/>
        </w:rPr>
      </w:pPr>
      <w:r>
        <w:rPr>
          <w:rFonts w:hint="eastAsia"/>
          <w:color w:val="auto"/>
          <w:u w:val="none"/>
          <w:lang w:eastAsia="zh-CN"/>
        </w:rPr>
        <w:t>为推动县域资源整合与开发区转型升级，永顺经济开发区拟通过调区扩区由原面积204.7公顷调整至408.38公顷(园区面积及范围数据以省政府最终核准的信息为准)，调扩区后为“一区两园”架构，具体方案为：芙蓉镇产业园位于原永顺经开区所在地芙蓉镇原址区，用地面积由204.7公顷调至220.55公顷；猛洞河产业园位于永顺县城所在地的灵溪镇，规划用地面积187.83公顷，四至范围为东至猛洞河，南至岔那村，西至岔那村老寨组，北至琵琶湾，主要发展特色食品加工业、电子信息业、新型材料业，配套电子商务和现代物流业。</w:t>
      </w:r>
    </w:p>
    <w:p>
      <w:pPr>
        <w:keepNext w:val="0"/>
        <w:keepLines w:val="0"/>
        <w:pageBreakBefore w:val="0"/>
        <w:widowControl/>
        <w:kinsoku/>
        <w:wordWrap/>
        <w:overflowPunct/>
        <w:topLinePunct w:val="0"/>
        <w:autoSpaceDE/>
        <w:autoSpaceDN/>
        <w:bidi w:val="0"/>
        <w:adjustRightInd/>
        <w:snapToGrid/>
        <w:ind w:left="0" w:leftChars="0" w:firstLine="480" w:firstLineChars="200"/>
        <w:jc w:val="both"/>
        <w:textAlignment w:val="auto"/>
        <w:rPr>
          <w:rFonts w:hint="eastAsia"/>
          <w:color w:val="auto"/>
          <w:u w:val="none"/>
          <w:lang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26" w:charSpace="0"/>
        </w:sectPr>
      </w:pPr>
      <w:r>
        <w:rPr>
          <w:rFonts w:hint="eastAsia"/>
          <w:color w:val="auto"/>
          <w:u w:val="none"/>
          <w:lang w:eastAsia="zh-CN"/>
        </w:rPr>
        <w:t>湖南永顺经济开发区管理委员会于</w:t>
      </w:r>
      <w:r>
        <w:rPr>
          <w:rFonts w:hint="eastAsia"/>
          <w:color w:val="auto"/>
          <w:u w:val="none"/>
          <w:lang w:val="en-US" w:eastAsia="zh-CN"/>
        </w:rPr>
        <w:t>2021年1月</w:t>
      </w:r>
      <w:r>
        <w:rPr>
          <w:rFonts w:hint="eastAsia"/>
          <w:color w:val="auto"/>
          <w:u w:val="none"/>
          <w:lang w:eastAsia="zh-CN"/>
        </w:rPr>
        <w:t>委托</w:t>
      </w:r>
      <w:r>
        <w:rPr>
          <w:rFonts w:hint="eastAsia"/>
          <w:color w:val="auto"/>
          <w:u w:val="none"/>
        </w:rPr>
        <w:t>湖南天瑶环境技术有限公司</w:t>
      </w:r>
      <w:r>
        <w:rPr>
          <w:rFonts w:hint="eastAsia"/>
          <w:color w:val="auto"/>
          <w:u w:val="none"/>
          <w:lang w:eastAsia="zh-CN"/>
        </w:rPr>
        <w:t>编制了《湖南永顺经济开发区调扩区环境影响报告书》，湖南省生态环境厅于</w:t>
      </w:r>
      <w:r>
        <w:rPr>
          <w:rFonts w:hint="eastAsia"/>
          <w:color w:val="auto"/>
          <w:u w:val="none"/>
          <w:lang w:val="en-US" w:eastAsia="zh-CN"/>
        </w:rPr>
        <w:t>2021年2月2号出具</w:t>
      </w:r>
      <w:r>
        <w:rPr>
          <w:rFonts w:hint="eastAsia"/>
          <w:color w:val="auto"/>
          <w:u w:val="none"/>
          <w:lang w:eastAsia="zh-CN"/>
        </w:rPr>
        <w:t>关于</w:t>
      </w:r>
      <w:r>
        <w:rPr>
          <w:rFonts w:hint="eastAsia"/>
          <w:color w:val="auto"/>
          <w:kern w:val="0"/>
          <w:u w:val="none"/>
        </w:rPr>
        <w:t>《</w:t>
      </w:r>
      <w:r>
        <w:rPr>
          <w:rFonts w:hint="eastAsia"/>
          <w:color w:val="auto"/>
          <w:kern w:val="0"/>
          <w:u w:val="none"/>
          <w:lang w:eastAsia="zh-CN"/>
        </w:rPr>
        <w:t>湖南永顺经济开发区调区扩区规划</w:t>
      </w:r>
      <w:r>
        <w:rPr>
          <w:rFonts w:hint="eastAsia"/>
          <w:color w:val="auto"/>
          <w:kern w:val="0"/>
          <w:u w:val="none"/>
        </w:rPr>
        <w:t>环境影响报告书》</w:t>
      </w:r>
      <w:r>
        <w:rPr>
          <w:rFonts w:hint="eastAsia"/>
          <w:color w:val="auto"/>
          <w:kern w:val="0"/>
          <w:u w:val="none"/>
          <w:lang w:eastAsia="zh-CN"/>
        </w:rPr>
        <w:t>审查意见的函</w:t>
      </w:r>
      <w:r>
        <w:rPr>
          <w:rFonts w:hint="eastAsia"/>
          <w:color w:val="auto"/>
          <w:u w:val="none"/>
        </w:rPr>
        <w:t>（</w:t>
      </w:r>
      <w:r>
        <w:rPr>
          <w:rFonts w:hint="eastAsia"/>
          <w:color w:val="auto"/>
          <w:szCs w:val="21"/>
          <w:u w:val="none"/>
          <w:lang w:eastAsia="zh-CN"/>
        </w:rPr>
        <w:t>湘</w:t>
      </w:r>
      <w:r>
        <w:rPr>
          <w:rFonts w:hint="eastAsia"/>
          <w:color w:val="auto"/>
          <w:szCs w:val="21"/>
          <w:u w:val="none"/>
        </w:rPr>
        <w:t>环评</w:t>
      </w:r>
      <w:r>
        <w:rPr>
          <w:rFonts w:hint="eastAsia"/>
          <w:color w:val="auto"/>
          <w:szCs w:val="21"/>
          <w:u w:val="none"/>
          <w:lang w:eastAsia="zh-CN"/>
        </w:rPr>
        <w:t>函</w:t>
      </w:r>
      <w:r>
        <w:rPr>
          <w:rFonts w:hint="eastAsia"/>
          <w:color w:val="auto"/>
          <w:szCs w:val="21"/>
          <w:u w:val="none"/>
        </w:rPr>
        <w:t>【20</w:t>
      </w:r>
      <w:r>
        <w:rPr>
          <w:rFonts w:hint="eastAsia"/>
          <w:color w:val="auto"/>
          <w:szCs w:val="21"/>
          <w:u w:val="none"/>
          <w:lang w:val="en-US" w:eastAsia="zh-CN"/>
        </w:rPr>
        <w:t>21</w:t>
      </w:r>
      <w:r>
        <w:rPr>
          <w:rFonts w:hint="eastAsia"/>
          <w:color w:val="auto"/>
          <w:szCs w:val="21"/>
          <w:u w:val="none"/>
        </w:rPr>
        <w:t>】</w:t>
      </w:r>
      <w:r>
        <w:rPr>
          <w:rFonts w:hint="eastAsia"/>
          <w:color w:val="auto"/>
          <w:szCs w:val="21"/>
          <w:u w:val="none"/>
          <w:lang w:val="en-US" w:eastAsia="zh-CN"/>
        </w:rPr>
        <w:t>5</w:t>
      </w:r>
      <w:r>
        <w:rPr>
          <w:rFonts w:hint="eastAsia"/>
          <w:color w:val="auto"/>
          <w:szCs w:val="21"/>
          <w:u w:val="none"/>
        </w:rPr>
        <w:t>号</w:t>
      </w:r>
      <w:r>
        <w:rPr>
          <w:rFonts w:hint="eastAsia"/>
          <w:color w:val="auto"/>
          <w:u w:val="none"/>
        </w:rPr>
        <w:t>）</w:t>
      </w:r>
      <w:r>
        <w:rPr>
          <w:rFonts w:hint="eastAsia"/>
          <w:color w:val="auto"/>
          <w:u w:val="none"/>
          <w:lang w:eastAsia="zh-CN"/>
        </w:rPr>
        <w:t>，本项目与湖南永顺经济开发区调扩区环境影响报告书审查意见的符合性分析如下表</w:t>
      </w:r>
      <w:r>
        <w:rPr>
          <w:rFonts w:hint="eastAsia"/>
          <w:color w:val="auto"/>
          <w:u w:val="none"/>
          <w:lang w:val="en-US" w:eastAsia="zh-CN"/>
        </w:rPr>
        <w:t>3-5</w:t>
      </w:r>
      <w:r>
        <w:rPr>
          <w:rFonts w:hint="eastAsia"/>
          <w:color w:val="auto"/>
          <w:u w:val="none"/>
          <w:lang w:eastAsia="zh-CN"/>
        </w:rPr>
        <w:t>：</w:t>
      </w:r>
    </w:p>
    <w:p>
      <w:pPr>
        <w:pStyle w:val="124"/>
        <w:bidi w:val="0"/>
        <w:rPr>
          <w:rFonts w:hint="default"/>
          <w:color w:val="auto"/>
          <w:lang w:val="en-US" w:eastAsia="zh-CN"/>
        </w:rPr>
      </w:pPr>
      <w:r>
        <w:rPr>
          <w:rFonts w:hint="eastAsia"/>
          <w:color w:val="auto"/>
          <w:lang w:eastAsia="zh-CN"/>
        </w:rPr>
        <w:t>表</w:t>
      </w:r>
      <w:r>
        <w:rPr>
          <w:rFonts w:hint="eastAsia"/>
          <w:color w:val="auto"/>
          <w:lang w:val="en-US" w:eastAsia="zh-CN"/>
        </w:rPr>
        <w:t>3-5  本项目与</w:t>
      </w:r>
      <w:r>
        <w:rPr>
          <w:rFonts w:hint="eastAsia"/>
          <w:color w:val="auto"/>
          <w:u w:val="none"/>
          <w:lang w:eastAsia="zh-CN"/>
        </w:rPr>
        <w:t>湖南永顺经济开发区</w:t>
      </w:r>
      <w:r>
        <w:rPr>
          <w:rFonts w:hint="eastAsia"/>
          <w:color w:val="auto"/>
          <w:lang w:val="en-US" w:eastAsia="zh-CN"/>
        </w:rPr>
        <w:t>调扩区规划环评审查意见符合性分析</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9"/>
        <w:gridCol w:w="5305"/>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389" w:type="dxa"/>
            <w:noWrap w:val="0"/>
            <w:vAlign w:val="top"/>
          </w:tcPr>
          <w:p>
            <w:pPr>
              <w:pStyle w:val="103"/>
              <w:bidi w:val="0"/>
              <w:rPr>
                <w:rFonts w:hint="eastAsia"/>
                <w:color w:val="auto"/>
                <w:lang w:eastAsia="zh-CN"/>
              </w:rPr>
            </w:pPr>
            <w:r>
              <w:rPr>
                <w:rFonts w:hint="eastAsia"/>
                <w:color w:val="auto"/>
                <w:lang w:eastAsia="zh-CN"/>
              </w:rPr>
              <w:t>审查意见</w:t>
            </w:r>
          </w:p>
        </w:tc>
        <w:tc>
          <w:tcPr>
            <w:tcW w:w="5305" w:type="dxa"/>
            <w:noWrap w:val="0"/>
            <w:vAlign w:val="top"/>
          </w:tcPr>
          <w:p>
            <w:pPr>
              <w:pStyle w:val="103"/>
              <w:bidi w:val="0"/>
              <w:rPr>
                <w:rFonts w:hint="eastAsia"/>
                <w:color w:val="auto"/>
                <w:lang w:eastAsia="zh-CN"/>
              </w:rPr>
            </w:pPr>
            <w:r>
              <w:rPr>
                <w:rFonts w:hint="eastAsia"/>
                <w:color w:val="auto"/>
                <w:lang w:eastAsia="zh-CN"/>
              </w:rPr>
              <w:t>本项目</w:t>
            </w:r>
          </w:p>
        </w:tc>
        <w:tc>
          <w:tcPr>
            <w:tcW w:w="2364" w:type="dxa"/>
            <w:noWrap w:val="0"/>
            <w:vAlign w:val="center"/>
          </w:tcPr>
          <w:p>
            <w:pPr>
              <w:pStyle w:val="103"/>
              <w:bidi w:val="0"/>
              <w:jc w:val="center"/>
              <w:rPr>
                <w:rFonts w:hint="eastAsia"/>
                <w:color w:val="auto"/>
                <w:lang w:eastAsia="zh-CN"/>
              </w:rPr>
            </w:pPr>
            <w:r>
              <w:rPr>
                <w:rFonts w:hint="eastAsia"/>
                <w:color w:val="auto"/>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trPr>
        <w:tc>
          <w:tcPr>
            <w:tcW w:w="6389" w:type="dxa"/>
            <w:noWrap w:val="0"/>
            <w:vAlign w:val="center"/>
          </w:tcPr>
          <w:p>
            <w:pPr>
              <w:pStyle w:val="120"/>
              <w:bidi w:val="0"/>
              <w:jc w:val="both"/>
              <w:rPr>
                <w:rFonts w:hint="eastAsia"/>
                <w:color w:val="auto"/>
                <w:lang w:eastAsia="zh-CN"/>
              </w:rPr>
            </w:pPr>
            <w:r>
              <w:rPr>
                <w:rFonts w:hint="eastAsia"/>
                <w:color w:val="auto"/>
                <w:lang w:eastAsia="zh-CN"/>
              </w:rPr>
              <w:t>（一）严格依规开发，优化空间功能布局。按照最新的国土空间规划科学开展空间发展布局，将空间管制融入园区规划实施全过程，规划用地不得涉及各类法定保护地，严格按照经核准的规划范围开展园区建设，严禁随意扩大现有园区范围。从环境相容性的角度优化空间布局，将园区生产活动对区内安置区和周边生态敏感区等功能区块的影响降至最低。猛洞河产业园东北部局部用地和芙蓉镇产业园西南部局部用地涉及猛洞河风景名胜区外围保护区的地带应当严格执行该风景名胜区保护条例相关要求</w:t>
            </w:r>
          </w:p>
        </w:tc>
        <w:tc>
          <w:tcPr>
            <w:tcW w:w="5305" w:type="dxa"/>
            <w:noWrap w:val="0"/>
            <w:vAlign w:val="center"/>
          </w:tcPr>
          <w:p>
            <w:pPr>
              <w:pStyle w:val="120"/>
              <w:bidi w:val="0"/>
              <w:jc w:val="both"/>
              <w:rPr>
                <w:rFonts w:hint="default"/>
                <w:color w:val="auto"/>
                <w:lang w:val="en-US" w:eastAsia="zh-CN"/>
              </w:rPr>
            </w:pPr>
            <w:r>
              <w:rPr>
                <w:rFonts w:hint="eastAsia"/>
                <w:color w:val="auto"/>
                <w:lang w:eastAsia="zh-CN"/>
              </w:rPr>
              <w:t>本项目选址位于湘西州永顺县灵溪镇岔那村（猛洞河产业园内），不超出园区范围，经本环评污染源强分析，本项目产生废气、废水、噪声及固废均对周围敏感点影响较小；本项目部分排水管道约</w:t>
            </w:r>
            <w:r>
              <w:rPr>
                <w:rFonts w:hint="eastAsia"/>
                <w:color w:val="auto"/>
                <w:lang w:val="en-US" w:eastAsia="zh-CN"/>
              </w:rPr>
              <w:t>150m位于猛洞河风景名胜区外围保护区，外围保护区不属于风景名胜区范围，重点保护整体景观风貌与生态环境不受破坏。经本项目与《猛洞河风景名胜区总体规划》符合性分析，本项目的用地与和产业布置规划符合《猛洞河风景名胜区总体规划》的管控要求，与《猛洞河风景名胜区总体规划》无冲突。</w:t>
            </w:r>
          </w:p>
        </w:tc>
        <w:tc>
          <w:tcPr>
            <w:tcW w:w="2364" w:type="dxa"/>
            <w:noWrap w:val="0"/>
            <w:vAlign w:val="center"/>
          </w:tcPr>
          <w:p>
            <w:pPr>
              <w:pStyle w:val="120"/>
              <w:bidi w:val="0"/>
              <w:jc w:val="cente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trPr>
        <w:tc>
          <w:tcPr>
            <w:tcW w:w="6389" w:type="dxa"/>
            <w:noWrap w:val="0"/>
            <w:vAlign w:val="center"/>
          </w:tcPr>
          <w:p>
            <w:pPr>
              <w:pStyle w:val="120"/>
              <w:bidi w:val="0"/>
              <w:jc w:val="both"/>
              <w:rPr>
                <w:rFonts w:hint="eastAsia"/>
                <w:color w:val="auto"/>
                <w:lang w:eastAsia="zh-CN"/>
              </w:rPr>
            </w:pPr>
            <w:r>
              <w:rPr>
                <w:rFonts w:hint="eastAsia"/>
                <w:color w:val="auto"/>
                <w:lang w:eastAsia="zh-CN"/>
              </w:rPr>
              <w:t>（二）严格环境准入，优化园区产业结构。落实产业园区生态环境准入清单要求，严格执行《报告书》提出的环境准入负面清单。禁止引入排放重金属、有毒有害物质、难降解水型污染物以及排放废水超过配套的废水处理设施处理能力的项目，严控以气型污染为主、废气排放量大的产业入驻。</w:t>
            </w:r>
          </w:p>
        </w:tc>
        <w:tc>
          <w:tcPr>
            <w:tcW w:w="5305" w:type="dxa"/>
            <w:noWrap w:val="0"/>
            <w:vAlign w:val="center"/>
          </w:tcPr>
          <w:p>
            <w:pPr>
              <w:pStyle w:val="120"/>
              <w:bidi w:val="0"/>
              <w:jc w:val="both"/>
              <w:rPr>
                <w:rFonts w:hint="default"/>
                <w:color w:val="auto"/>
                <w:lang w:val="en-US" w:eastAsia="zh-CN"/>
              </w:rPr>
            </w:pPr>
            <w:r>
              <w:rPr>
                <w:rFonts w:hint="eastAsia" w:ascii="宋体" w:hAnsi="宋体" w:eastAsia="宋体" w:cs="宋体"/>
                <w:bCs/>
                <w:color w:val="auto"/>
                <w:kern w:val="44"/>
                <w:u w:val="none"/>
                <w:lang w:val="zh-CN" w:eastAsia="zh-CN"/>
              </w:rPr>
              <w:t>根据湖南省发展和改革委员会关于印发《湖南省国家重点生态功能区产业准入负面清单》，本项目不属于《</w:t>
            </w:r>
            <w:r>
              <w:rPr>
                <w:rFonts w:hint="eastAsia" w:ascii="宋体" w:hAnsi="宋体" w:eastAsia="宋体" w:cs="宋体"/>
                <w:bCs/>
                <w:color w:val="auto"/>
                <w:kern w:val="44"/>
                <w:u w:val="none"/>
                <w:lang w:eastAsia="zh-CN"/>
              </w:rPr>
              <w:t>永顺县</w:t>
            </w:r>
            <w:r>
              <w:rPr>
                <w:rFonts w:hint="eastAsia" w:ascii="宋体" w:hAnsi="宋体" w:eastAsia="宋体" w:cs="宋体"/>
                <w:bCs/>
                <w:color w:val="auto"/>
                <w:kern w:val="44"/>
                <w:u w:val="none"/>
                <w:lang w:val="zh-CN" w:eastAsia="zh-CN"/>
              </w:rPr>
              <w:t>产业准入负面清单》中限制类和禁止类；根据国家发展改革委、商务部印</w:t>
            </w:r>
            <w:r>
              <w:rPr>
                <w:rFonts w:hint="default" w:ascii="Times New Roman" w:hAnsi="Times New Roman" w:eastAsia="宋体" w:cs="Times New Roman"/>
                <w:bCs/>
                <w:color w:val="auto"/>
                <w:kern w:val="44"/>
                <w:u w:val="none"/>
                <w:lang w:val="zh-CN" w:eastAsia="zh-CN"/>
              </w:rPr>
              <w:t>发《市场准入负面清单》（</w:t>
            </w:r>
            <w:r>
              <w:rPr>
                <w:rFonts w:hint="default" w:ascii="Times New Roman" w:hAnsi="Times New Roman" w:eastAsia="宋体" w:cs="Times New Roman"/>
                <w:bCs/>
                <w:color w:val="auto"/>
                <w:kern w:val="44"/>
                <w:u w:val="none"/>
                <w:lang w:eastAsia="zh-CN"/>
              </w:rPr>
              <w:t>2022年版</w:t>
            </w:r>
            <w:r>
              <w:rPr>
                <w:rFonts w:hint="default" w:ascii="Times New Roman" w:hAnsi="Times New Roman" w:eastAsia="宋体" w:cs="Times New Roman"/>
                <w:bCs/>
                <w:color w:val="auto"/>
                <w:kern w:val="44"/>
                <w:u w:val="none"/>
                <w:lang w:val="zh-CN" w:eastAsia="zh-CN"/>
              </w:rPr>
              <w:t>）发改体改规</w:t>
            </w:r>
            <w:r>
              <w:rPr>
                <w:rFonts w:hint="default" w:ascii="Times New Roman" w:hAnsi="Times New Roman" w:eastAsia="宋体" w:cs="Times New Roman"/>
                <w:bCs/>
                <w:color w:val="auto"/>
                <w:kern w:val="44"/>
                <w:u w:val="none"/>
                <w:lang w:eastAsia="zh-CN"/>
              </w:rPr>
              <w:t>[2022]397号</w:t>
            </w:r>
            <w:r>
              <w:rPr>
                <w:rFonts w:hint="eastAsia" w:ascii="宋体" w:hAnsi="宋体" w:eastAsia="宋体" w:cs="宋体"/>
                <w:bCs/>
                <w:color w:val="auto"/>
                <w:kern w:val="44"/>
                <w:u w:val="none"/>
                <w:lang w:eastAsia="zh-CN"/>
              </w:rPr>
              <w:t>，本项目不属于禁止准入类事项，故项目不属于国家和地方产业准入负面清单项目</w:t>
            </w:r>
            <w:r>
              <w:rPr>
                <w:rFonts w:hint="eastAsia" w:ascii="宋体" w:hAnsi="宋体" w:eastAsia="宋体" w:cs="宋体"/>
                <w:bCs/>
                <w:color w:val="auto"/>
                <w:kern w:val="44"/>
                <w:u w:val="none"/>
                <w:lang w:val="zh-CN" w:eastAsia="zh-CN"/>
              </w:rPr>
              <w:t>。本项目要求园区企业废水经过污水预处理设施处理达到《</w:t>
            </w:r>
            <w:r>
              <w:rPr>
                <w:rFonts w:hint="eastAsia" w:ascii="宋体" w:hAnsi="宋体" w:cs="宋体"/>
                <w:bCs/>
                <w:color w:val="auto"/>
                <w:kern w:val="44"/>
                <w:u w:val="none"/>
                <w:lang w:val="zh-CN" w:eastAsia="zh-CN"/>
              </w:rPr>
              <w:t>污水综合排放标准</w:t>
            </w:r>
            <w:r>
              <w:rPr>
                <w:rFonts w:hint="eastAsia" w:ascii="宋体" w:hAnsi="宋体" w:eastAsia="宋体" w:cs="宋体"/>
                <w:bCs/>
                <w:color w:val="auto"/>
                <w:kern w:val="44"/>
                <w:u w:val="none"/>
                <w:lang w:val="zh-CN" w:eastAsia="zh-CN"/>
              </w:rPr>
              <w:t>》</w:t>
            </w:r>
            <w:r>
              <w:rPr>
                <w:rFonts w:hint="eastAsia" w:ascii="宋体" w:hAnsi="宋体" w:cs="宋体"/>
                <w:bCs/>
                <w:color w:val="auto"/>
                <w:kern w:val="44"/>
                <w:u w:val="none"/>
                <w:lang w:val="zh-CN" w:eastAsia="zh-CN"/>
              </w:rPr>
              <w:t>三级标准</w:t>
            </w:r>
            <w:r>
              <w:rPr>
                <w:rFonts w:hint="eastAsia" w:ascii="宋体" w:hAnsi="宋体" w:eastAsia="宋体" w:cs="宋体"/>
                <w:bCs/>
                <w:color w:val="auto"/>
                <w:kern w:val="44"/>
                <w:u w:val="none"/>
                <w:lang w:val="zh-CN" w:eastAsia="zh-CN"/>
              </w:rPr>
              <w:t>后方可排入本污水处理厂深度处理；经大气环境预测，本项目废气产生量极少，对周边环境影响较小。</w:t>
            </w:r>
          </w:p>
        </w:tc>
        <w:tc>
          <w:tcPr>
            <w:tcW w:w="2364" w:type="dxa"/>
            <w:noWrap w:val="0"/>
            <w:vAlign w:val="center"/>
          </w:tcPr>
          <w:p>
            <w:pPr>
              <w:pStyle w:val="120"/>
              <w:bidi w:val="0"/>
              <w:jc w:val="cente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4" w:hRule="atLeast"/>
        </w:trPr>
        <w:tc>
          <w:tcPr>
            <w:tcW w:w="6389" w:type="dxa"/>
            <w:noWrap w:val="0"/>
            <w:vAlign w:val="center"/>
          </w:tcPr>
          <w:p>
            <w:pPr>
              <w:pStyle w:val="120"/>
              <w:bidi w:val="0"/>
              <w:jc w:val="both"/>
              <w:rPr>
                <w:rFonts w:hint="eastAsia"/>
                <w:color w:val="auto"/>
                <w:lang w:eastAsia="zh-CN"/>
              </w:rPr>
            </w:pPr>
            <w:r>
              <w:rPr>
                <w:rFonts w:hint="eastAsia"/>
                <w:color w:val="auto"/>
                <w:lang w:eastAsia="zh-CN"/>
              </w:rPr>
              <w:t>（三）落实管控措施，加强园区排污管理。园区须完善污水管网建设，做好雨污分流，确保园区各片区生产生活废水应收尽收，集中排入污水处理厂，管网建设未完成、污水管网未接通之前，新建涉生产废水排放的企业不得投产。猛洞河产业园区应按承诺时限要求完成园区污水处理厂及管网的建设与调试，其污水处理厂尾水排放按《城镇污水处理厂污染物排放标准》GB18918-2002-级A标准控制达标排放。加强园区大气污染防治，加强对重点排放企业的监管，采取有效措施减少污染物排放总量，严格控制无组织排放。采取全流程管控措施，建立园区固废规范化管理体系，做好工业固体废物和生活垃圾的分类收集、转运、综合利用和无害化处理。对各类工业企业产生固体废物特别是危险固废应严格按照国家有关规定综合利用或妥善处置，对危险废物产生企业和经营单位，强化日常环境监管。园区须严格落实排污许可制度和污染物排放总量控制，督促入园企业及时完成环境保护竣工验收工作，推动重点污染企业完成清洁生产审核工作。</w:t>
            </w:r>
          </w:p>
        </w:tc>
        <w:tc>
          <w:tcPr>
            <w:tcW w:w="5305" w:type="dxa"/>
            <w:noWrap w:val="0"/>
            <w:vAlign w:val="center"/>
          </w:tcPr>
          <w:p>
            <w:pPr>
              <w:pStyle w:val="120"/>
              <w:bidi w:val="0"/>
              <w:jc w:val="both"/>
              <w:rPr>
                <w:rFonts w:hint="eastAsia"/>
                <w:color w:val="auto"/>
                <w:lang w:eastAsia="zh-CN"/>
              </w:rPr>
            </w:pPr>
            <w:r>
              <w:rPr>
                <w:rFonts w:hint="eastAsia"/>
                <w:color w:val="auto"/>
                <w:lang w:eastAsia="zh-CN"/>
              </w:rPr>
              <w:t>本项目建成后</w:t>
            </w:r>
            <w:r>
              <w:rPr>
                <w:rFonts w:hint="eastAsia"/>
                <w:color w:val="auto"/>
                <w:kern w:val="0"/>
              </w:rPr>
              <w:t>主要用于</w:t>
            </w:r>
            <w:r>
              <w:rPr>
                <w:rFonts w:hint="eastAsia"/>
                <w:color w:val="auto"/>
                <w:kern w:val="0"/>
                <w:lang w:eastAsia="zh-CN"/>
              </w:rPr>
              <w:t>接纳永顺经济开发区猛洞河产业园内的企事业污水，实现园区污水处理全覆盖，完善了园区基础设施建设；本项目未建成投产前，园区内企事业生产废水均回用，生活废水定期清掏做农肥，不外排；本项目运营期产生的固废均委托第三方处理。</w:t>
            </w:r>
          </w:p>
        </w:tc>
        <w:tc>
          <w:tcPr>
            <w:tcW w:w="2364" w:type="dxa"/>
            <w:noWrap w:val="0"/>
            <w:vAlign w:val="center"/>
          </w:tcPr>
          <w:p>
            <w:pPr>
              <w:pStyle w:val="120"/>
              <w:bidi w:val="0"/>
              <w:jc w:val="cente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trPr>
        <w:tc>
          <w:tcPr>
            <w:tcW w:w="6389" w:type="dxa"/>
            <w:noWrap w:val="0"/>
            <w:vAlign w:val="top"/>
          </w:tcPr>
          <w:p>
            <w:pPr>
              <w:pStyle w:val="120"/>
              <w:bidi w:val="0"/>
              <w:jc w:val="both"/>
              <w:rPr>
                <w:rFonts w:hint="eastAsia"/>
                <w:color w:val="auto"/>
                <w:lang w:eastAsia="zh-CN"/>
              </w:rPr>
            </w:pPr>
            <w:r>
              <w:rPr>
                <w:rFonts w:hint="eastAsia"/>
                <w:color w:val="auto"/>
                <w:lang w:eastAsia="zh-CN"/>
              </w:rPr>
              <w:t>（四）完善监测体系，监控环境质量变化状况。园区应落实《报告书》提出的监测方案，结合园区规划的功能分区、产业布局、重点企业分布、特征污染物的排放种类和状况、环境敏感目标分布等，建立健全环境空气、地表水、地下水、土壤等环境要素的监控体系，跟踪监控园区发展所产生的污染物排放对周边各类自然保护地等敏感目标的环境质量影响。</w:t>
            </w:r>
          </w:p>
        </w:tc>
        <w:tc>
          <w:tcPr>
            <w:tcW w:w="5305" w:type="dxa"/>
            <w:noWrap w:val="0"/>
            <w:vAlign w:val="center"/>
          </w:tcPr>
          <w:p>
            <w:pPr>
              <w:pStyle w:val="120"/>
              <w:bidi w:val="0"/>
              <w:jc w:val="both"/>
              <w:rPr>
                <w:rFonts w:hint="eastAsia"/>
                <w:color w:val="auto"/>
                <w:lang w:eastAsia="zh-CN"/>
              </w:rPr>
            </w:pPr>
            <w:r>
              <w:rPr>
                <w:rFonts w:hint="eastAsia"/>
                <w:color w:val="auto"/>
                <w:lang w:eastAsia="zh-CN"/>
              </w:rPr>
              <w:t>本项目运营期严格按照《排污许可证申请与核发技术规范水处理》中自行监测要求进行日常监测。</w:t>
            </w:r>
          </w:p>
        </w:tc>
        <w:tc>
          <w:tcPr>
            <w:tcW w:w="2364" w:type="dxa"/>
            <w:noWrap w:val="0"/>
            <w:vAlign w:val="center"/>
          </w:tcPr>
          <w:p>
            <w:pPr>
              <w:pStyle w:val="120"/>
              <w:bidi w:val="0"/>
              <w:jc w:val="cente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6389" w:type="dxa"/>
            <w:noWrap w:val="0"/>
            <w:vAlign w:val="top"/>
          </w:tcPr>
          <w:p>
            <w:pPr>
              <w:pStyle w:val="120"/>
              <w:bidi w:val="0"/>
              <w:jc w:val="both"/>
              <w:rPr>
                <w:rFonts w:hint="eastAsia"/>
                <w:color w:val="auto"/>
                <w:lang w:eastAsia="zh-CN"/>
              </w:rPr>
            </w:pPr>
            <w:r>
              <w:rPr>
                <w:rFonts w:hint="eastAsia"/>
                <w:color w:val="auto"/>
                <w:lang w:eastAsia="zh-CN"/>
              </w:rPr>
              <w:t>（五）强化风险管控，严防园区环境事故。加强园区环境风险防控、预警和应急体系建设。建立健全园区环境风险管理工作长效机制，开发区管理机构应建立环境监督管理机构；落实环境风险防控措施，及时完成园区环境应急预案的修订和备案工作及推动重点污染企业环境应急预案编制和备案工作，加强应急救援队伍、装备和设施建设，储备必要的应急物资，有计划地组织应急培训和演练，全面提升园区风险防控和事故应急处置能力。</w:t>
            </w:r>
          </w:p>
        </w:tc>
        <w:tc>
          <w:tcPr>
            <w:tcW w:w="5305" w:type="dxa"/>
            <w:noWrap w:val="0"/>
            <w:vAlign w:val="center"/>
          </w:tcPr>
          <w:p>
            <w:pPr>
              <w:pStyle w:val="120"/>
              <w:bidi w:val="0"/>
              <w:jc w:val="both"/>
              <w:rPr>
                <w:rFonts w:hint="default"/>
                <w:color w:val="auto"/>
                <w:lang w:val="en-US" w:eastAsia="zh-CN"/>
              </w:rPr>
            </w:pPr>
            <w:r>
              <w:rPr>
                <w:rFonts w:hint="eastAsia"/>
                <w:color w:val="auto"/>
                <w:lang w:val="en-US" w:eastAsia="zh-CN"/>
              </w:rPr>
              <w:t>后期建设单位按要求展开应急预案编制工作，定期展开应急演练，厂区按要求配置应急物资，提高项目风险防控能力。</w:t>
            </w:r>
          </w:p>
        </w:tc>
        <w:tc>
          <w:tcPr>
            <w:tcW w:w="2364" w:type="dxa"/>
            <w:noWrap w:val="0"/>
            <w:vAlign w:val="center"/>
          </w:tcPr>
          <w:p>
            <w:pPr>
              <w:pStyle w:val="120"/>
              <w:bidi w:val="0"/>
              <w:jc w:val="cente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389" w:type="dxa"/>
            <w:noWrap w:val="0"/>
            <w:vAlign w:val="top"/>
          </w:tcPr>
          <w:p>
            <w:pPr>
              <w:pStyle w:val="120"/>
              <w:bidi w:val="0"/>
              <w:jc w:val="both"/>
              <w:rPr>
                <w:rFonts w:hint="eastAsia"/>
                <w:color w:val="auto"/>
                <w:lang w:eastAsia="zh-CN"/>
              </w:rPr>
            </w:pPr>
            <w:r>
              <w:rPr>
                <w:rFonts w:hint="eastAsia"/>
                <w:color w:val="auto"/>
                <w:lang w:eastAsia="zh-CN"/>
              </w:rPr>
              <w:t>（六）做好周边控规，落实拆迁安置计划。严格做好控规，杜绝在规划的工业用地上新增环境敏感目标。确保园区开发过程中的居民拆迁安置到位，防止发生居民再次安置和次生环境问题，对于具体项目环评设置防护距离和拆迁要求的，要确保予以落实。</w:t>
            </w:r>
          </w:p>
        </w:tc>
        <w:tc>
          <w:tcPr>
            <w:tcW w:w="5305" w:type="dxa"/>
            <w:noWrap w:val="0"/>
            <w:vAlign w:val="center"/>
          </w:tcPr>
          <w:p>
            <w:pPr>
              <w:pStyle w:val="120"/>
              <w:bidi w:val="0"/>
              <w:jc w:val="both"/>
              <w:rPr>
                <w:rFonts w:hint="eastAsia"/>
                <w:color w:val="auto"/>
                <w:lang w:eastAsia="zh-CN"/>
              </w:rPr>
            </w:pPr>
            <w:r>
              <w:rPr>
                <w:rFonts w:hint="eastAsia"/>
                <w:color w:val="auto"/>
                <w:lang w:eastAsia="zh-CN"/>
              </w:rPr>
              <w:t>本项目不涉及房屋拆迁，根据大气环境等预测分析，结合本环评提出的环境保护措施，本项目污染物排放对周边敏感点影响较小。</w:t>
            </w:r>
          </w:p>
        </w:tc>
        <w:tc>
          <w:tcPr>
            <w:tcW w:w="2364" w:type="dxa"/>
            <w:noWrap w:val="0"/>
            <w:vAlign w:val="center"/>
          </w:tcPr>
          <w:p>
            <w:pPr>
              <w:pStyle w:val="120"/>
              <w:bidi w:val="0"/>
              <w:jc w:val="cente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9" w:hRule="atLeast"/>
        </w:trPr>
        <w:tc>
          <w:tcPr>
            <w:tcW w:w="6389" w:type="dxa"/>
            <w:noWrap w:val="0"/>
            <w:vAlign w:val="center"/>
          </w:tcPr>
          <w:p>
            <w:pPr>
              <w:pStyle w:val="120"/>
              <w:bidi w:val="0"/>
              <w:jc w:val="both"/>
              <w:rPr>
                <w:rFonts w:hint="eastAsia"/>
                <w:color w:val="auto"/>
                <w:lang w:eastAsia="zh-CN"/>
              </w:rPr>
            </w:pPr>
            <w:r>
              <w:rPr>
                <w:rFonts w:hint="eastAsia"/>
                <w:color w:val="auto"/>
                <w:lang w:eastAsia="zh-CN"/>
              </w:rPr>
              <w:t>（七）做好园区建设期生态保护和水土保持。园区开发建设过程中尽可能保留自然山体、水体，施工期对土石方开挖、堆存及回填要实施围挡、护坡等措施，裸露地及时恢复植被，防止水土流失，杜绝施工建设对地表水体的污染。</w:t>
            </w:r>
          </w:p>
        </w:tc>
        <w:tc>
          <w:tcPr>
            <w:tcW w:w="5305" w:type="dxa"/>
            <w:noWrap w:val="0"/>
            <w:vAlign w:val="center"/>
          </w:tcPr>
          <w:p>
            <w:pPr>
              <w:pStyle w:val="120"/>
              <w:bidi w:val="0"/>
              <w:jc w:val="both"/>
              <w:rPr>
                <w:rFonts w:hint="eastAsia"/>
                <w:color w:val="auto"/>
                <w:lang w:eastAsia="zh-CN"/>
              </w:rPr>
            </w:pPr>
            <w:r>
              <w:rPr>
                <w:rFonts w:hint="eastAsia"/>
                <w:color w:val="auto"/>
                <w:lang w:eastAsia="zh-CN"/>
              </w:rPr>
              <w:t>本项目占地面积较小，针对施工期及运营期产生的生态环境影响及水土流失影响，本环评均提出了相应的保护措施，本项目按照本环评提出的保护措施施工，对生态环境及水土流失的影响就会降到最小。</w:t>
            </w:r>
          </w:p>
        </w:tc>
        <w:tc>
          <w:tcPr>
            <w:tcW w:w="2364" w:type="dxa"/>
            <w:noWrap w:val="0"/>
            <w:vAlign w:val="center"/>
          </w:tcPr>
          <w:p>
            <w:pPr>
              <w:pStyle w:val="120"/>
              <w:bidi w:val="0"/>
              <w:jc w:val="both"/>
              <w:rPr>
                <w:rFonts w:hint="eastAsia"/>
                <w:color w:val="auto"/>
                <w:lang w:eastAsia="zh-CN"/>
              </w:rPr>
            </w:pPr>
            <w:r>
              <w:rPr>
                <w:rFonts w:hint="eastAsia"/>
                <w:color w:val="auto"/>
                <w:lang w:eastAsia="zh-CN"/>
              </w:rPr>
              <w:t>符合</w:t>
            </w:r>
          </w:p>
        </w:tc>
      </w:tr>
    </w:tbl>
    <w:p>
      <w:pPr>
        <w:ind w:firstLine="480"/>
        <w:rPr>
          <w:rFonts w:hint="eastAsia" w:eastAsia="宋体"/>
          <w:color w:val="auto"/>
          <w:u w:val="none"/>
          <w:lang w:eastAsia="zh-CN"/>
        </w:rPr>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cols w:space="720" w:num="1"/>
          <w:docGrid w:type="lines" w:linePitch="326" w:charSpace="0"/>
        </w:sectPr>
      </w:pPr>
      <w:r>
        <w:rPr>
          <w:rFonts w:hint="eastAsia"/>
          <w:color w:val="auto"/>
          <w:u w:val="none"/>
          <w:lang w:eastAsia="zh-CN"/>
        </w:rPr>
        <w:t>综上分析，</w:t>
      </w:r>
      <w:r>
        <w:rPr>
          <w:rFonts w:hint="eastAsia"/>
          <w:color w:val="auto"/>
          <w:spacing w:val="-7"/>
          <w:u w:val="none"/>
        </w:rPr>
        <w:t>本项目与</w:t>
      </w:r>
      <w:r>
        <w:rPr>
          <w:rFonts w:hint="eastAsia"/>
          <w:color w:val="auto"/>
          <w:u w:val="none"/>
          <w:lang w:eastAsia="zh-CN"/>
        </w:rPr>
        <w:t>《湖南永顺经济开发区调扩区环境影响报告书》的审查意见</w:t>
      </w:r>
      <w:r>
        <w:rPr>
          <w:rFonts w:hint="eastAsia"/>
          <w:color w:val="auto"/>
          <w:spacing w:val="-7"/>
          <w:u w:val="none"/>
        </w:rPr>
        <w:t>总体相符</w:t>
      </w:r>
      <w:r>
        <w:rPr>
          <w:rFonts w:hint="eastAsia"/>
          <w:color w:val="auto"/>
          <w:spacing w:val="-7"/>
          <w:u w:val="none"/>
          <w:lang w:eastAsia="zh-CN"/>
        </w:rPr>
        <w:t>。</w:t>
      </w:r>
    </w:p>
    <w:p>
      <w:pPr>
        <w:keepNext w:val="0"/>
        <w:keepLines w:val="0"/>
        <w:pageBreakBefore w:val="0"/>
        <w:widowControl/>
        <w:kinsoku/>
        <w:wordWrap/>
        <w:overflowPunct/>
        <w:topLinePunct w:val="0"/>
        <w:autoSpaceDE/>
        <w:autoSpaceDN/>
        <w:bidi w:val="0"/>
        <w:adjustRightInd/>
        <w:snapToGrid/>
        <w:ind w:left="0" w:leftChars="0" w:firstLine="454" w:firstLineChars="200"/>
        <w:textAlignment w:val="auto"/>
        <w:rPr>
          <w:rFonts w:hint="eastAsia"/>
          <w:b/>
          <w:bCs/>
          <w:color w:val="auto"/>
          <w:u w:val="single"/>
          <w:lang w:val="en-US" w:eastAsia="zh-CN"/>
        </w:rPr>
      </w:pPr>
      <w:r>
        <w:rPr>
          <w:rFonts w:hint="eastAsia"/>
          <w:b/>
          <w:bCs/>
          <w:color w:val="auto"/>
          <w:spacing w:val="-7"/>
          <w:u w:val="single"/>
          <w:lang w:eastAsia="zh-CN"/>
        </w:rPr>
        <w:t>（</w:t>
      </w:r>
      <w:r>
        <w:rPr>
          <w:rFonts w:hint="eastAsia"/>
          <w:b/>
          <w:bCs/>
          <w:color w:val="auto"/>
          <w:spacing w:val="-7"/>
          <w:u w:val="single"/>
          <w:lang w:val="en-US" w:eastAsia="zh-CN"/>
        </w:rPr>
        <w:t>5</w:t>
      </w:r>
      <w:r>
        <w:rPr>
          <w:rFonts w:hint="eastAsia"/>
          <w:b/>
          <w:bCs/>
          <w:color w:val="auto"/>
          <w:spacing w:val="-7"/>
          <w:u w:val="single"/>
          <w:lang w:eastAsia="zh-CN"/>
        </w:rPr>
        <w:t>）</w:t>
      </w:r>
      <w:r>
        <w:rPr>
          <w:rFonts w:hint="eastAsia"/>
          <w:b/>
          <w:bCs/>
          <w:color w:val="auto"/>
          <w:u w:val="single"/>
          <w:lang w:val="en-US" w:eastAsia="zh-CN"/>
        </w:rPr>
        <w:t>本项目与区域敏感区管控要求符合性分析</w:t>
      </w:r>
    </w:p>
    <w:p>
      <w:pPr>
        <w:keepNext w:val="0"/>
        <w:keepLines w:val="0"/>
        <w:pageBreakBefore w:val="0"/>
        <w:widowControl/>
        <w:kinsoku/>
        <w:wordWrap/>
        <w:overflowPunct/>
        <w:topLinePunct w:val="0"/>
        <w:autoSpaceDE/>
        <w:autoSpaceDN/>
        <w:bidi w:val="0"/>
        <w:adjustRightInd/>
        <w:snapToGrid/>
        <w:ind w:left="0" w:leftChars="0" w:firstLine="482" w:firstLineChars="200"/>
        <w:textAlignment w:val="auto"/>
        <w:rPr>
          <w:rFonts w:hint="eastAsia"/>
          <w:b/>
          <w:bCs/>
          <w:color w:val="auto"/>
          <w:u w:val="single"/>
          <w:lang w:val="en-US" w:eastAsia="zh-CN"/>
        </w:rPr>
      </w:pPr>
      <w:r>
        <w:rPr>
          <w:rFonts w:hint="eastAsia"/>
          <w:b/>
          <w:bCs/>
          <w:color w:val="auto"/>
          <w:u w:val="single"/>
          <w:lang w:val="en-US" w:eastAsia="zh-CN"/>
        </w:rPr>
        <w:t>1）本项目与湖南永顺不二门国家级森林公园位置关系</w:t>
      </w:r>
    </w:p>
    <w:p>
      <w:pPr>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color w:val="auto"/>
          <w:spacing w:val="6"/>
          <w:u w:val="single"/>
        </w:rPr>
      </w:pPr>
      <w:r>
        <w:rPr>
          <w:rFonts w:hint="eastAsia"/>
          <w:b/>
          <w:bCs/>
          <w:color w:val="auto"/>
          <w:u w:val="single"/>
          <w:lang w:val="en-US" w:eastAsia="zh-CN"/>
        </w:rPr>
        <w:t>①</w:t>
      </w:r>
      <w:r>
        <w:rPr>
          <w:rFonts w:hint="eastAsia" w:ascii="宋体" w:hAnsi="宋体" w:eastAsia="宋体" w:cs="宋体"/>
          <w:b/>
          <w:bCs/>
          <w:color w:val="auto"/>
          <w:spacing w:val="6"/>
          <w:u w:val="single"/>
          <w:lang w:eastAsia="zh-CN"/>
        </w:rPr>
        <w:t>湖南永顺</w:t>
      </w:r>
      <w:r>
        <w:rPr>
          <w:rFonts w:hint="eastAsia" w:ascii="宋体" w:hAnsi="宋体" w:eastAsia="宋体" w:cs="宋体"/>
          <w:b/>
          <w:bCs/>
          <w:color w:val="auto"/>
          <w:spacing w:val="6"/>
          <w:u w:val="single"/>
        </w:rPr>
        <w:t>不二门国家</w:t>
      </w:r>
      <w:r>
        <w:rPr>
          <w:rFonts w:hint="eastAsia" w:ascii="宋体" w:hAnsi="宋体" w:eastAsia="宋体" w:cs="宋体"/>
          <w:b/>
          <w:bCs/>
          <w:color w:val="auto"/>
          <w:spacing w:val="6"/>
          <w:u w:val="single"/>
          <w:lang w:eastAsia="zh-CN"/>
        </w:rPr>
        <w:t>级</w:t>
      </w:r>
      <w:r>
        <w:rPr>
          <w:rFonts w:hint="eastAsia" w:ascii="宋体" w:hAnsi="宋体" w:eastAsia="宋体" w:cs="宋体"/>
          <w:b/>
          <w:bCs/>
          <w:color w:val="auto"/>
          <w:spacing w:val="6"/>
          <w:u w:val="single"/>
        </w:rPr>
        <w:t>森林公园概况</w:t>
      </w:r>
    </w:p>
    <w:p>
      <w:pPr>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u w:val="single"/>
        </w:rPr>
      </w:pPr>
      <w:r>
        <w:rPr>
          <w:rFonts w:hint="eastAsia" w:ascii="宋体" w:hAnsi="宋体" w:eastAsia="宋体" w:cs="宋体"/>
          <w:b/>
          <w:color w:val="auto"/>
          <w:u w:val="single"/>
        </w:rPr>
        <w:t>规划</w:t>
      </w:r>
      <w:r>
        <w:rPr>
          <w:rFonts w:hint="default" w:ascii="Times New Roman" w:hAnsi="Times New Roman" w:eastAsia="宋体" w:cs="Times New Roman"/>
          <w:b/>
          <w:color w:val="auto"/>
          <w:u w:val="single"/>
        </w:rPr>
        <w:t>时段：</w:t>
      </w:r>
      <w:r>
        <w:rPr>
          <w:rFonts w:hint="default" w:ascii="Times New Roman" w:hAnsi="Times New Roman" w:eastAsia="宋体" w:cs="Times New Roman"/>
          <w:color w:val="auto"/>
          <w:u w:val="single"/>
        </w:rPr>
        <w:t>前期2014－2015年；中期 2016－2020年，后期2021－2023年。</w:t>
      </w:r>
    </w:p>
    <w:p>
      <w:pPr>
        <w:pageBreakBefore w:val="0"/>
        <w:kinsoku/>
        <w:wordWrap/>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u w:val="single"/>
        </w:rPr>
      </w:pPr>
      <w:r>
        <w:rPr>
          <w:rFonts w:hint="eastAsia" w:ascii="宋体" w:hAnsi="宋体" w:eastAsia="宋体" w:cs="宋体"/>
          <w:b/>
          <w:color w:val="auto"/>
          <w:u w:val="single"/>
        </w:rPr>
        <w:t>公园性质：</w:t>
      </w:r>
      <w:r>
        <w:rPr>
          <w:rFonts w:hint="eastAsia" w:ascii="宋体" w:hAnsi="宋体" w:eastAsia="宋体" w:cs="宋体"/>
          <w:color w:val="auto"/>
          <w:u w:val="single"/>
        </w:rPr>
        <w:t>以丰富的森林景观、奇幻的地质地貌景观、博大精深的佛教文化、独特的温泉资源为特色，以保护森林风景资源和生物多样性、普及生态文化知识、开展森林生态旅游为宗旨，充分考虑永顺县城居民文化和精神生活的需要，将公园建设成集自然资源保护、森林生态旅游、温泉疗养、休闲度假、佛教文化、生态文化建设等多功能于一体的公益性、综合性国家级森林公园。</w:t>
      </w:r>
    </w:p>
    <w:p>
      <w:pPr>
        <w:pageBreakBefore w:val="0"/>
        <w:kinsoku/>
        <w:wordWrap/>
        <w:overflowPunct/>
        <w:topLinePunct w:val="0"/>
        <w:autoSpaceDE/>
        <w:autoSpaceDN/>
        <w:bidi w:val="0"/>
        <w:snapToGrid w:val="0"/>
        <w:spacing w:line="360" w:lineRule="auto"/>
        <w:ind w:firstLine="482" w:firstLineChars="200"/>
        <w:textAlignment w:val="auto"/>
        <w:rPr>
          <w:rFonts w:hint="default" w:ascii="Times New Roman" w:hAnsi="Times New Roman" w:eastAsia="宋体" w:cs="Times New Roman"/>
          <w:color w:val="auto"/>
          <w:u w:val="single"/>
        </w:rPr>
      </w:pPr>
      <w:r>
        <w:rPr>
          <w:rFonts w:hint="eastAsia" w:ascii="宋体" w:hAnsi="宋体" w:eastAsia="宋体" w:cs="宋体"/>
          <w:b/>
          <w:color w:val="auto"/>
          <w:u w:val="single"/>
        </w:rPr>
        <w:t>公园范围：</w:t>
      </w:r>
      <w:r>
        <w:rPr>
          <w:rFonts w:hint="default" w:ascii="Times New Roman" w:hAnsi="Times New Roman" w:eastAsia="宋体" w:cs="Times New Roman"/>
          <w:color w:val="auto"/>
          <w:u w:val="single"/>
        </w:rPr>
        <w:t>分两大片，即不二门片和杉木河片，总面积5336.67公顷，其中不二门片2876.67公顷，分布在猛洞河两岸，北至不二门，南至牛路河与猛洞河的交汇处；杉木河片2460.0公顷，包括杉木河林场的全部。</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u w:val="single"/>
        </w:rPr>
      </w:pPr>
      <w:r>
        <w:rPr>
          <w:rFonts w:hint="default" w:ascii="Times New Roman" w:hAnsi="Times New Roman" w:eastAsia="宋体" w:cs="Times New Roman"/>
          <w:b/>
          <w:color w:val="auto"/>
          <w:u w:val="single"/>
        </w:rPr>
        <w:t>功能分区：</w:t>
      </w:r>
      <w:r>
        <w:rPr>
          <w:rFonts w:hint="default" w:ascii="Times New Roman" w:hAnsi="Times New Roman" w:eastAsia="宋体" w:cs="Times New Roman"/>
          <w:color w:val="auto"/>
          <w:u w:val="single"/>
        </w:rPr>
        <w:t>公园区划为核心景观区、一般游憩区、管理服务区和生态保育区 4 个功能区。详见表</w:t>
      </w:r>
      <w:r>
        <w:rPr>
          <w:rFonts w:hint="eastAsia" w:eastAsia="宋体" w:cs="Times New Roman"/>
          <w:color w:val="auto"/>
          <w:u w:val="single"/>
          <w:lang w:val="en-US" w:eastAsia="zh-CN"/>
        </w:rPr>
        <w:t>3-6</w:t>
      </w:r>
      <w:r>
        <w:rPr>
          <w:rFonts w:hint="default" w:ascii="Times New Roman" w:hAnsi="Times New Roman" w:eastAsia="宋体" w:cs="Times New Roman"/>
          <w:color w:val="auto"/>
          <w:u w:val="single"/>
        </w:rPr>
        <w:t>。</w:t>
      </w:r>
    </w:p>
    <w:p>
      <w:pPr>
        <w:pStyle w:val="103"/>
        <w:bidi w:val="0"/>
        <w:rPr>
          <w:rFonts w:hint="eastAsia" w:ascii="宋体" w:hAnsi="宋体" w:eastAsia="宋体" w:cs="宋体"/>
          <w:b/>
          <w:color w:val="auto"/>
          <w:u w:val="single"/>
        </w:rPr>
      </w:pPr>
      <w:r>
        <w:rPr>
          <w:rFonts w:hint="eastAsia"/>
          <w:color w:val="auto"/>
          <w:u w:val="single"/>
        </w:rPr>
        <w:t>表</w:t>
      </w:r>
      <w:r>
        <w:rPr>
          <w:rFonts w:hint="eastAsia"/>
          <w:color w:val="auto"/>
          <w:u w:val="single"/>
          <w:lang w:val="en-US" w:eastAsia="zh-CN"/>
        </w:rPr>
        <w:t>3-6</w:t>
      </w:r>
      <w:r>
        <w:rPr>
          <w:rFonts w:hint="eastAsia"/>
          <w:color w:val="auto"/>
          <w:u w:val="single"/>
        </w:rPr>
        <w:t xml:space="preserve">  不二门国家级森林公园功能分区表</w:t>
      </w:r>
    </w:p>
    <w:tbl>
      <w:tblPr>
        <w:tblStyle w:val="36"/>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18"/>
        <w:gridCol w:w="2268"/>
        <w:gridCol w:w="2693"/>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noWrap w:val="0"/>
            <w:vAlign w:val="center"/>
          </w:tcPr>
          <w:p>
            <w:pPr>
              <w:pStyle w:val="120"/>
              <w:bidi w:val="0"/>
              <w:rPr>
                <w:rFonts w:hint="eastAsia"/>
                <w:color w:val="auto"/>
                <w:u w:val="single"/>
              </w:rPr>
            </w:pPr>
            <w:r>
              <w:rPr>
                <w:rFonts w:hint="eastAsia"/>
                <w:color w:val="auto"/>
                <w:u w:val="single"/>
              </w:rPr>
              <w:t>编号</w:t>
            </w:r>
          </w:p>
        </w:tc>
        <w:tc>
          <w:tcPr>
            <w:tcW w:w="1418" w:type="dxa"/>
            <w:noWrap w:val="0"/>
            <w:vAlign w:val="center"/>
          </w:tcPr>
          <w:p>
            <w:pPr>
              <w:pStyle w:val="120"/>
              <w:bidi w:val="0"/>
              <w:rPr>
                <w:rFonts w:hint="eastAsia"/>
                <w:color w:val="auto"/>
                <w:u w:val="single"/>
              </w:rPr>
            </w:pPr>
            <w:r>
              <w:rPr>
                <w:rFonts w:hint="eastAsia"/>
                <w:color w:val="auto"/>
                <w:u w:val="single"/>
              </w:rPr>
              <w:t>功能区类型</w:t>
            </w:r>
          </w:p>
        </w:tc>
        <w:tc>
          <w:tcPr>
            <w:tcW w:w="2268" w:type="dxa"/>
            <w:noWrap w:val="0"/>
            <w:vAlign w:val="center"/>
          </w:tcPr>
          <w:p>
            <w:pPr>
              <w:pStyle w:val="120"/>
              <w:bidi w:val="0"/>
              <w:rPr>
                <w:rFonts w:hint="eastAsia"/>
                <w:color w:val="auto"/>
                <w:u w:val="single"/>
              </w:rPr>
            </w:pPr>
            <w:r>
              <w:rPr>
                <w:rFonts w:hint="eastAsia"/>
                <w:color w:val="auto"/>
                <w:u w:val="single"/>
              </w:rPr>
              <w:t>功能区名称</w:t>
            </w:r>
          </w:p>
        </w:tc>
        <w:tc>
          <w:tcPr>
            <w:tcW w:w="2693" w:type="dxa"/>
            <w:noWrap w:val="0"/>
            <w:vAlign w:val="center"/>
          </w:tcPr>
          <w:p>
            <w:pPr>
              <w:pStyle w:val="120"/>
              <w:bidi w:val="0"/>
              <w:rPr>
                <w:rFonts w:hint="eastAsia"/>
                <w:color w:val="auto"/>
                <w:u w:val="single"/>
              </w:rPr>
            </w:pPr>
            <w:r>
              <w:rPr>
                <w:rFonts w:hint="eastAsia"/>
                <w:color w:val="auto"/>
                <w:u w:val="single"/>
              </w:rPr>
              <w:t>位置</w:t>
            </w:r>
          </w:p>
        </w:tc>
        <w:tc>
          <w:tcPr>
            <w:tcW w:w="1276" w:type="dxa"/>
            <w:noWrap w:val="0"/>
            <w:vAlign w:val="center"/>
          </w:tcPr>
          <w:p>
            <w:pPr>
              <w:pStyle w:val="120"/>
              <w:bidi w:val="0"/>
              <w:rPr>
                <w:rFonts w:hint="eastAsia"/>
                <w:color w:val="auto"/>
                <w:u w:val="single"/>
              </w:rPr>
            </w:pPr>
            <w:r>
              <w:rPr>
                <w:rFonts w:hint="eastAsia"/>
                <w:color w:val="auto"/>
                <w:u w:val="single"/>
              </w:rPr>
              <w:t>面积（ha）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noWrap w:val="0"/>
            <w:vAlign w:val="center"/>
          </w:tcPr>
          <w:p>
            <w:pPr>
              <w:pStyle w:val="120"/>
              <w:bidi w:val="0"/>
              <w:rPr>
                <w:rFonts w:hint="eastAsia"/>
                <w:color w:val="auto"/>
                <w:u w:val="single"/>
              </w:rPr>
            </w:pPr>
            <w:r>
              <w:rPr>
                <w:rFonts w:hint="eastAsia"/>
                <w:color w:val="auto"/>
                <w:u w:val="single"/>
              </w:rPr>
              <w:t>1</w:t>
            </w:r>
          </w:p>
        </w:tc>
        <w:tc>
          <w:tcPr>
            <w:tcW w:w="1418" w:type="dxa"/>
            <w:noWrap w:val="0"/>
            <w:vAlign w:val="center"/>
          </w:tcPr>
          <w:p>
            <w:pPr>
              <w:pStyle w:val="120"/>
              <w:bidi w:val="0"/>
              <w:rPr>
                <w:rFonts w:hint="eastAsia"/>
                <w:color w:val="auto"/>
                <w:u w:val="single"/>
              </w:rPr>
            </w:pPr>
            <w:r>
              <w:rPr>
                <w:rFonts w:hint="eastAsia"/>
                <w:color w:val="auto"/>
                <w:u w:val="single"/>
              </w:rPr>
              <w:t>核心景观区</w:t>
            </w:r>
          </w:p>
        </w:tc>
        <w:tc>
          <w:tcPr>
            <w:tcW w:w="2268" w:type="dxa"/>
            <w:noWrap w:val="0"/>
            <w:vAlign w:val="center"/>
          </w:tcPr>
          <w:p>
            <w:pPr>
              <w:pStyle w:val="120"/>
              <w:bidi w:val="0"/>
              <w:rPr>
                <w:rFonts w:hint="eastAsia"/>
                <w:color w:val="auto"/>
                <w:u w:val="single"/>
              </w:rPr>
            </w:pPr>
            <w:r>
              <w:rPr>
                <w:rFonts w:hint="eastAsia"/>
                <w:color w:val="auto"/>
                <w:u w:val="single"/>
              </w:rPr>
              <w:t>不二门市民公园</w:t>
            </w:r>
          </w:p>
        </w:tc>
        <w:tc>
          <w:tcPr>
            <w:tcW w:w="2693" w:type="dxa"/>
            <w:noWrap w:val="0"/>
            <w:vAlign w:val="center"/>
          </w:tcPr>
          <w:p>
            <w:pPr>
              <w:pStyle w:val="120"/>
              <w:bidi w:val="0"/>
              <w:rPr>
                <w:rFonts w:hint="eastAsia"/>
                <w:color w:val="auto"/>
                <w:u w:val="single"/>
              </w:rPr>
            </w:pPr>
            <w:r>
              <w:rPr>
                <w:rFonts w:hint="eastAsia"/>
                <w:color w:val="auto"/>
                <w:u w:val="single"/>
              </w:rPr>
              <w:t>北大门—净心池—不二门—观音庙—温泉</w:t>
            </w:r>
          </w:p>
        </w:tc>
        <w:tc>
          <w:tcPr>
            <w:tcW w:w="1276" w:type="dxa"/>
            <w:noWrap w:val="0"/>
            <w:vAlign w:val="center"/>
          </w:tcPr>
          <w:p>
            <w:pPr>
              <w:pStyle w:val="120"/>
              <w:bidi w:val="0"/>
              <w:rPr>
                <w:rFonts w:hint="eastAsia"/>
                <w:color w:val="auto"/>
                <w:u w:val="single"/>
              </w:rPr>
            </w:pPr>
            <w:r>
              <w:rPr>
                <w:rFonts w:hint="eastAsia"/>
                <w:color w:val="auto"/>
                <w:u w:val="single"/>
              </w:rPr>
              <w:t>60.80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noWrap w:val="0"/>
            <w:vAlign w:val="center"/>
          </w:tcPr>
          <w:p>
            <w:pPr>
              <w:pStyle w:val="120"/>
              <w:bidi w:val="0"/>
              <w:rPr>
                <w:rFonts w:hint="eastAsia"/>
                <w:color w:val="auto"/>
                <w:u w:val="single"/>
              </w:rPr>
            </w:pPr>
            <w:r>
              <w:rPr>
                <w:rFonts w:hint="eastAsia"/>
                <w:color w:val="auto"/>
                <w:u w:val="single"/>
              </w:rPr>
              <w:t>2</w:t>
            </w:r>
          </w:p>
        </w:tc>
        <w:tc>
          <w:tcPr>
            <w:tcW w:w="1418" w:type="dxa"/>
            <w:noWrap w:val="0"/>
            <w:vAlign w:val="center"/>
          </w:tcPr>
          <w:p>
            <w:pPr>
              <w:pStyle w:val="120"/>
              <w:bidi w:val="0"/>
              <w:rPr>
                <w:rFonts w:hint="eastAsia"/>
                <w:color w:val="auto"/>
                <w:u w:val="single"/>
              </w:rPr>
            </w:pPr>
            <w:r>
              <w:rPr>
                <w:rFonts w:hint="eastAsia"/>
                <w:color w:val="auto"/>
                <w:u w:val="single"/>
              </w:rPr>
              <w:t>一般游憩区</w:t>
            </w:r>
          </w:p>
        </w:tc>
        <w:tc>
          <w:tcPr>
            <w:tcW w:w="2268" w:type="dxa"/>
            <w:noWrap w:val="0"/>
            <w:vAlign w:val="center"/>
          </w:tcPr>
          <w:p>
            <w:pPr>
              <w:pStyle w:val="120"/>
              <w:bidi w:val="0"/>
              <w:rPr>
                <w:rFonts w:hint="eastAsia"/>
                <w:color w:val="auto"/>
                <w:u w:val="single"/>
              </w:rPr>
            </w:pPr>
            <w:r>
              <w:rPr>
                <w:rFonts w:hint="eastAsia"/>
                <w:color w:val="auto"/>
                <w:u w:val="single"/>
              </w:rPr>
              <w:t>杉木河森林游览区</w:t>
            </w:r>
          </w:p>
        </w:tc>
        <w:tc>
          <w:tcPr>
            <w:tcW w:w="2693" w:type="dxa"/>
            <w:noWrap w:val="0"/>
            <w:vAlign w:val="center"/>
          </w:tcPr>
          <w:p>
            <w:pPr>
              <w:pStyle w:val="120"/>
              <w:bidi w:val="0"/>
              <w:rPr>
                <w:rFonts w:hint="eastAsia"/>
                <w:color w:val="auto"/>
                <w:u w:val="single"/>
              </w:rPr>
            </w:pPr>
            <w:r>
              <w:rPr>
                <w:rFonts w:hint="eastAsia"/>
                <w:color w:val="auto"/>
                <w:u w:val="single"/>
              </w:rPr>
              <w:t>杉木河林场全部</w:t>
            </w:r>
          </w:p>
        </w:tc>
        <w:tc>
          <w:tcPr>
            <w:tcW w:w="1276" w:type="dxa"/>
            <w:noWrap w:val="0"/>
            <w:vAlign w:val="center"/>
          </w:tcPr>
          <w:p>
            <w:pPr>
              <w:pStyle w:val="120"/>
              <w:bidi w:val="0"/>
              <w:rPr>
                <w:rFonts w:hint="eastAsia"/>
                <w:color w:val="auto"/>
                <w:u w:val="single"/>
              </w:rPr>
            </w:pPr>
            <w:r>
              <w:rPr>
                <w:rFonts w:hint="eastAsia"/>
                <w:color w:val="auto"/>
                <w:u w:val="single"/>
              </w:rPr>
              <w:t>2455.80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Merge w:val="restart"/>
            <w:noWrap w:val="0"/>
            <w:vAlign w:val="center"/>
          </w:tcPr>
          <w:p>
            <w:pPr>
              <w:pStyle w:val="120"/>
              <w:bidi w:val="0"/>
              <w:rPr>
                <w:rFonts w:hint="eastAsia"/>
                <w:color w:val="auto"/>
                <w:u w:val="single"/>
              </w:rPr>
            </w:pPr>
            <w:r>
              <w:rPr>
                <w:rFonts w:hint="eastAsia"/>
                <w:color w:val="auto"/>
                <w:u w:val="single"/>
              </w:rPr>
              <w:t>3</w:t>
            </w:r>
          </w:p>
        </w:tc>
        <w:tc>
          <w:tcPr>
            <w:tcW w:w="1418" w:type="dxa"/>
            <w:vMerge w:val="restart"/>
            <w:noWrap w:val="0"/>
            <w:vAlign w:val="center"/>
          </w:tcPr>
          <w:p>
            <w:pPr>
              <w:pStyle w:val="120"/>
              <w:bidi w:val="0"/>
              <w:rPr>
                <w:rFonts w:hint="eastAsia"/>
                <w:color w:val="auto"/>
                <w:u w:val="single"/>
              </w:rPr>
            </w:pPr>
            <w:r>
              <w:rPr>
                <w:rFonts w:hint="eastAsia"/>
                <w:color w:val="auto"/>
                <w:u w:val="single"/>
              </w:rPr>
              <w:t>管理服务区</w:t>
            </w:r>
          </w:p>
        </w:tc>
        <w:tc>
          <w:tcPr>
            <w:tcW w:w="2268" w:type="dxa"/>
            <w:noWrap w:val="0"/>
            <w:vAlign w:val="center"/>
          </w:tcPr>
          <w:p>
            <w:pPr>
              <w:pStyle w:val="120"/>
              <w:bidi w:val="0"/>
              <w:rPr>
                <w:rFonts w:hint="eastAsia"/>
                <w:color w:val="auto"/>
                <w:u w:val="single"/>
              </w:rPr>
            </w:pPr>
            <w:r>
              <w:rPr>
                <w:rFonts w:hint="eastAsia"/>
                <w:color w:val="auto"/>
                <w:u w:val="single"/>
              </w:rPr>
              <w:t>不二门管理服务区</w:t>
            </w:r>
          </w:p>
        </w:tc>
        <w:tc>
          <w:tcPr>
            <w:tcW w:w="2693" w:type="dxa"/>
            <w:noWrap w:val="0"/>
            <w:vAlign w:val="center"/>
          </w:tcPr>
          <w:p>
            <w:pPr>
              <w:pStyle w:val="120"/>
              <w:bidi w:val="0"/>
              <w:rPr>
                <w:rFonts w:hint="eastAsia"/>
                <w:color w:val="auto"/>
                <w:u w:val="single"/>
              </w:rPr>
            </w:pPr>
            <w:r>
              <w:rPr>
                <w:rFonts w:hint="eastAsia"/>
                <w:color w:val="auto"/>
                <w:u w:val="single"/>
              </w:rPr>
              <w:t>不二门景区附近</w:t>
            </w:r>
          </w:p>
        </w:tc>
        <w:tc>
          <w:tcPr>
            <w:tcW w:w="1276" w:type="dxa"/>
            <w:noWrap w:val="0"/>
            <w:vAlign w:val="center"/>
          </w:tcPr>
          <w:p>
            <w:pPr>
              <w:pStyle w:val="120"/>
              <w:bidi w:val="0"/>
              <w:rPr>
                <w:rFonts w:hint="eastAsia"/>
                <w:color w:val="auto"/>
                <w:u w:val="single"/>
              </w:rPr>
            </w:pPr>
            <w:r>
              <w:rPr>
                <w:rFonts w:hint="eastAsia"/>
                <w:color w:val="auto"/>
                <w:u w:val="single"/>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Merge w:val="continue"/>
            <w:noWrap w:val="0"/>
            <w:vAlign w:val="center"/>
          </w:tcPr>
          <w:p>
            <w:pPr>
              <w:pStyle w:val="120"/>
              <w:bidi w:val="0"/>
              <w:rPr>
                <w:rFonts w:hint="eastAsia"/>
                <w:color w:val="auto"/>
                <w:u w:val="single"/>
              </w:rPr>
            </w:pPr>
          </w:p>
        </w:tc>
        <w:tc>
          <w:tcPr>
            <w:tcW w:w="1418" w:type="dxa"/>
            <w:vMerge w:val="continue"/>
            <w:noWrap w:val="0"/>
            <w:vAlign w:val="center"/>
          </w:tcPr>
          <w:p>
            <w:pPr>
              <w:pStyle w:val="120"/>
              <w:bidi w:val="0"/>
              <w:rPr>
                <w:rFonts w:hint="eastAsia"/>
                <w:color w:val="auto"/>
                <w:u w:val="single"/>
              </w:rPr>
            </w:pPr>
          </w:p>
        </w:tc>
        <w:tc>
          <w:tcPr>
            <w:tcW w:w="2268" w:type="dxa"/>
            <w:noWrap w:val="0"/>
            <w:vAlign w:val="center"/>
          </w:tcPr>
          <w:p>
            <w:pPr>
              <w:pStyle w:val="120"/>
              <w:bidi w:val="0"/>
              <w:rPr>
                <w:rFonts w:hint="eastAsia"/>
                <w:color w:val="auto"/>
                <w:u w:val="single"/>
              </w:rPr>
            </w:pPr>
            <w:r>
              <w:rPr>
                <w:rFonts w:hint="eastAsia"/>
                <w:color w:val="auto"/>
                <w:u w:val="single"/>
              </w:rPr>
              <w:t>杉木河管理服务区</w:t>
            </w:r>
          </w:p>
        </w:tc>
        <w:tc>
          <w:tcPr>
            <w:tcW w:w="2693" w:type="dxa"/>
            <w:noWrap w:val="0"/>
            <w:vAlign w:val="center"/>
          </w:tcPr>
          <w:p>
            <w:pPr>
              <w:pStyle w:val="120"/>
              <w:bidi w:val="0"/>
              <w:rPr>
                <w:rFonts w:hint="eastAsia"/>
                <w:color w:val="auto"/>
                <w:u w:val="single"/>
              </w:rPr>
            </w:pPr>
            <w:r>
              <w:rPr>
                <w:rFonts w:hint="eastAsia"/>
                <w:color w:val="auto"/>
                <w:u w:val="single"/>
              </w:rPr>
              <w:t>杉木河林场场部</w:t>
            </w:r>
          </w:p>
        </w:tc>
        <w:tc>
          <w:tcPr>
            <w:tcW w:w="1276" w:type="dxa"/>
            <w:noWrap w:val="0"/>
            <w:vAlign w:val="center"/>
          </w:tcPr>
          <w:p>
            <w:pPr>
              <w:pStyle w:val="120"/>
              <w:bidi w:val="0"/>
              <w:rPr>
                <w:rFonts w:hint="eastAsia"/>
                <w:color w:val="auto"/>
                <w:u w:val="single"/>
              </w:rPr>
            </w:pPr>
            <w:r>
              <w:rPr>
                <w:rFonts w:hint="eastAsia"/>
                <w:color w:val="auto"/>
                <w:u w:val="single"/>
              </w:rPr>
              <w:t>4.20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noWrap w:val="0"/>
            <w:vAlign w:val="center"/>
          </w:tcPr>
          <w:p>
            <w:pPr>
              <w:pStyle w:val="120"/>
              <w:bidi w:val="0"/>
              <w:rPr>
                <w:rFonts w:hint="eastAsia"/>
                <w:color w:val="auto"/>
                <w:u w:val="single"/>
              </w:rPr>
            </w:pPr>
            <w:r>
              <w:rPr>
                <w:rFonts w:hint="eastAsia"/>
                <w:color w:val="auto"/>
                <w:u w:val="single"/>
              </w:rPr>
              <w:t>4</w:t>
            </w:r>
          </w:p>
        </w:tc>
        <w:tc>
          <w:tcPr>
            <w:tcW w:w="1418" w:type="dxa"/>
            <w:noWrap w:val="0"/>
            <w:vAlign w:val="center"/>
          </w:tcPr>
          <w:p>
            <w:pPr>
              <w:pStyle w:val="120"/>
              <w:bidi w:val="0"/>
              <w:rPr>
                <w:rFonts w:hint="eastAsia"/>
                <w:color w:val="auto"/>
                <w:u w:val="single"/>
                <w:lang w:val="en-US" w:eastAsia="zh-CN"/>
              </w:rPr>
            </w:pPr>
            <w:r>
              <w:rPr>
                <w:rFonts w:hint="eastAsia"/>
                <w:color w:val="auto"/>
                <w:u w:val="single"/>
              </w:rPr>
              <w:t>生态保育区</w:t>
            </w:r>
            <w:r>
              <w:rPr>
                <w:rFonts w:hint="eastAsia"/>
                <w:color w:val="auto"/>
                <w:u w:val="single"/>
                <w:lang w:val="en-US" w:eastAsia="zh-CN"/>
              </w:rPr>
              <w:t>*</w:t>
            </w:r>
          </w:p>
        </w:tc>
        <w:tc>
          <w:tcPr>
            <w:tcW w:w="2268" w:type="dxa"/>
            <w:noWrap w:val="0"/>
            <w:vAlign w:val="center"/>
          </w:tcPr>
          <w:p>
            <w:pPr>
              <w:pStyle w:val="120"/>
              <w:bidi w:val="0"/>
              <w:rPr>
                <w:rFonts w:hint="eastAsia"/>
                <w:color w:val="auto"/>
                <w:u w:val="single"/>
              </w:rPr>
            </w:pPr>
            <w:r>
              <w:rPr>
                <w:rFonts w:hint="eastAsia"/>
                <w:color w:val="auto"/>
                <w:u w:val="single"/>
              </w:rPr>
              <w:t>官河生态保育区</w:t>
            </w:r>
          </w:p>
        </w:tc>
        <w:tc>
          <w:tcPr>
            <w:tcW w:w="2693" w:type="dxa"/>
            <w:noWrap w:val="0"/>
            <w:vAlign w:val="center"/>
          </w:tcPr>
          <w:p>
            <w:pPr>
              <w:pStyle w:val="120"/>
              <w:bidi w:val="0"/>
              <w:rPr>
                <w:rFonts w:hint="eastAsia"/>
                <w:color w:val="auto"/>
                <w:u w:val="single"/>
              </w:rPr>
            </w:pPr>
            <w:r>
              <w:rPr>
                <w:rFonts w:hint="eastAsia"/>
                <w:color w:val="auto"/>
                <w:u w:val="single"/>
              </w:rPr>
              <w:t>不二门景区南部猛洞河官河段</w:t>
            </w:r>
          </w:p>
        </w:tc>
        <w:tc>
          <w:tcPr>
            <w:tcW w:w="1276" w:type="dxa"/>
            <w:noWrap w:val="0"/>
            <w:vAlign w:val="center"/>
          </w:tcPr>
          <w:p>
            <w:pPr>
              <w:pStyle w:val="120"/>
              <w:bidi w:val="0"/>
              <w:rPr>
                <w:rFonts w:hint="eastAsia"/>
                <w:color w:val="auto"/>
                <w:u w:val="single"/>
              </w:rPr>
            </w:pPr>
            <w:r>
              <w:rPr>
                <w:rFonts w:hint="eastAsia"/>
                <w:color w:val="auto"/>
                <w:u w:val="single"/>
              </w:rPr>
              <w:t>2807.87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noWrap w:val="0"/>
            <w:vAlign w:val="center"/>
          </w:tcPr>
          <w:p>
            <w:pPr>
              <w:pStyle w:val="120"/>
              <w:bidi w:val="0"/>
              <w:rPr>
                <w:rFonts w:hint="eastAsia"/>
                <w:color w:val="auto"/>
                <w:u w:val="single"/>
              </w:rPr>
            </w:pPr>
          </w:p>
        </w:tc>
        <w:tc>
          <w:tcPr>
            <w:tcW w:w="6379" w:type="dxa"/>
            <w:gridSpan w:val="3"/>
            <w:noWrap w:val="0"/>
            <w:vAlign w:val="center"/>
          </w:tcPr>
          <w:p>
            <w:pPr>
              <w:pStyle w:val="120"/>
              <w:bidi w:val="0"/>
              <w:rPr>
                <w:rFonts w:hint="eastAsia"/>
                <w:color w:val="auto"/>
                <w:u w:val="single"/>
              </w:rPr>
            </w:pPr>
            <w:r>
              <w:rPr>
                <w:rFonts w:hint="eastAsia"/>
                <w:color w:val="auto"/>
                <w:u w:val="single"/>
              </w:rPr>
              <w:t>合计</w:t>
            </w:r>
          </w:p>
        </w:tc>
        <w:tc>
          <w:tcPr>
            <w:tcW w:w="1276" w:type="dxa"/>
            <w:noWrap w:val="0"/>
            <w:vAlign w:val="center"/>
          </w:tcPr>
          <w:p>
            <w:pPr>
              <w:pStyle w:val="120"/>
              <w:bidi w:val="0"/>
              <w:rPr>
                <w:rFonts w:hint="eastAsia"/>
                <w:color w:val="auto"/>
                <w:u w:val="single"/>
              </w:rPr>
            </w:pPr>
            <w:r>
              <w:rPr>
                <w:rFonts w:hint="eastAsia"/>
                <w:color w:val="auto"/>
                <w:u w:val="single"/>
              </w:rPr>
              <w:t>5336.67</w:t>
            </w:r>
          </w:p>
        </w:tc>
      </w:tr>
    </w:tbl>
    <w:p>
      <w:pPr>
        <w:snapToGrid w:val="0"/>
        <w:spacing w:line="360" w:lineRule="auto"/>
        <w:ind w:firstLine="480" w:firstLineChars="200"/>
        <w:rPr>
          <w:rFonts w:hint="eastAsia" w:ascii="宋体" w:hAnsi="宋体" w:eastAsia="宋体" w:cs="宋体"/>
          <w:color w:val="auto"/>
          <w:u w:val="single"/>
        </w:rPr>
      </w:pPr>
      <w:r>
        <w:rPr>
          <w:rFonts w:hint="eastAsia" w:ascii="宋体" w:hAnsi="宋体" w:eastAsia="宋体" w:cs="宋体"/>
          <w:color w:val="auto"/>
          <w:u w:val="single"/>
          <w:lang w:val="en-US" w:eastAsia="zh-CN"/>
        </w:rPr>
        <w:t>*——</w:t>
      </w:r>
      <w:r>
        <w:rPr>
          <w:rFonts w:hint="eastAsia" w:ascii="宋体" w:hAnsi="宋体" w:eastAsia="宋体" w:cs="宋体"/>
          <w:color w:val="auto"/>
          <w:u w:val="single"/>
        </w:rPr>
        <w:t>本规划期暂不进行旅游开发，以生态保育为主。</w:t>
      </w:r>
    </w:p>
    <w:p>
      <w:pPr>
        <w:rPr>
          <w:rFonts w:hint="eastAsia"/>
          <w:color w:val="auto"/>
          <w:u w:val="singl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26" w:charSpace="0"/>
        </w:sectPr>
      </w:pPr>
      <w:r>
        <w:rPr>
          <w:rFonts w:hint="eastAsia" w:ascii="宋体" w:hAnsi="宋体" w:eastAsia="宋体" w:cs="宋体"/>
          <w:b/>
          <w:color w:val="auto"/>
          <w:u w:val="single"/>
        </w:rPr>
        <w:t>资源与环境保护规划：</w:t>
      </w:r>
      <w:r>
        <w:rPr>
          <w:rFonts w:hint="eastAsia" w:ascii="宋体" w:hAnsi="宋体" w:eastAsia="宋体" w:cs="宋体"/>
          <w:color w:val="auto"/>
          <w:u w:val="single"/>
        </w:rPr>
        <w:t>不二门国家级森林公园重点森林风景资源集中在不二门市民公园，由地文景观、水文景观、生物资源景观、人文景观等多种景观资源组成。对核心景区实施绝对保护，对一般游憩区和生态保育区实施严格保护，对管理服务区实施一般保护；保护管理要密切社区关系，帮助、扶持社区居民开展可持续发展项目，发展社区经济，实现保护区与社区和谐协调发展，与社区干群一道共同保护管理好不二门国家级森林公园。</w:t>
      </w:r>
    </w:p>
    <w:p>
      <w:pPr>
        <w:keepNext w:val="0"/>
        <w:keepLines w:val="0"/>
        <w:pageBreakBefore w:val="0"/>
        <w:widowControl/>
        <w:numPr>
          <w:ilvl w:val="0"/>
          <w:numId w:val="0"/>
        </w:numPr>
        <w:kinsoku/>
        <w:wordWrap/>
        <w:overflowPunct/>
        <w:topLinePunct w:val="0"/>
        <w:autoSpaceDE/>
        <w:autoSpaceDN/>
        <w:bidi w:val="0"/>
        <w:adjustRightInd w:val="0"/>
        <w:snapToGrid/>
        <w:ind w:firstLine="482" w:firstLineChars="200"/>
        <w:textAlignment w:val="auto"/>
        <w:rPr>
          <w:rFonts w:hint="eastAsia"/>
          <w:color w:val="auto"/>
          <w:u w:val="single"/>
        </w:rPr>
      </w:pPr>
      <w:r>
        <w:rPr>
          <w:rFonts w:hint="eastAsia"/>
          <w:b/>
          <w:bCs/>
          <w:color w:val="auto"/>
          <w:u w:val="single"/>
          <w:lang w:eastAsia="zh-CN"/>
        </w:rPr>
        <w:t>②本项目</w:t>
      </w:r>
      <w:r>
        <w:rPr>
          <w:rFonts w:hint="eastAsia"/>
          <w:b/>
          <w:bCs/>
          <w:color w:val="auto"/>
          <w:u w:val="single"/>
        </w:rPr>
        <w:t>与不二门国家森林公园</w:t>
      </w:r>
      <w:r>
        <w:rPr>
          <w:rFonts w:hint="eastAsia"/>
          <w:b/>
          <w:bCs/>
          <w:color w:val="auto"/>
          <w:u w:val="single"/>
          <w:lang w:eastAsia="zh-CN"/>
        </w:rPr>
        <w:t>位置关系</w:t>
      </w:r>
    </w:p>
    <w:p>
      <w:pPr>
        <w:bidi w:val="0"/>
        <w:jc w:val="both"/>
        <w:rPr>
          <w:rFonts w:hint="eastAsia"/>
          <w:color w:val="auto"/>
          <w:kern w:val="0"/>
          <w:szCs w:val="24"/>
          <w:u w:val="single"/>
          <w:lang w:val="en-US" w:eastAsia="zh-CN"/>
        </w:rPr>
      </w:pPr>
      <w:r>
        <w:rPr>
          <w:rFonts w:hint="eastAsia"/>
          <w:u w:val="single"/>
          <w:lang w:val="en-US" w:eastAsia="zh-CN"/>
        </w:rPr>
        <w:t>本项目位于猛洞河产业园，部分</w:t>
      </w:r>
      <w:r>
        <w:rPr>
          <w:rFonts w:hint="default"/>
          <w:u w:val="single"/>
          <w:lang w:val="en-US" w:eastAsia="zh-CN"/>
        </w:rPr>
        <w:t>排污管道（约300m）及排</w:t>
      </w:r>
      <w:r>
        <w:rPr>
          <w:rFonts w:hint="eastAsia"/>
          <w:u w:val="single"/>
          <w:lang w:val="en-US" w:eastAsia="zh-CN"/>
        </w:rPr>
        <w:t>污口位于湖南永顺不二门国家级森林公园官河生态保育区</w:t>
      </w:r>
      <w:r>
        <w:rPr>
          <w:rFonts w:hint="eastAsia"/>
          <w:u w:val="single"/>
          <w:lang w:eastAsia="zh-CN"/>
        </w:rPr>
        <w:t>，</w:t>
      </w:r>
      <w:r>
        <w:rPr>
          <w:rFonts w:hint="eastAsia"/>
          <w:u w:val="single"/>
        </w:rPr>
        <w:t>不在</w:t>
      </w:r>
      <w:r>
        <w:rPr>
          <w:rFonts w:hint="eastAsia"/>
          <w:u w:val="single"/>
          <w:lang w:eastAsia="zh-CN"/>
        </w:rPr>
        <w:t>森林公园</w:t>
      </w:r>
      <w:r>
        <w:rPr>
          <w:rFonts w:hint="eastAsia"/>
          <w:u w:val="single"/>
        </w:rPr>
        <w:t>核心景观区（不二门市民公园），</w:t>
      </w:r>
      <w:r>
        <w:rPr>
          <w:rFonts w:hint="eastAsia"/>
          <w:u w:val="single"/>
          <w:lang w:eastAsia="zh-CN"/>
        </w:rPr>
        <w:t>项目</w:t>
      </w:r>
      <w:r>
        <w:rPr>
          <w:rFonts w:hint="eastAsia"/>
          <w:u w:val="single"/>
        </w:rPr>
        <w:t>接收</w:t>
      </w:r>
      <w:r>
        <w:rPr>
          <w:rFonts w:hint="eastAsia"/>
          <w:u w:val="single"/>
          <w:lang w:eastAsia="zh-CN"/>
        </w:rPr>
        <w:t>永顺经济开发区猛洞河产业园内的企事业污水</w:t>
      </w:r>
      <w:r>
        <w:rPr>
          <w:rFonts w:hint="eastAsia"/>
          <w:u w:val="single"/>
          <w:lang w:val="en-US" w:eastAsia="zh-CN"/>
        </w:rPr>
        <w:t>处理达标后外排，使不二门国家级森林公园段猛洞河水域呈趋好的方向发展。</w:t>
      </w:r>
    </w:p>
    <w:p>
      <w:pPr>
        <w:keepNext w:val="0"/>
        <w:keepLines w:val="0"/>
        <w:pageBreakBefore w:val="0"/>
        <w:widowControl/>
        <w:numPr>
          <w:ilvl w:val="0"/>
          <w:numId w:val="0"/>
        </w:numPr>
        <w:kinsoku/>
        <w:wordWrap/>
        <w:overflowPunct/>
        <w:topLinePunct w:val="0"/>
        <w:autoSpaceDE/>
        <w:autoSpaceDN/>
        <w:bidi w:val="0"/>
        <w:adjustRightInd w:val="0"/>
        <w:snapToGrid/>
        <w:ind w:firstLine="482" w:firstLineChars="200"/>
        <w:textAlignment w:val="auto"/>
        <w:rPr>
          <w:rFonts w:hint="eastAsia" w:ascii="Times New Roman" w:hAnsi="Times New Roman" w:eastAsia="宋体" w:cs="Times New Roman"/>
          <w:b/>
          <w:bCs/>
          <w:color w:val="auto"/>
          <w:u w:val="single"/>
          <w:lang w:val="en-US" w:eastAsia="zh-CN"/>
        </w:rPr>
      </w:pPr>
      <w:r>
        <w:rPr>
          <w:rFonts w:hint="eastAsia" w:ascii="Times New Roman" w:hAnsi="Times New Roman" w:eastAsia="宋体" w:cs="Times New Roman"/>
          <w:b/>
          <w:bCs/>
          <w:color w:val="auto"/>
          <w:u w:val="single"/>
          <w:lang w:val="en-US" w:eastAsia="zh-CN"/>
        </w:rPr>
        <w:t>③</w:t>
      </w:r>
      <w:r>
        <w:rPr>
          <w:rFonts w:hint="eastAsia" w:ascii="Times New Roman" w:hAnsi="Times New Roman" w:eastAsia="宋体" w:cs="Times New Roman"/>
          <w:b/>
          <w:bCs/>
          <w:color w:val="auto"/>
          <w:u w:val="single"/>
          <w:lang w:eastAsia="zh-CN"/>
        </w:rPr>
        <w:t>与不二门国家森林公园总体规划符合性分析</w:t>
      </w:r>
    </w:p>
    <w:p>
      <w:pPr>
        <w:bidi w:val="0"/>
        <w:jc w:val="both"/>
        <w:rPr>
          <w:rFonts w:hint="eastAsia"/>
          <w:color w:val="auto"/>
          <w:sz w:val="24"/>
          <w:szCs w:val="24"/>
          <w:u w:val="single"/>
          <w:lang w:val="en-US" w:eastAsia="zh-CN"/>
        </w:rPr>
        <w:sectPr>
          <w:footerReference r:id="rId15"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26" w:charSpace="0"/>
        </w:sectPr>
      </w:pPr>
      <w:r>
        <w:rPr>
          <w:rFonts w:hint="eastAsia"/>
          <w:color w:val="auto"/>
          <w:sz w:val="24"/>
          <w:szCs w:val="24"/>
          <w:u w:val="single"/>
          <w:lang w:val="en-US" w:eastAsia="zh-CN"/>
        </w:rPr>
        <w:t>本项目位于</w:t>
      </w:r>
      <w:r>
        <w:rPr>
          <w:rFonts w:hint="eastAsia" w:cs="宋体"/>
          <w:b w:val="0"/>
          <w:bCs/>
          <w:color w:val="auto"/>
          <w:kern w:val="0"/>
          <w:u w:val="single"/>
          <w:lang w:eastAsia="zh-CN"/>
        </w:rPr>
        <w:t>湘西州永顺县灵溪镇岔那村（猛洞河产业园内）</w:t>
      </w:r>
      <w:r>
        <w:rPr>
          <w:rFonts w:hint="eastAsia"/>
          <w:color w:val="auto"/>
          <w:sz w:val="24"/>
          <w:szCs w:val="24"/>
          <w:u w:val="single"/>
          <w:lang w:val="en-US" w:eastAsia="zh-CN"/>
        </w:rPr>
        <w:t>，</w:t>
      </w:r>
      <w:r>
        <w:rPr>
          <w:rFonts w:hint="eastAsia"/>
          <w:u w:val="single"/>
          <w:lang w:val="en-US" w:eastAsia="zh-CN"/>
        </w:rPr>
        <w:t>部分</w:t>
      </w:r>
      <w:r>
        <w:rPr>
          <w:rFonts w:hint="default"/>
          <w:u w:val="single"/>
          <w:lang w:val="en-US" w:eastAsia="zh-CN"/>
        </w:rPr>
        <w:t>排污管道（约300m）及排</w:t>
      </w:r>
      <w:r>
        <w:rPr>
          <w:rFonts w:hint="eastAsia"/>
          <w:u w:val="single"/>
          <w:lang w:val="en-US" w:eastAsia="zh-CN"/>
        </w:rPr>
        <w:t>污口位于湖南永顺不二门国家级森林公园官河生态保育区</w:t>
      </w:r>
      <w:r>
        <w:rPr>
          <w:rFonts w:hint="eastAsia"/>
          <w:color w:val="auto"/>
          <w:sz w:val="24"/>
          <w:szCs w:val="24"/>
          <w:u w:val="single"/>
          <w:lang w:val="en-US" w:eastAsia="zh-CN"/>
        </w:rPr>
        <w:t>。本项目与《湖南永顺不二门国家级森林公园总体规划（2014-2023）》、《国家级森林公园管理条例》（2017）、《湖南省森林公园条例》（2017）的规划符合性分析如下：</w:t>
      </w:r>
    </w:p>
    <w:p>
      <w:pPr>
        <w:bidi w:val="0"/>
        <w:ind w:left="0" w:leftChars="0" w:firstLine="0" w:firstLineChars="0"/>
        <w:rPr>
          <w:rFonts w:hint="default"/>
          <w:b/>
          <w:bCs/>
          <w:color w:val="auto"/>
          <w:sz w:val="21"/>
          <w:szCs w:val="21"/>
          <w:u w:val="single"/>
          <w:lang w:val="en-US" w:eastAsia="zh-CN"/>
        </w:rPr>
      </w:pPr>
      <w:r>
        <w:rPr>
          <w:rFonts w:hint="eastAsia"/>
          <w:b/>
          <w:bCs/>
          <w:color w:val="auto"/>
          <w:sz w:val="21"/>
          <w:szCs w:val="21"/>
          <w:u w:val="single"/>
          <w:lang w:val="en-US" w:eastAsia="zh-CN"/>
        </w:rPr>
        <w:t>表3-7  项目与《湖南永顺不二门国家级森林公园总体规划（2014-2023）》、《国家级森林公园管理条例》（2017）、《湖南省森林公园条例》（2017）的规划符合性分析</w:t>
      </w:r>
    </w:p>
    <w:tbl>
      <w:tblPr>
        <w:tblStyle w:val="37"/>
        <w:tblW w:w="147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5864"/>
        <w:gridCol w:w="4586"/>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17" w:type="dxa"/>
            <w:noWrap w:val="0"/>
            <w:vAlign w:val="top"/>
          </w:tcPr>
          <w:p>
            <w:pPr>
              <w:pStyle w:val="120"/>
              <w:bidi w:val="0"/>
              <w:rPr>
                <w:rFonts w:hint="eastAsia"/>
                <w:b/>
                <w:bCs/>
                <w:color w:val="auto"/>
                <w:u w:val="single"/>
                <w:lang w:val="en-US" w:eastAsia="zh-CN"/>
              </w:rPr>
            </w:pPr>
          </w:p>
        </w:tc>
        <w:tc>
          <w:tcPr>
            <w:tcW w:w="5864" w:type="dxa"/>
            <w:noWrap w:val="0"/>
            <w:vAlign w:val="top"/>
          </w:tcPr>
          <w:p>
            <w:pPr>
              <w:pStyle w:val="120"/>
              <w:bidi w:val="0"/>
              <w:rPr>
                <w:rFonts w:hint="eastAsia"/>
                <w:b/>
                <w:bCs/>
                <w:color w:val="auto"/>
                <w:u w:val="single"/>
                <w:lang w:val="en-US" w:eastAsia="zh-CN"/>
              </w:rPr>
            </w:pPr>
            <w:r>
              <w:rPr>
                <w:rFonts w:hint="eastAsia"/>
                <w:b/>
                <w:bCs/>
                <w:color w:val="auto"/>
                <w:u w:val="single"/>
                <w:lang w:val="en-US" w:eastAsia="zh-CN"/>
              </w:rPr>
              <w:t>对建设项目的建设要求</w:t>
            </w:r>
          </w:p>
        </w:tc>
        <w:tc>
          <w:tcPr>
            <w:tcW w:w="4586" w:type="dxa"/>
            <w:noWrap w:val="0"/>
            <w:vAlign w:val="top"/>
          </w:tcPr>
          <w:p>
            <w:pPr>
              <w:pStyle w:val="120"/>
              <w:bidi w:val="0"/>
              <w:rPr>
                <w:rFonts w:hint="eastAsia"/>
                <w:b/>
                <w:bCs/>
                <w:color w:val="auto"/>
                <w:u w:val="single"/>
                <w:lang w:val="en-US" w:eastAsia="zh-CN"/>
              </w:rPr>
            </w:pPr>
            <w:r>
              <w:rPr>
                <w:rFonts w:hint="eastAsia"/>
                <w:b/>
                <w:bCs/>
                <w:color w:val="auto"/>
                <w:u w:val="single"/>
                <w:lang w:val="en-US" w:eastAsia="zh-CN"/>
              </w:rPr>
              <w:t>本项目</w:t>
            </w:r>
          </w:p>
        </w:tc>
        <w:tc>
          <w:tcPr>
            <w:tcW w:w="2231" w:type="dxa"/>
            <w:noWrap w:val="0"/>
            <w:vAlign w:val="top"/>
          </w:tcPr>
          <w:p>
            <w:pPr>
              <w:pStyle w:val="120"/>
              <w:bidi w:val="0"/>
              <w:rPr>
                <w:rFonts w:hint="eastAsia"/>
                <w:b/>
                <w:bCs/>
                <w:color w:val="auto"/>
                <w:u w:val="single"/>
                <w:lang w:val="en-US" w:eastAsia="zh-CN"/>
              </w:rPr>
            </w:pPr>
            <w:r>
              <w:rPr>
                <w:rFonts w:hint="eastAsia"/>
                <w:b/>
                <w:bCs/>
                <w:color w:val="auto"/>
                <w:u w:val="single"/>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1" w:hRule="atLeast"/>
        </w:trPr>
        <w:tc>
          <w:tcPr>
            <w:tcW w:w="2117" w:type="dxa"/>
            <w:noWrap w:val="0"/>
            <w:vAlign w:val="center"/>
          </w:tcPr>
          <w:p>
            <w:pPr>
              <w:pStyle w:val="120"/>
              <w:bidi w:val="0"/>
              <w:jc w:val="center"/>
              <w:rPr>
                <w:rFonts w:hint="eastAsia"/>
                <w:color w:val="auto"/>
                <w:u w:val="single"/>
                <w:lang w:val="en-US" w:eastAsia="zh-CN"/>
              </w:rPr>
            </w:pPr>
            <w:r>
              <w:rPr>
                <w:rFonts w:hint="eastAsia"/>
                <w:color w:val="auto"/>
                <w:u w:val="single"/>
                <w:lang w:val="en-US" w:eastAsia="zh-CN"/>
              </w:rPr>
              <w:t>《湖南永顺不二门国家级森林公园总体规划（2014-2023）》</w:t>
            </w:r>
          </w:p>
        </w:tc>
        <w:tc>
          <w:tcPr>
            <w:tcW w:w="5864" w:type="dxa"/>
            <w:noWrap w:val="0"/>
            <w:vAlign w:val="center"/>
          </w:tcPr>
          <w:p>
            <w:pPr>
              <w:pStyle w:val="120"/>
              <w:bidi w:val="0"/>
              <w:jc w:val="both"/>
              <w:rPr>
                <w:rFonts w:hint="eastAsia"/>
                <w:color w:val="auto"/>
                <w:u w:val="single"/>
                <w:lang w:val="en-US" w:eastAsia="zh-CN"/>
              </w:rPr>
            </w:pPr>
            <w:r>
              <w:rPr>
                <w:rFonts w:hint="eastAsia"/>
                <w:color w:val="auto"/>
                <w:u w:val="single"/>
                <w:lang w:val="en-US" w:eastAsia="zh-CN"/>
              </w:rPr>
              <w:t>第八章资源与环境保护规划的第四节环境保护</w:t>
            </w:r>
          </w:p>
          <w:p>
            <w:pPr>
              <w:pStyle w:val="120"/>
              <w:bidi w:val="0"/>
              <w:jc w:val="both"/>
              <w:rPr>
                <w:rFonts w:hint="eastAsia"/>
                <w:color w:val="auto"/>
                <w:u w:val="single"/>
                <w:lang w:val="en-US" w:eastAsia="zh-CN"/>
              </w:rPr>
            </w:pPr>
            <w:r>
              <w:rPr>
                <w:rFonts w:hint="eastAsia"/>
                <w:color w:val="auto"/>
                <w:u w:val="single"/>
                <w:lang w:val="en-US" w:eastAsia="zh-CN"/>
              </w:rPr>
              <w:t xml:space="preserve">一、水环境保护 </w:t>
            </w:r>
          </w:p>
          <w:p>
            <w:pPr>
              <w:pStyle w:val="120"/>
              <w:bidi w:val="0"/>
              <w:jc w:val="both"/>
              <w:rPr>
                <w:rFonts w:hint="eastAsia"/>
                <w:color w:val="auto"/>
                <w:u w:val="single"/>
                <w:lang w:val="en-US" w:eastAsia="zh-CN"/>
              </w:rPr>
            </w:pPr>
            <w:r>
              <w:rPr>
                <w:rFonts w:hint="eastAsia"/>
                <w:color w:val="auto"/>
                <w:u w:val="single"/>
                <w:lang w:val="en-US" w:eastAsia="zh-CN"/>
              </w:rPr>
              <w:t xml:space="preserve">（一）猛洞河不二门段水环境保护措施 </w:t>
            </w:r>
          </w:p>
          <w:p>
            <w:pPr>
              <w:pStyle w:val="120"/>
              <w:bidi w:val="0"/>
              <w:jc w:val="both"/>
              <w:rPr>
                <w:rFonts w:hint="eastAsia"/>
                <w:color w:val="auto"/>
                <w:u w:val="single"/>
                <w:lang w:val="en-US" w:eastAsia="zh-CN"/>
              </w:rPr>
            </w:pPr>
            <w:r>
              <w:rPr>
                <w:rFonts w:hint="eastAsia"/>
                <w:color w:val="auto"/>
                <w:u w:val="single"/>
                <w:lang w:val="en-US" w:eastAsia="zh-CN"/>
              </w:rPr>
              <w:t xml:space="preserve">1、加速建设完善城市排水管网，特别是要加强县城北门河两岸排水管网的建设，提高污水处理工艺水平，使城市污水处理率达到 95%，猛洞河不二门段常年保持在《地表水环境质量标准》Ⅲ类标准以上。 </w:t>
            </w:r>
          </w:p>
          <w:p>
            <w:pPr>
              <w:pStyle w:val="120"/>
              <w:bidi w:val="0"/>
              <w:jc w:val="both"/>
              <w:rPr>
                <w:rFonts w:hint="eastAsia"/>
                <w:color w:val="auto"/>
                <w:u w:val="single"/>
                <w:lang w:val="en-US" w:eastAsia="zh-CN"/>
              </w:rPr>
            </w:pPr>
            <w:r>
              <w:rPr>
                <w:rFonts w:hint="eastAsia"/>
                <w:color w:val="auto"/>
                <w:u w:val="single"/>
                <w:lang w:val="en-US" w:eastAsia="zh-CN"/>
              </w:rPr>
              <w:t xml:space="preserve">2、森林公园内规划修建的建筑设施，完工后应及时恢复被损毁的植被，在坡度较大的地段要修建挡土墙，要特别防止塌方和水土流失。 </w:t>
            </w:r>
          </w:p>
          <w:p>
            <w:pPr>
              <w:pStyle w:val="120"/>
              <w:bidi w:val="0"/>
              <w:jc w:val="both"/>
              <w:rPr>
                <w:rFonts w:hint="eastAsia"/>
                <w:color w:val="auto"/>
                <w:u w:val="single"/>
                <w:lang w:val="en-US" w:eastAsia="zh-CN"/>
              </w:rPr>
            </w:pPr>
            <w:r>
              <w:rPr>
                <w:rFonts w:hint="eastAsia"/>
                <w:color w:val="auto"/>
                <w:u w:val="single"/>
                <w:lang w:val="en-US" w:eastAsia="zh-CN"/>
              </w:rPr>
              <w:t xml:space="preserve">3、改进生产工艺，提高工业用水的重复利用率，减少工业废水排放，开展污水资源化工作，走经济效益与环境效益同步提高道路。 </w:t>
            </w:r>
          </w:p>
          <w:p>
            <w:pPr>
              <w:pStyle w:val="120"/>
              <w:bidi w:val="0"/>
              <w:jc w:val="both"/>
              <w:rPr>
                <w:rFonts w:hint="eastAsia"/>
                <w:color w:val="auto"/>
                <w:u w:val="single"/>
                <w:lang w:val="en-US" w:eastAsia="zh-CN"/>
              </w:rPr>
            </w:pPr>
            <w:r>
              <w:rPr>
                <w:rFonts w:hint="eastAsia"/>
                <w:color w:val="auto"/>
                <w:u w:val="single"/>
                <w:lang w:val="en-US" w:eastAsia="zh-CN"/>
              </w:rPr>
              <w:t xml:space="preserve">4、工业污水原则上由各厂自行处理达到国家有关排放标准后方可排入城市污水系统。各工厂企业单位的污水处理设施应保证正常运行。 </w:t>
            </w:r>
          </w:p>
          <w:p>
            <w:pPr>
              <w:pStyle w:val="120"/>
              <w:bidi w:val="0"/>
              <w:jc w:val="both"/>
              <w:rPr>
                <w:rFonts w:hint="eastAsia"/>
                <w:color w:val="auto"/>
                <w:u w:val="single"/>
                <w:lang w:val="en-US" w:eastAsia="zh-CN"/>
              </w:rPr>
            </w:pPr>
            <w:r>
              <w:rPr>
                <w:rFonts w:hint="eastAsia"/>
                <w:color w:val="auto"/>
                <w:u w:val="single"/>
                <w:lang w:val="en-US" w:eastAsia="zh-CN"/>
              </w:rPr>
              <w:t xml:space="preserve">5、开展对城区内河道综合整治工程，落实管理，全面改善水体环境。禁止在河中清洗贮过油或有毒物质的车辆和容器，禁止将含有剧毒物品的废液、废渣向河水中倾倒或掩埋在河岸附近，禁止在河床最高水位线下的滩地和岸坡堆放、存贮对水体可能造成 </w:t>
            </w:r>
          </w:p>
          <w:p>
            <w:pPr>
              <w:pStyle w:val="120"/>
              <w:bidi w:val="0"/>
              <w:jc w:val="both"/>
              <w:rPr>
                <w:rFonts w:hint="eastAsia"/>
                <w:color w:val="auto"/>
                <w:u w:val="single"/>
                <w:lang w:val="en-US" w:eastAsia="zh-CN"/>
              </w:rPr>
            </w:pPr>
            <w:r>
              <w:rPr>
                <w:rFonts w:hint="eastAsia"/>
                <w:color w:val="auto"/>
                <w:u w:val="single"/>
                <w:lang w:val="en-US" w:eastAsia="zh-CN"/>
              </w:rPr>
              <w:t xml:space="preserve">污染的物质。 </w:t>
            </w:r>
          </w:p>
          <w:p>
            <w:pPr>
              <w:pStyle w:val="120"/>
              <w:bidi w:val="0"/>
              <w:jc w:val="both"/>
              <w:rPr>
                <w:rFonts w:hint="eastAsia"/>
                <w:color w:val="auto"/>
                <w:u w:val="single"/>
                <w:lang w:val="en-US" w:eastAsia="zh-CN"/>
              </w:rPr>
            </w:pPr>
            <w:r>
              <w:rPr>
                <w:rFonts w:hint="eastAsia"/>
                <w:color w:val="auto"/>
                <w:u w:val="single"/>
                <w:lang w:val="en-US" w:eastAsia="zh-CN"/>
              </w:rPr>
              <w:t xml:space="preserve">6、控制地下水开采量，保护好地下水资源，防止地下水质恶化。 </w:t>
            </w:r>
          </w:p>
          <w:p>
            <w:pPr>
              <w:pStyle w:val="120"/>
              <w:bidi w:val="0"/>
              <w:jc w:val="both"/>
              <w:rPr>
                <w:rFonts w:hint="eastAsia"/>
                <w:color w:val="auto"/>
                <w:u w:val="single"/>
                <w:lang w:val="en-US" w:eastAsia="zh-CN"/>
              </w:rPr>
            </w:pPr>
            <w:r>
              <w:rPr>
                <w:rFonts w:hint="eastAsia"/>
                <w:color w:val="auto"/>
                <w:u w:val="single"/>
                <w:lang w:val="en-US" w:eastAsia="zh-CN"/>
              </w:rPr>
              <w:t xml:space="preserve">7、在县域内不批准建设耗水量大、严重污染或污水（废水）无法治理的工厂企业。 </w:t>
            </w:r>
          </w:p>
          <w:p>
            <w:pPr>
              <w:pStyle w:val="120"/>
              <w:bidi w:val="0"/>
              <w:jc w:val="both"/>
              <w:rPr>
                <w:rFonts w:hint="eastAsia"/>
                <w:color w:val="auto"/>
                <w:u w:val="single"/>
                <w:lang w:val="en-US" w:eastAsia="zh-CN"/>
              </w:rPr>
            </w:pPr>
            <w:r>
              <w:rPr>
                <w:rFonts w:hint="eastAsia"/>
                <w:color w:val="auto"/>
                <w:u w:val="single"/>
                <w:lang w:val="en-US" w:eastAsia="zh-CN"/>
              </w:rPr>
              <w:t xml:space="preserve">8、对县域内水系进行定期或不定期监测，掌握水质变化动态，及时调整水资源保护对策。 </w:t>
            </w:r>
          </w:p>
          <w:p>
            <w:pPr>
              <w:pStyle w:val="120"/>
              <w:bidi w:val="0"/>
              <w:jc w:val="both"/>
              <w:rPr>
                <w:rFonts w:hint="eastAsia"/>
                <w:color w:val="auto"/>
                <w:u w:val="single"/>
                <w:lang w:val="en-US" w:eastAsia="zh-CN"/>
              </w:rPr>
            </w:pPr>
            <w:r>
              <w:rPr>
                <w:rFonts w:hint="eastAsia"/>
                <w:color w:val="auto"/>
                <w:u w:val="single"/>
                <w:lang w:val="en-US" w:eastAsia="zh-CN"/>
              </w:rPr>
              <w:t xml:space="preserve">（二）杉木河水库水环境保护措施 </w:t>
            </w:r>
          </w:p>
          <w:p>
            <w:pPr>
              <w:pStyle w:val="120"/>
              <w:bidi w:val="0"/>
              <w:jc w:val="both"/>
              <w:rPr>
                <w:rFonts w:hint="eastAsia"/>
                <w:color w:val="auto"/>
                <w:u w:val="single"/>
                <w:lang w:val="en-US" w:eastAsia="zh-CN"/>
              </w:rPr>
            </w:pPr>
            <w:r>
              <w:rPr>
                <w:rFonts w:hint="eastAsia"/>
                <w:color w:val="auto"/>
                <w:u w:val="single"/>
                <w:lang w:val="en-US" w:eastAsia="zh-CN"/>
              </w:rPr>
              <w:t xml:space="preserve">杉木河水库是万坪镇及下游地区重要的饮用水源，必需保证其符合《地表水环境质 量标准》Ⅰ类水平。 </w:t>
            </w:r>
          </w:p>
          <w:p>
            <w:pPr>
              <w:pStyle w:val="120"/>
              <w:bidi w:val="0"/>
              <w:jc w:val="both"/>
              <w:rPr>
                <w:rFonts w:hint="eastAsia"/>
                <w:color w:val="auto"/>
                <w:u w:val="single"/>
                <w:lang w:val="en-US" w:eastAsia="zh-CN"/>
              </w:rPr>
            </w:pPr>
            <w:r>
              <w:rPr>
                <w:rFonts w:hint="eastAsia"/>
                <w:color w:val="auto"/>
                <w:u w:val="single"/>
                <w:lang w:val="en-US" w:eastAsia="zh-CN"/>
              </w:rPr>
              <w:t xml:space="preserve">1、禁止在水库岸边修建旅游设施、开展旅游活动。 </w:t>
            </w:r>
          </w:p>
          <w:p>
            <w:pPr>
              <w:pStyle w:val="120"/>
              <w:bidi w:val="0"/>
              <w:jc w:val="both"/>
              <w:rPr>
                <w:rFonts w:hint="eastAsia"/>
                <w:color w:val="auto"/>
                <w:u w:val="single"/>
                <w:lang w:val="en-US" w:eastAsia="zh-CN"/>
              </w:rPr>
            </w:pPr>
            <w:r>
              <w:rPr>
                <w:rFonts w:hint="eastAsia"/>
                <w:color w:val="auto"/>
                <w:u w:val="single"/>
                <w:lang w:val="en-US" w:eastAsia="zh-CN"/>
              </w:rPr>
              <w:t xml:space="preserve">2、禁止在上游兴建宾馆、酒店、居民点，开展生产经营活动。 </w:t>
            </w:r>
          </w:p>
          <w:p>
            <w:pPr>
              <w:pStyle w:val="120"/>
              <w:bidi w:val="0"/>
              <w:jc w:val="both"/>
              <w:rPr>
                <w:rFonts w:hint="eastAsia"/>
                <w:color w:val="auto"/>
                <w:u w:val="single"/>
                <w:lang w:val="en-US" w:eastAsia="zh-CN"/>
              </w:rPr>
            </w:pPr>
            <w:r>
              <w:rPr>
                <w:rFonts w:hint="eastAsia"/>
                <w:color w:val="auto"/>
                <w:u w:val="single"/>
                <w:lang w:val="en-US" w:eastAsia="zh-CN"/>
              </w:rPr>
              <w:t xml:space="preserve">3、严格保护水库周围的植被，不准进行皆伐，只准进行抚育或更新性质的采伐。 </w:t>
            </w:r>
          </w:p>
          <w:p>
            <w:pPr>
              <w:pStyle w:val="120"/>
              <w:bidi w:val="0"/>
              <w:jc w:val="both"/>
              <w:rPr>
                <w:rFonts w:hint="eastAsia"/>
                <w:color w:val="auto"/>
                <w:u w:val="single"/>
                <w:lang w:val="en-US" w:eastAsia="zh-CN"/>
              </w:rPr>
            </w:pPr>
            <w:r>
              <w:rPr>
                <w:rFonts w:hint="eastAsia"/>
                <w:color w:val="auto"/>
                <w:u w:val="single"/>
                <w:lang w:val="en-US" w:eastAsia="zh-CN"/>
              </w:rPr>
              <w:t xml:space="preserve">二、废气（PM2.5）、可吸入颗粒（PM10）和噪音控制 </w:t>
            </w:r>
          </w:p>
          <w:p>
            <w:pPr>
              <w:pStyle w:val="120"/>
              <w:bidi w:val="0"/>
              <w:jc w:val="both"/>
              <w:rPr>
                <w:rFonts w:hint="eastAsia"/>
                <w:color w:val="auto"/>
                <w:u w:val="single"/>
                <w:lang w:val="en-US" w:eastAsia="zh-CN"/>
              </w:rPr>
            </w:pPr>
            <w:r>
              <w:rPr>
                <w:rFonts w:hint="eastAsia"/>
                <w:color w:val="auto"/>
                <w:u w:val="single"/>
                <w:lang w:val="en-US" w:eastAsia="zh-CN"/>
              </w:rPr>
              <w:t xml:space="preserve">规划期内，使公园内空气质量总体上达到《环境空气质量标准》一级标准，声环境质量达到《声环境质量标准》1 类声环境功能区标准。主要措施如下： </w:t>
            </w:r>
          </w:p>
          <w:p>
            <w:pPr>
              <w:pStyle w:val="120"/>
              <w:bidi w:val="0"/>
              <w:jc w:val="both"/>
              <w:rPr>
                <w:rFonts w:hint="eastAsia"/>
                <w:color w:val="auto"/>
                <w:u w:val="single"/>
                <w:lang w:val="en-US" w:eastAsia="zh-CN"/>
              </w:rPr>
            </w:pPr>
            <w:r>
              <w:rPr>
                <w:rFonts w:hint="eastAsia"/>
                <w:color w:val="auto"/>
                <w:u w:val="single"/>
                <w:lang w:val="en-US" w:eastAsia="zh-CN"/>
              </w:rPr>
              <w:t xml:space="preserve">1、强化用车管理，严格执行尾气不达标的车辆不得上路等规定。加强新车环境监管，凡未列入尾气达标车型目录的车辆不得销售和使用；鼓励使用清洁燃料汽车。 </w:t>
            </w:r>
          </w:p>
          <w:p>
            <w:pPr>
              <w:pStyle w:val="120"/>
              <w:bidi w:val="0"/>
              <w:jc w:val="both"/>
              <w:rPr>
                <w:rFonts w:hint="eastAsia"/>
                <w:color w:val="auto"/>
                <w:u w:val="single"/>
                <w:lang w:val="en-US" w:eastAsia="zh-CN"/>
              </w:rPr>
            </w:pPr>
            <w:r>
              <w:rPr>
                <w:rFonts w:hint="eastAsia"/>
                <w:color w:val="auto"/>
                <w:u w:val="single"/>
                <w:lang w:val="en-US" w:eastAsia="zh-CN"/>
              </w:rPr>
              <w:t>2、周围工厂企业的废气治理除应配备先进的除尘设备外，还应逐步推广脱硫工艺，这是根治 SO</w:t>
            </w:r>
            <w:r>
              <w:rPr>
                <w:rFonts w:hint="eastAsia"/>
                <w:color w:val="auto"/>
                <w:u w:val="single"/>
                <w:vertAlign w:val="subscript"/>
                <w:lang w:val="en-US" w:eastAsia="zh-CN"/>
              </w:rPr>
              <w:t>2</w:t>
            </w:r>
            <w:r>
              <w:rPr>
                <w:rFonts w:hint="eastAsia"/>
                <w:color w:val="auto"/>
                <w:u w:val="single"/>
                <w:lang w:val="en-US" w:eastAsia="zh-CN"/>
              </w:rPr>
              <w:t xml:space="preserve"> 污染的有效途径，同时应加强对重点污染源的限期治理或搬迁，尽量采用湿法除尘。城镇推广使用民用液化气。 </w:t>
            </w:r>
          </w:p>
          <w:p>
            <w:pPr>
              <w:pStyle w:val="120"/>
              <w:bidi w:val="0"/>
              <w:jc w:val="both"/>
              <w:rPr>
                <w:rFonts w:hint="eastAsia"/>
                <w:color w:val="auto"/>
                <w:u w:val="single"/>
                <w:lang w:val="en-US" w:eastAsia="zh-CN"/>
              </w:rPr>
            </w:pPr>
            <w:r>
              <w:rPr>
                <w:rFonts w:hint="eastAsia"/>
                <w:color w:val="auto"/>
                <w:u w:val="single"/>
                <w:lang w:val="en-US" w:eastAsia="zh-CN"/>
              </w:rPr>
              <w:t xml:space="preserve">3、加强对周围建筑工地的管理。重点防治建设过程中渣土运输撒漏、车轮挟带泥土等。建设工地要封闭施工，车辆出入口必须设置车轮清洗格栅，车辆不得超载，以防 渣土撒漏，加强道路清扫保洁，规范渣土处置场。 </w:t>
            </w:r>
          </w:p>
          <w:p>
            <w:pPr>
              <w:pStyle w:val="120"/>
              <w:bidi w:val="0"/>
              <w:jc w:val="both"/>
              <w:rPr>
                <w:rFonts w:hint="eastAsia"/>
                <w:color w:val="auto"/>
                <w:u w:val="single"/>
                <w:lang w:val="en-US" w:eastAsia="zh-CN"/>
              </w:rPr>
            </w:pPr>
            <w:r>
              <w:rPr>
                <w:rFonts w:hint="eastAsia"/>
                <w:color w:val="auto"/>
                <w:u w:val="single"/>
                <w:lang w:val="en-US" w:eastAsia="zh-CN"/>
              </w:rPr>
              <w:t xml:space="preserve">4、搞好周围城区的道路硬化和绿化工作。 </w:t>
            </w:r>
          </w:p>
        </w:tc>
        <w:tc>
          <w:tcPr>
            <w:tcW w:w="4586" w:type="dxa"/>
            <w:noWrap w:val="0"/>
            <w:vAlign w:val="center"/>
          </w:tcPr>
          <w:p>
            <w:pPr>
              <w:pStyle w:val="120"/>
              <w:numPr>
                <w:ilvl w:val="0"/>
                <w:numId w:val="1"/>
              </w:numPr>
              <w:bidi w:val="0"/>
              <w:jc w:val="both"/>
              <w:rPr>
                <w:rFonts w:hint="eastAsia"/>
                <w:color w:val="auto"/>
                <w:u w:val="single"/>
                <w:lang w:val="en-US" w:eastAsia="zh-CN"/>
              </w:rPr>
            </w:pPr>
            <w:r>
              <w:rPr>
                <w:rFonts w:hint="eastAsia"/>
                <w:color w:val="auto"/>
                <w:u w:val="single"/>
                <w:lang w:val="en-US" w:eastAsia="zh-CN"/>
              </w:rPr>
              <w:t>水环境保护</w:t>
            </w:r>
          </w:p>
          <w:p>
            <w:pPr>
              <w:pStyle w:val="120"/>
              <w:numPr>
                <w:ilvl w:val="0"/>
                <w:numId w:val="0"/>
              </w:numPr>
              <w:bidi w:val="0"/>
              <w:jc w:val="both"/>
              <w:rPr>
                <w:rFonts w:hint="eastAsia"/>
                <w:color w:val="auto"/>
                <w:u w:val="single"/>
                <w:lang w:val="en-US" w:eastAsia="zh-CN"/>
              </w:rPr>
            </w:pPr>
            <w:r>
              <w:rPr>
                <w:rFonts w:hint="eastAsia"/>
                <w:color w:val="auto"/>
                <w:u w:val="single"/>
                <w:lang w:val="en-US" w:eastAsia="zh-CN"/>
              </w:rPr>
              <w:t>（一）猛洞河不二门段水环境保护措施</w:t>
            </w:r>
          </w:p>
          <w:p>
            <w:pPr>
              <w:pStyle w:val="120"/>
              <w:numPr>
                <w:ilvl w:val="0"/>
                <w:numId w:val="2"/>
              </w:numPr>
              <w:bidi w:val="0"/>
              <w:jc w:val="both"/>
              <w:rPr>
                <w:rFonts w:hint="eastAsia"/>
                <w:color w:val="auto"/>
                <w:kern w:val="0"/>
                <w:u w:val="single"/>
                <w:lang w:val="en-US" w:eastAsia="zh-CN"/>
              </w:rPr>
            </w:pPr>
            <w:r>
              <w:rPr>
                <w:rFonts w:hint="eastAsia"/>
                <w:color w:val="auto"/>
                <w:u w:val="single"/>
                <w:lang w:val="en-US" w:eastAsia="zh-CN"/>
              </w:rPr>
              <w:t>本项目建成后，完善园区内部分污水管网，接收永顺经济开发区猛洞河产业园内的企事业污水</w:t>
            </w:r>
            <w:r>
              <w:rPr>
                <w:rFonts w:hint="eastAsia"/>
                <w:color w:val="auto"/>
                <w:kern w:val="0"/>
                <w:u w:val="single"/>
                <w:lang w:val="en-US" w:eastAsia="zh-CN"/>
              </w:rPr>
              <w:t>处理达标后外排。本项目污水工艺采用“</w:t>
            </w:r>
            <w:r>
              <w:rPr>
                <w:rFonts w:hint="eastAsia"/>
                <w:color w:val="auto"/>
                <w:u w:val="single"/>
                <w:lang w:eastAsia="zh-CN"/>
              </w:rPr>
              <w:t>格栅渠</w:t>
            </w:r>
            <w:r>
              <w:rPr>
                <w:rFonts w:hint="eastAsia"/>
                <w:color w:val="auto"/>
                <w:u w:val="single"/>
              </w:rPr>
              <w:t>→沉砂池→调节池→</w:t>
            </w:r>
            <w:r>
              <w:rPr>
                <w:rFonts w:hint="eastAsia"/>
                <w:color w:val="auto"/>
                <w:u w:val="single"/>
                <w:lang w:val="en-US" w:eastAsia="zh-CN"/>
              </w:rPr>
              <w:t>MBR一体化设备</w:t>
            </w:r>
            <w:r>
              <w:rPr>
                <w:rFonts w:hint="eastAsia"/>
                <w:color w:val="auto"/>
                <w:u w:val="single"/>
              </w:rPr>
              <w:t>→紫外消毒→</w:t>
            </w:r>
            <w:r>
              <w:rPr>
                <w:rFonts w:hint="eastAsia"/>
                <w:color w:val="auto"/>
                <w:u w:val="single"/>
                <w:lang w:eastAsia="zh-CN"/>
              </w:rPr>
              <w:t>清水池</w:t>
            </w:r>
            <w:r>
              <w:rPr>
                <w:rFonts w:hint="eastAsia"/>
                <w:color w:val="auto"/>
                <w:kern w:val="0"/>
                <w:u w:val="single"/>
                <w:lang w:val="en-US" w:eastAsia="zh-CN"/>
              </w:rPr>
              <w:t>”，污水处理效率可达96.67%。本项目污水处理厂执行</w:t>
            </w:r>
            <w:r>
              <w:rPr>
                <w:rFonts w:hint="eastAsia"/>
                <w:color w:val="auto"/>
                <w:u w:val="single"/>
              </w:rPr>
              <w:t>《城镇污水处理厂污染物排放标准》中一级A标</w:t>
            </w:r>
            <w:r>
              <w:rPr>
                <w:rFonts w:hint="eastAsia"/>
                <w:color w:val="auto"/>
                <w:u w:val="single"/>
                <w:lang w:eastAsia="zh-CN"/>
              </w:rPr>
              <w:t>准，经地表水环境预测，污水排放后，区域地表水能够达到</w:t>
            </w:r>
            <w:r>
              <w:rPr>
                <w:rFonts w:hint="eastAsia"/>
                <w:color w:val="auto"/>
                <w:u w:val="single"/>
                <w:lang w:val="en-US" w:eastAsia="zh-CN"/>
              </w:rPr>
              <w:t>《地表水环境质量标准》</w:t>
            </w:r>
            <w:r>
              <w:rPr>
                <w:rFonts w:hint="eastAsia" w:ascii="宋体" w:hAnsi="宋体" w:eastAsia="宋体" w:cs="宋体"/>
                <w:color w:val="auto"/>
                <w:u w:val="single"/>
                <w:lang w:val="en-US" w:eastAsia="zh-CN"/>
              </w:rPr>
              <w:t>Ⅲ</w:t>
            </w:r>
            <w:r>
              <w:rPr>
                <w:rFonts w:hint="eastAsia"/>
                <w:color w:val="auto"/>
                <w:u w:val="single"/>
                <w:lang w:val="en-US" w:eastAsia="zh-CN"/>
              </w:rPr>
              <w:t>类标准。本项目建成后</w:t>
            </w:r>
            <w:r>
              <w:rPr>
                <w:rFonts w:hint="eastAsia"/>
                <w:color w:val="auto"/>
                <w:kern w:val="0"/>
                <w:u w:val="single"/>
                <w:lang w:val="en-US" w:eastAsia="zh-CN"/>
              </w:rPr>
              <w:t>猛洞河不二门段水环境呈趋好的方向发展。</w:t>
            </w:r>
          </w:p>
          <w:p>
            <w:pPr>
              <w:pStyle w:val="120"/>
              <w:numPr>
                <w:ilvl w:val="0"/>
                <w:numId w:val="2"/>
              </w:numPr>
              <w:bidi w:val="0"/>
              <w:jc w:val="both"/>
              <w:rPr>
                <w:rFonts w:hint="eastAsia"/>
                <w:color w:val="auto"/>
                <w:kern w:val="0"/>
                <w:u w:val="single"/>
                <w:lang w:val="en-US" w:eastAsia="zh-CN"/>
              </w:rPr>
            </w:pPr>
            <w:r>
              <w:rPr>
                <w:rFonts w:hint="eastAsia"/>
                <w:color w:val="auto"/>
                <w:kern w:val="0"/>
                <w:u w:val="single"/>
                <w:lang w:val="en-US" w:eastAsia="zh-CN"/>
              </w:rPr>
              <w:t>本项目已场地平整完毕，占地区域内已不存在动植物，项目建成后，厂区会进行绿化。</w:t>
            </w:r>
          </w:p>
          <w:p>
            <w:pPr>
              <w:pStyle w:val="120"/>
              <w:numPr>
                <w:ilvl w:val="0"/>
                <w:numId w:val="2"/>
              </w:numPr>
              <w:bidi w:val="0"/>
              <w:jc w:val="both"/>
              <w:rPr>
                <w:rFonts w:hint="default"/>
                <w:color w:val="auto"/>
                <w:u w:val="single"/>
                <w:lang w:val="en-US" w:eastAsia="zh-CN"/>
              </w:rPr>
            </w:pPr>
            <w:r>
              <w:rPr>
                <w:rFonts w:hint="eastAsia"/>
                <w:color w:val="auto"/>
                <w:kern w:val="0"/>
                <w:u w:val="single"/>
                <w:lang w:val="en-US" w:eastAsia="zh-CN"/>
              </w:rPr>
              <w:t>各企业达到《污水污染物综合排放标准》三级标准后进入本项目污水处理厂，本项目进水口与排污口均设有在线监控系统，保证进水水质及排放污水水质达标。</w:t>
            </w:r>
          </w:p>
          <w:p>
            <w:pPr>
              <w:pStyle w:val="120"/>
              <w:numPr>
                <w:ilvl w:val="0"/>
                <w:numId w:val="2"/>
              </w:numPr>
              <w:bidi w:val="0"/>
              <w:jc w:val="both"/>
              <w:rPr>
                <w:rFonts w:hint="default"/>
                <w:color w:val="auto"/>
                <w:u w:val="single"/>
                <w:lang w:val="en-US" w:eastAsia="zh-CN"/>
              </w:rPr>
            </w:pPr>
            <w:r>
              <w:rPr>
                <w:rFonts w:hint="eastAsia"/>
                <w:color w:val="auto"/>
                <w:u w:val="single"/>
                <w:lang w:val="en-US" w:eastAsia="zh-CN"/>
              </w:rPr>
              <w:t>本项目固废及危废均委托第三方处理，不随意在河岸堆放及排放。</w:t>
            </w:r>
          </w:p>
          <w:p>
            <w:pPr>
              <w:pStyle w:val="120"/>
              <w:numPr>
                <w:ilvl w:val="0"/>
                <w:numId w:val="2"/>
              </w:numPr>
              <w:bidi w:val="0"/>
              <w:jc w:val="both"/>
              <w:rPr>
                <w:rFonts w:hint="default"/>
                <w:color w:val="auto"/>
                <w:u w:val="single"/>
                <w:lang w:val="en-US" w:eastAsia="zh-CN"/>
              </w:rPr>
            </w:pPr>
            <w:r>
              <w:rPr>
                <w:rFonts w:hint="eastAsia"/>
                <w:color w:val="auto"/>
                <w:u w:val="single"/>
                <w:lang w:val="en-US" w:eastAsia="zh-CN"/>
              </w:rPr>
              <w:t>猛洞河产业园入驻企业均符合猛洞河产业园规划，无耗水量大、严重污染或污水（废水）无法治理的工厂企业。</w:t>
            </w:r>
          </w:p>
          <w:p>
            <w:pPr>
              <w:pStyle w:val="120"/>
              <w:numPr>
                <w:ilvl w:val="0"/>
                <w:numId w:val="2"/>
              </w:numPr>
              <w:bidi w:val="0"/>
              <w:jc w:val="both"/>
              <w:rPr>
                <w:rFonts w:hint="default"/>
                <w:color w:val="auto"/>
                <w:u w:val="single"/>
                <w:lang w:val="en-US" w:eastAsia="zh-CN"/>
              </w:rPr>
            </w:pPr>
            <w:r>
              <w:rPr>
                <w:rFonts w:hint="eastAsia"/>
                <w:color w:val="auto"/>
                <w:u w:val="single"/>
                <w:lang w:val="en-US" w:eastAsia="zh-CN"/>
              </w:rPr>
              <w:t>项目建成后按照《排污许可证申请与核发技术规范水处理》定期进行自行监测。</w:t>
            </w:r>
          </w:p>
          <w:p>
            <w:pPr>
              <w:pStyle w:val="120"/>
              <w:bidi w:val="0"/>
              <w:jc w:val="both"/>
              <w:rPr>
                <w:rFonts w:hint="eastAsia"/>
                <w:color w:val="auto"/>
                <w:u w:val="single"/>
                <w:lang w:val="en-US" w:eastAsia="zh-CN"/>
              </w:rPr>
            </w:pPr>
            <w:r>
              <w:rPr>
                <w:rFonts w:hint="eastAsia"/>
                <w:color w:val="auto"/>
                <w:u w:val="single"/>
                <w:lang w:val="en-US" w:eastAsia="zh-CN"/>
              </w:rPr>
              <w:t xml:space="preserve">（二）杉木河水库水环境保护措施 </w:t>
            </w:r>
          </w:p>
          <w:p>
            <w:pPr>
              <w:pStyle w:val="120"/>
              <w:numPr>
                <w:ilvl w:val="0"/>
                <w:numId w:val="0"/>
              </w:numPr>
              <w:bidi w:val="0"/>
              <w:jc w:val="both"/>
              <w:rPr>
                <w:rFonts w:hint="eastAsia"/>
                <w:color w:val="auto"/>
                <w:u w:val="single"/>
                <w:lang w:val="en-US" w:eastAsia="zh-CN"/>
              </w:rPr>
            </w:pPr>
            <w:r>
              <w:rPr>
                <w:rFonts w:hint="eastAsia"/>
                <w:color w:val="auto"/>
                <w:u w:val="single"/>
                <w:lang w:val="en-US" w:eastAsia="zh-CN"/>
              </w:rPr>
              <w:t>本项目不涉及杉木河水库。</w:t>
            </w:r>
          </w:p>
          <w:p>
            <w:pPr>
              <w:pStyle w:val="120"/>
              <w:bidi w:val="0"/>
              <w:jc w:val="both"/>
              <w:rPr>
                <w:rFonts w:hint="eastAsia"/>
                <w:color w:val="auto"/>
                <w:u w:val="single"/>
                <w:lang w:val="en-US" w:eastAsia="zh-CN"/>
              </w:rPr>
            </w:pPr>
            <w:r>
              <w:rPr>
                <w:rFonts w:hint="eastAsia"/>
                <w:color w:val="auto"/>
                <w:u w:val="single"/>
                <w:lang w:val="en-US" w:eastAsia="zh-CN"/>
              </w:rPr>
              <w:t xml:space="preserve">二、固体垃圾处理 </w:t>
            </w:r>
          </w:p>
          <w:p>
            <w:pPr>
              <w:pStyle w:val="120"/>
              <w:numPr>
                <w:ilvl w:val="0"/>
                <w:numId w:val="0"/>
              </w:numPr>
              <w:bidi w:val="0"/>
              <w:jc w:val="both"/>
              <w:rPr>
                <w:rFonts w:hint="eastAsia"/>
                <w:color w:val="auto"/>
                <w:u w:val="single"/>
                <w:lang w:val="en-US" w:eastAsia="zh-CN"/>
              </w:rPr>
            </w:pPr>
            <w:r>
              <w:rPr>
                <w:rFonts w:hint="eastAsia"/>
                <w:color w:val="auto"/>
                <w:u w:val="single"/>
                <w:lang w:val="en-US" w:eastAsia="zh-CN"/>
              </w:rPr>
              <w:t>1、本项目固废及危废均委托第三方公司处理，均使用达标车型。</w:t>
            </w:r>
          </w:p>
          <w:p>
            <w:pPr>
              <w:pStyle w:val="120"/>
              <w:numPr>
                <w:ilvl w:val="0"/>
                <w:numId w:val="0"/>
              </w:numPr>
              <w:bidi w:val="0"/>
              <w:jc w:val="both"/>
              <w:rPr>
                <w:rFonts w:hint="eastAsia"/>
                <w:color w:val="auto"/>
                <w:u w:val="single"/>
                <w:lang w:val="en-US" w:eastAsia="zh-CN"/>
              </w:rPr>
            </w:pPr>
            <w:r>
              <w:rPr>
                <w:rFonts w:hint="eastAsia"/>
                <w:color w:val="auto"/>
                <w:u w:val="single"/>
                <w:lang w:val="en-US" w:eastAsia="zh-CN"/>
              </w:rPr>
              <w:t>2、本项目废气污染物为硫化氢、氨气及臭气浓度，不涉及二氧化硫，经大气污染物源强分析，有组织废气及无组织废气均达标。</w:t>
            </w:r>
          </w:p>
          <w:p>
            <w:pPr>
              <w:pStyle w:val="120"/>
              <w:numPr>
                <w:ilvl w:val="0"/>
                <w:numId w:val="0"/>
              </w:numPr>
              <w:bidi w:val="0"/>
              <w:jc w:val="both"/>
              <w:rPr>
                <w:rFonts w:hint="eastAsia"/>
                <w:color w:val="auto"/>
                <w:u w:val="single"/>
                <w:lang w:val="en-US" w:eastAsia="zh-CN"/>
              </w:rPr>
            </w:pPr>
            <w:r>
              <w:rPr>
                <w:rFonts w:hint="eastAsia"/>
                <w:color w:val="auto"/>
                <w:u w:val="single"/>
                <w:lang w:val="en-US" w:eastAsia="zh-CN"/>
              </w:rPr>
              <w:t>3、本项目施工期土石方高挖低填，无需外运或购买土石方，均为项目区域内的渣土运输。</w:t>
            </w:r>
          </w:p>
          <w:p>
            <w:pPr>
              <w:pStyle w:val="120"/>
              <w:numPr>
                <w:ilvl w:val="0"/>
                <w:numId w:val="0"/>
              </w:numPr>
              <w:bidi w:val="0"/>
              <w:jc w:val="both"/>
              <w:rPr>
                <w:rFonts w:hint="default"/>
                <w:color w:val="auto"/>
                <w:u w:val="single"/>
                <w:lang w:val="en-US" w:eastAsia="zh-CN"/>
              </w:rPr>
            </w:pPr>
            <w:r>
              <w:rPr>
                <w:rFonts w:hint="eastAsia"/>
                <w:color w:val="auto"/>
                <w:u w:val="single"/>
                <w:lang w:val="en-US" w:eastAsia="zh-CN"/>
              </w:rPr>
              <w:t>4、项目厂区内进行道路硬化，后期进行绿化工作。</w:t>
            </w:r>
          </w:p>
        </w:tc>
        <w:tc>
          <w:tcPr>
            <w:tcW w:w="2231" w:type="dxa"/>
            <w:noWrap w:val="0"/>
            <w:vAlign w:val="center"/>
          </w:tcPr>
          <w:p>
            <w:pPr>
              <w:pStyle w:val="120"/>
              <w:bidi w:val="0"/>
              <w:jc w:val="center"/>
              <w:rPr>
                <w:rFonts w:hint="eastAsia"/>
                <w:color w:val="auto"/>
                <w:u w:val="single"/>
                <w:lang w:val="en-US" w:eastAsia="zh-CN"/>
              </w:rPr>
            </w:pPr>
            <w:r>
              <w:rPr>
                <w:rFonts w:hint="eastAsia"/>
                <w:color w:val="auto"/>
                <w:u w:val="singl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2117" w:type="dxa"/>
            <w:noWrap w:val="0"/>
            <w:vAlign w:val="center"/>
          </w:tcPr>
          <w:p>
            <w:pPr>
              <w:pStyle w:val="120"/>
              <w:bidi w:val="0"/>
              <w:jc w:val="center"/>
              <w:rPr>
                <w:rFonts w:hint="eastAsia"/>
                <w:color w:val="auto"/>
                <w:u w:val="single"/>
                <w:lang w:val="en-US" w:eastAsia="zh-CN"/>
              </w:rPr>
            </w:pPr>
            <w:r>
              <w:rPr>
                <w:rFonts w:hint="eastAsia"/>
                <w:color w:val="auto"/>
                <w:u w:val="single"/>
                <w:lang w:val="en-US" w:eastAsia="zh-CN"/>
              </w:rPr>
              <w:t>《国家级森林公园管理条例》（2017）</w:t>
            </w:r>
          </w:p>
        </w:tc>
        <w:tc>
          <w:tcPr>
            <w:tcW w:w="5864" w:type="dxa"/>
            <w:noWrap w:val="0"/>
            <w:vAlign w:val="center"/>
          </w:tcPr>
          <w:p>
            <w:pPr>
              <w:pStyle w:val="120"/>
              <w:bidi w:val="0"/>
              <w:jc w:val="both"/>
              <w:rPr>
                <w:rFonts w:hint="eastAsia"/>
                <w:color w:val="auto"/>
                <w:u w:val="single"/>
                <w:lang w:val="en-US" w:eastAsia="zh-CN"/>
              </w:rPr>
            </w:pPr>
            <w:r>
              <w:rPr>
                <w:rFonts w:hint="eastAsia"/>
                <w:color w:val="auto"/>
                <w:u w:val="single"/>
                <w:lang w:val="en-US" w:eastAsia="zh-CN"/>
              </w:rPr>
              <w:t>第十三条：国家级森林公园内的建设项目应当符合总体规划的要求，其选址、规模、风格和色彩等应当与周边景观与环境相协调，相应的废水、废物处理和防火设施应当同时设计、同时施工、同时使用。在国家级森林公园内进行建设活动的，应当采取措施保护景观和环境；施工结束后，应当及时整理场地，美化绿化环境。</w:t>
            </w:r>
          </w:p>
          <w:p>
            <w:pPr>
              <w:pStyle w:val="120"/>
              <w:bidi w:val="0"/>
              <w:jc w:val="both"/>
              <w:rPr>
                <w:rFonts w:hint="eastAsia"/>
                <w:color w:val="auto"/>
                <w:u w:val="single"/>
                <w:lang w:val="en-US" w:eastAsia="zh-CN"/>
              </w:rPr>
            </w:pPr>
            <w:r>
              <w:rPr>
                <w:rFonts w:hint="eastAsia"/>
                <w:color w:val="auto"/>
                <w:u w:val="single"/>
                <w:lang w:val="en-US" w:eastAsia="zh-CN"/>
              </w:rPr>
              <w:t>第十八条在国家级森林公园内禁止从事下列活动：</w:t>
            </w:r>
          </w:p>
          <w:p>
            <w:pPr>
              <w:pStyle w:val="120"/>
              <w:bidi w:val="0"/>
              <w:jc w:val="both"/>
              <w:rPr>
                <w:rFonts w:hint="eastAsia"/>
                <w:color w:val="auto"/>
                <w:u w:val="single"/>
                <w:lang w:val="en-US" w:eastAsia="zh-CN"/>
              </w:rPr>
            </w:pPr>
            <w:r>
              <w:rPr>
                <w:rFonts w:hint="eastAsia"/>
                <w:color w:val="auto"/>
                <w:u w:val="single"/>
                <w:lang w:val="en-US" w:eastAsia="zh-CN"/>
              </w:rPr>
              <w:t>(一)擅自采折、采挖花草、树木、药材等植物；</w:t>
            </w:r>
          </w:p>
          <w:p>
            <w:pPr>
              <w:pStyle w:val="120"/>
              <w:bidi w:val="0"/>
              <w:jc w:val="both"/>
              <w:rPr>
                <w:rFonts w:hint="eastAsia"/>
                <w:color w:val="auto"/>
                <w:u w:val="single"/>
                <w:lang w:val="en-US" w:eastAsia="zh-CN"/>
              </w:rPr>
            </w:pPr>
            <w:r>
              <w:rPr>
                <w:rFonts w:hint="eastAsia"/>
                <w:color w:val="auto"/>
                <w:u w:val="single"/>
                <w:lang w:val="en-US" w:eastAsia="zh-CN"/>
              </w:rPr>
              <w:t>(二)非法猎捕、杀害野生动物；</w:t>
            </w:r>
          </w:p>
          <w:p>
            <w:pPr>
              <w:pStyle w:val="120"/>
              <w:bidi w:val="0"/>
              <w:jc w:val="both"/>
              <w:rPr>
                <w:rFonts w:hint="eastAsia"/>
                <w:color w:val="auto"/>
                <w:u w:val="single"/>
                <w:lang w:val="en-US" w:eastAsia="zh-CN"/>
              </w:rPr>
            </w:pPr>
            <w:r>
              <w:rPr>
                <w:rFonts w:hint="eastAsia"/>
                <w:color w:val="auto"/>
                <w:u w:val="single"/>
                <w:lang w:val="en-US" w:eastAsia="zh-CN"/>
              </w:rPr>
              <w:t>(三)刻划、污损树木、岩石和文物古迹及葬坟；</w:t>
            </w:r>
          </w:p>
          <w:p>
            <w:pPr>
              <w:pStyle w:val="120"/>
              <w:bidi w:val="0"/>
              <w:jc w:val="both"/>
              <w:rPr>
                <w:rFonts w:hint="eastAsia"/>
                <w:color w:val="auto"/>
                <w:u w:val="single"/>
                <w:lang w:val="en-US" w:eastAsia="zh-CN"/>
              </w:rPr>
            </w:pPr>
            <w:r>
              <w:rPr>
                <w:rFonts w:hint="eastAsia"/>
                <w:color w:val="auto"/>
                <w:u w:val="single"/>
                <w:lang w:val="en-US" w:eastAsia="zh-CN"/>
              </w:rPr>
              <w:t>(四)损毁或者擅自移动园内设施；</w:t>
            </w:r>
          </w:p>
          <w:p>
            <w:pPr>
              <w:pStyle w:val="120"/>
              <w:bidi w:val="0"/>
              <w:jc w:val="both"/>
              <w:rPr>
                <w:rFonts w:hint="eastAsia"/>
                <w:color w:val="auto"/>
                <w:u w:val="single"/>
                <w:lang w:val="en-US" w:eastAsia="zh-CN"/>
              </w:rPr>
            </w:pPr>
            <w:r>
              <w:rPr>
                <w:rFonts w:hint="eastAsia"/>
                <w:color w:val="auto"/>
                <w:u w:val="single"/>
                <w:lang w:val="en-US" w:eastAsia="zh-CN"/>
              </w:rPr>
              <w:t>(五)未经处理直接排放生活污水和超标准的废水、废气，乱倒垃圾、废渣、废物及其他污染物；</w:t>
            </w:r>
          </w:p>
          <w:p>
            <w:pPr>
              <w:pStyle w:val="120"/>
              <w:bidi w:val="0"/>
              <w:jc w:val="both"/>
              <w:rPr>
                <w:rFonts w:hint="eastAsia"/>
                <w:color w:val="auto"/>
                <w:u w:val="single"/>
                <w:lang w:val="en-US" w:eastAsia="zh-CN"/>
              </w:rPr>
            </w:pPr>
            <w:r>
              <w:rPr>
                <w:rFonts w:hint="eastAsia"/>
                <w:color w:val="auto"/>
                <w:u w:val="single"/>
                <w:lang w:val="en-US" w:eastAsia="zh-CN"/>
              </w:rPr>
              <w:t>(六)在非指定的吸烟区吸烟和在非指定区域野外用火、焚烧香蜡纸烛、燃放烟花爆竹；</w:t>
            </w:r>
          </w:p>
          <w:p>
            <w:pPr>
              <w:pStyle w:val="120"/>
              <w:bidi w:val="0"/>
              <w:jc w:val="both"/>
              <w:rPr>
                <w:rFonts w:hint="eastAsia"/>
                <w:color w:val="auto"/>
                <w:u w:val="single"/>
                <w:lang w:val="en-US" w:eastAsia="zh-CN"/>
              </w:rPr>
            </w:pPr>
            <w:r>
              <w:rPr>
                <w:rFonts w:hint="eastAsia"/>
                <w:color w:val="auto"/>
                <w:u w:val="single"/>
                <w:lang w:val="en-US" w:eastAsia="zh-CN"/>
              </w:rPr>
              <w:t>(七)擅自摆摊设点兜售物品；</w:t>
            </w:r>
          </w:p>
          <w:p>
            <w:pPr>
              <w:pStyle w:val="120"/>
              <w:bidi w:val="0"/>
              <w:jc w:val="both"/>
              <w:rPr>
                <w:rFonts w:hint="eastAsia"/>
                <w:color w:val="auto"/>
                <w:u w:val="single"/>
                <w:lang w:val="en-US" w:eastAsia="zh-CN"/>
              </w:rPr>
            </w:pPr>
            <w:r>
              <w:rPr>
                <w:rFonts w:hint="eastAsia"/>
                <w:color w:val="auto"/>
                <w:u w:val="single"/>
                <w:lang w:val="en-US" w:eastAsia="zh-CN"/>
              </w:rPr>
              <w:t>(八)擅自围、填堵、截自然水系；</w:t>
            </w:r>
          </w:p>
          <w:p>
            <w:pPr>
              <w:pStyle w:val="120"/>
              <w:bidi w:val="0"/>
              <w:jc w:val="both"/>
              <w:rPr>
                <w:rFonts w:hint="eastAsia"/>
                <w:color w:val="auto"/>
                <w:u w:val="single"/>
                <w:lang w:val="en-US" w:eastAsia="zh-CN"/>
              </w:rPr>
            </w:pPr>
            <w:r>
              <w:rPr>
                <w:rFonts w:hint="eastAsia"/>
                <w:color w:val="auto"/>
                <w:u w:val="single"/>
                <w:lang w:val="en-US" w:eastAsia="zh-CN"/>
              </w:rPr>
              <w:t>(九)法律、法规、规章禁止的其他活动。</w:t>
            </w:r>
          </w:p>
        </w:tc>
        <w:tc>
          <w:tcPr>
            <w:tcW w:w="4586" w:type="dxa"/>
            <w:noWrap w:val="0"/>
            <w:vAlign w:val="center"/>
          </w:tcPr>
          <w:p>
            <w:pPr>
              <w:pStyle w:val="120"/>
              <w:bidi w:val="0"/>
              <w:jc w:val="both"/>
              <w:rPr>
                <w:rFonts w:hint="eastAsia"/>
                <w:color w:val="auto"/>
                <w:u w:val="single"/>
                <w:lang w:val="en-US" w:eastAsia="zh-CN"/>
              </w:rPr>
            </w:pPr>
            <w:r>
              <w:rPr>
                <w:rFonts w:hint="eastAsia"/>
                <w:color w:val="auto"/>
                <w:u w:val="single"/>
                <w:lang w:val="en-US" w:eastAsia="zh-CN"/>
              </w:rPr>
              <w:t>本项目仅有一段排污管道（约300m）及排污口位于湖南不二门国家级森林公园，建成后排污管道深埋于地下，排污口也在水下，不与周围景观冲突。本项目废水执行</w:t>
            </w:r>
            <w:r>
              <w:rPr>
                <w:rFonts w:hint="eastAsia"/>
                <w:color w:val="auto"/>
                <w:u w:val="single"/>
              </w:rPr>
              <w:t>《城镇污水处理厂污染物排放标准》中一级A标</w:t>
            </w:r>
            <w:r>
              <w:rPr>
                <w:rFonts w:hint="eastAsia"/>
                <w:color w:val="auto"/>
                <w:u w:val="single"/>
                <w:lang w:eastAsia="zh-CN"/>
              </w:rPr>
              <w:t>准。固废与危废均委托第三方公司处理，不随意乱排，施工结束场内进行绿化。</w:t>
            </w:r>
            <w:r>
              <w:rPr>
                <w:rFonts w:hint="eastAsia"/>
                <w:color w:val="auto"/>
                <w:u w:val="single"/>
                <w:lang w:val="en-US" w:eastAsia="zh-CN"/>
              </w:rPr>
              <w:t>本项目属于水处理项目，不属于《国家级森林公园管理条例》（2017）中的禁止事项。</w:t>
            </w:r>
          </w:p>
          <w:p>
            <w:pPr>
              <w:pStyle w:val="120"/>
              <w:bidi w:val="0"/>
              <w:jc w:val="both"/>
              <w:rPr>
                <w:rFonts w:hint="eastAsia"/>
                <w:color w:val="auto"/>
                <w:u w:val="single"/>
                <w:lang w:val="en-US" w:eastAsia="zh-CN"/>
              </w:rPr>
            </w:pPr>
          </w:p>
        </w:tc>
        <w:tc>
          <w:tcPr>
            <w:tcW w:w="2231" w:type="dxa"/>
            <w:noWrap w:val="0"/>
            <w:vAlign w:val="center"/>
          </w:tcPr>
          <w:p>
            <w:pPr>
              <w:pStyle w:val="120"/>
              <w:bidi w:val="0"/>
              <w:jc w:val="center"/>
              <w:rPr>
                <w:rFonts w:hint="eastAsia"/>
                <w:color w:val="auto"/>
                <w:u w:val="single"/>
                <w:lang w:val="en-US" w:eastAsia="zh-CN"/>
              </w:rPr>
            </w:pPr>
            <w:r>
              <w:rPr>
                <w:rFonts w:hint="eastAsia"/>
                <w:color w:val="auto"/>
                <w:u w:val="singl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1" w:hRule="atLeast"/>
        </w:trPr>
        <w:tc>
          <w:tcPr>
            <w:tcW w:w="2117" w:type="dxa"/>
            <w:noWrap w:val="0"/>
            <w:vAlign w:val="center"/>
          </w:tcPr>
          <w:p>
            <w:pPr>
              <w:pStyle w:val="120"/>
              <w:bidi w:val="0"/>
              <w:jc w:val="center"/>
              <w:rPr>
                <w:rFonts w:hint="eastAsia"/>
                <w:color w:val="auto"/>
                <w:u w:val="single"/>
                <w:lang w:val="en-US" w:eastAsia="zh-CN"/>
              </w:rPr>
            </w:pPr>
            <w:r>
              <w:rPr>
                <w:rFonts w:hint="eastAsia"/>
                <w:color w:val="auto"/>
                <w:u w:val="single"/>
                <w:lang w:val="en-US" w:eastAsia="zh-CN"/>
              </w:rPr>
              <w:t>《湖南省森林公园条例》（2017）</w:t>
            </w:r>
          </w:p>
        </w:tc>
        <w:tc>
          <w:tcPr>
            <w:tcW w:w="5864" w:type="dxa"/>
            <w:noWrap w:val="0"/>
            <w:vAlign w:val="center"/>
          </w:tcPr>
          <w:p>
            <w:pPr>
              <w:pStyle w:val="120"/>
              <w:bidi w:val="0"/>
              <w:jc w:val="both"/>
              <w:rPr>
                <w:rFonts w:hint="eastAsia"/>
                <w:color w:val="auto"/>
                <w:u w:val="single"/>
                <w:lang w:val="en-US" w:eastAsia="zh-CN"/>
              </w:rPr>
            </w:pPr>
            <w:r>
              <w:rPr>
                <w:rFonts w:hint="eastAsia"/>
                <w:color w:val="auto"/>
                <w:u w:val="single"/>
                <w:lang w:val="en-US" w:eastAsia="zh-CN"/>
              </w:rPr>
              <w:t>第二十九条在森林公园内禁止下列行为：</w:t>
            </w:r>
          </w:p>
          <w:p>
            <w:pPr>
              <w:pStyle w:val="120"/>
              <w:bidi w:val="0"/>
              <w:jc w:val="both"/>
              <w:rPr>
                <w:rFonts w:hint="eastAsia"/>
                <w:color w:val="auto"/>
                <w:u w:val="single"/>
                <w:lang w:val="en-US" w:eastAsia="zh-CN"/>
              </w:rPr>
            </w:pPr>
            <w:r>
              <w:rPr>
                <w:rFonts w:hint="eastAsia"/>
                <w:color w:val="auto"/>
                <w:u w:val="single"/>
                <w:lang w:val="en-US" w:eastAsia="zh-CN"/>
              </w:rPr>
              <w:t>（一）进行房地产等项目开发，修建破坏景观、污染环境的工程设施，填堵自然水系；</w:t>
            </w:r>
          </w:p>
          <w:p>
            <w:pPr>
              <w:pStyle w:val="120"/>
              <w:bidi w:val="0"/>
              <w:jc w:val="both"/>
              <w:rPr>
                <w:rFonts w:hint="eastAsia"/>
                <w:color w:val="auto"/>
                <w:u w:val="single"/>
                <w:lang w:val="en-US" w:eastAsia="zh-CN"/>
              </w:rPr>
            </w:pPr>
            <w:r>
              <w:rPr>
                <w:rFonts w:hint="eastAsia"/>
                <w:color w:val="auto"/>
                <w:u w:val="single"/>
                <w:lang w:val="en-US" w:eastAsia="zh-CN"/>
              </w:rPr>
              <w:t xml:space="preserve">（二）石采砂、取土、采矿、放牧、围湖造地、建造坟墓、毁林开垦毁损溶洞资源等破坏景观、植被和地形地貌的； </w:t>
            </w:r>
          </w:p>
          <w:p>
            <w:pPr>
              <w:pStyle w:val="120"/>
              <w:bidi w:val="0"/>
              <w:jc w:val="both"/>
              <w:rPr>
                <w:rFonts w:hint="eastAsia"/>
                <w:color w:val="auto"/>
                <w:u w:val="single"/>
                <w:lang w:val="en-US" w:eastAsia="zh-CN"/>
              </w:rPr>
            </w:pPr>
            <w:r>
              <w:rPr>
                <w:rFonts w:hint="eastAsia"/>
                <w:color w:val="auto"/>
                <w:u w:val="single"/>
                <w:lang w:val="en-US" w:eastAsia="zh-CN"/>
              </w:rPr>
              <w:t>（三）采伐或者擅自移植古树名木、珍稀植物；</w:t>
            </w:r>
          </w:p>
          <w:p>
            <w:pPr>
              <w:pStyle w:val="120"/>
              <w:bidi w:val="0"/>
              <w:jc w:val="both"/>
              <w:rPr>
                <w:rFonts w:hint="eastAsia"/>
                <w:color w:val="auto"/>
                <w:u w:val="single"/>
                <w:lang w:val="en-US" w:eastAsia="zh-CN"/>
              </w:rPr>
            </w:pPr>
            <w:r>
              <w:rPr>
                <w:rFonts w:hint="eastAsia"/>
                <w:color w:val="auto"/>
                <w:u w:val="single"/>
                <w:lang w:val="en-US" w:eastAsia="zh-CN"/>
              </w:rPr>
              <w:t>（四）猎捕、伤害野生动物或者妨碍野生动物生息繁衍；</w:t>
            </w:r>
          </w:p>
          <w:p>
            <w:pPr>
              <w:pStyle w:val="120"/>
              <w:bidi w:val="0"/>
              <w:jc w:val="both"/>
              <w:rPr>
                <w:rFonts w:hint="eastAsia"/>
                <w:color w:val="auto"/>
                <w:u w:val="single"/>
                <w:lang w:val="en-US" w:eastAsia="zh-CN"/>
              </w:rPr>
            </w:pPr>
            <w:r>
              <w:rPr>
                <w:rFonts w:hint="eastAsia"/>
                <w:color w:val="auto"/>
                <w:u w:val="single"/>
                <w:lang w:val="en-US" w:eastAsia="zh-CN"/>
              </w:rPr>
              <w:t>（五）在禁火区燃放孔明灯、吸烟和使用明火，在非指定区域生火烧烤、焚烧香烛、燃放烟花爆竹；</w:t>
            </w:r>
          </w:p>
          <w:p>
            <w:pPr>
              <w:pStyle w:val="120"/>
              <w:bidi w:val="0"/>
              <w:jc w:val="both"/>
              <w:rPr>
                <w:rFonts w:hint="eastAsia"/>
                <w:color w:val="auto"/>
                <w:u w:val="single"/>
                <w:lang w:val="en-US" w:eastAsia="zh-CN"/>
              </w:rPr>
            </w:pPr>
            <w:r>
              <w:rPr>
                <w:rFonts w:hint="eastAsia"/>
                <w:color w:val="auto"/>
                <w:u w:val="single"/>
                <w:lang w:val="en-US" w:eastAsia="zh-CN"/>
              </w:rPr>
              <w:t>（六）其他毁坏森林公园资源的行为。</w:t>
            </w:r>
          </w:p>
        </w:tc>
        <w:tc>
          <w:tcPr>
            <w:tcW w:w="4586" w:type="dxa"/>
            <w:noWrap w:val="0"/>
            <w:vAlign w:val="center"/>
          </w:tcPr>
          <w:p>
            <w:pPr>
              <w:pStyle w:val="120"/>
              <w:bidi w:val="0"/>
              <w:jc w:val="both"/>
              <w:rPr>
                <w:rFonts w:hint="eastAsia"/>
                <w:color w:val="auto"/>
                <w:u w:val="single"/>
                <w:lang w:val="en-US" w:eastAsia="zh-CN"/>
              </w:rPr>
            </w:pPr>
            <w:r>
              <w:rPr>
                <w:rFonts w:hint="eastAsia"/>
                <w:color w:val="auto"/>
                <w:u w:val="single"/>
                <w:lang w:val="en-US" w:eastAsia="zh-CN"/>
              </w:rPr>
              <w:t>本项目不属于《湖南省森林公园条例》（2017）中禁止建设项目，项目建成后使区域内的生活污水达标外排，使湖南不二门国家级森林公园段猛洞河呈趋好的方向发展</w:t>
            </w:r>
          </w:p>
        </w:tc>
        <w:tc>
          <w:tcPr>
            <w:tcW w:w="2231" w:type="dxa"/>
            <w:noWrap w:val="0"/>
            <w:vAlign w:val="center"/>
          </w:tcPr>
          <w:p>
            <w:pPr>
              <w:pStyle w:val="120"/>
              <w:bidi w:val="0"/>
              <w:jc w:val="center"/>
              <w:rPr>
                <w:rFonts w:hint="eastAsia"/>
                <w:color w:val="auto"/>
                <w:u w:val="single"/>
                <w:lang w:val="en-US" w:eastAsia="zh-CN"/>
              </w:rPr>
            </w:pPr>
            <w:r>
              <w:rPr>
                <w:rFonts w:hint="eastAsia"/>
                <w:color w:val="auto"/>
                <w:u w:val="single"/>
                <w:lang w:val="en-US" w:eastAsia="zh-CN"/>
              </w:rPr>
              <w:t>符合</w:t>
            </w:r>
          </w:p>
        </w:tc>
      </w:tr>
    </w:tbl>
    <w:p>
      <w:pPr>
        <w:bidi w:val="0"/>
        <w:jc w:val="both"/>
        <w:rPr>
          <w:rFonts w:hint="eastAsia"/>
          <w:lang w:val="en-US" w:eastAsia="zh-CN"/>
        </w:rPr>
        <w:sectPr>
          <w:pgSz w:w="16838" w:h="11906" w:orient="landscape"/>
          <w:pgMar w:top="850" w:right="1440" w:bottom="850" w:left="850" w:header="851" w:footer="992" w:gutter="0"/>
          <w:pgBorders w:offsetFrom="page">
            <w:top w:val="none" w:sz="0" w:space="0"/>
            <w:left w:val="none" w:sz="0" w:space="0"/>
            <w:bottom w:val="none" w:sz="0" w:space="0"/>
            <w:right w:val="none" w:sz="0" w:space="0"/>
          </w:pgBorders>
          <w:cols w:space="720" w:num="1"/>
          <w:docGrid w:type="lines" w:linePitch="326" w:charSpace="0"/>
        </w:sectPr>
      </w:pPr>
      <w:r>
        <w:rPr>
          <w:rFonts w:hint="eastAsia"/>
          <w:u w:val="single"/>
          <w:lang w:eastAsia="zh-CN"/>
        </w:rPr>
        <w:t>综上分析</w:t>
      </w:r>
      <w:r>
        <w:rPr>
          <w:rFonts w:hint="eastAsia"/>
          <w:u w:val="single"/>
        </w:rPr>
        <w:t>，</w:t>
      </w:r>
      <w:r>
        <w:rPr>
          <w:rFonts w:hint="eastAsia"/>
          <w:u w:val="single"/>
          <w:lang w:eastAsia="zh-CN"/>
        </w:rPr>
        <w:t>本项目</w:t>
      </w:r>
      <w:r>
        <w:rPr>
          <w:rFonts w:hint="eastAsia"/>
          <w:u w:val="single"/>
          <w:lang w:val="en-US" w:eastAsia="zh-CN"/>
        </w:rPr>
        <w:t>部分排污管道（约300m）及排污口位于湖南不二门国家级森林公园官河生态保育区</w:t>
      </w:r>
      <w:r>
        <w:rPr>
          <w:rFonts w:hint="eastAsia"/>
          <w:u w:val="single"/>
          <w:lang w:eastAsia="zh-CN"/>
        </w:rPr>
        <w:t>，</w:t>
      </w:r>
      <w:r>
        <w:rPr>
          <w:rFonts w:hint="eastAsia"/>
          <w:u w:val="single"/>
        </w:rPr>
        <w:t>不在</w:t>
      </w:r>
      <w:r>
        <w:rPr>
          <w:rFonts w:hint="eastAsia"/>
          <w:u w:val="single"/>
          <w:lang w:eastAsia="zh-CN"/>
        </w:rPr>
        <w:t>森林公园</w:t>
      </w:r>
      <w:r>
        <w:rPr>
          <w:rFonts w:hint="eastAsia"/>
          <w:u w:val="single"/>
        </w:rPr>
        <w:t>核心景观区（不二门市民公园），</w:t>
      </w:r>
      <w:r>
        <w:rPr>
          <w:rFonts w:hint="eastAsia"/>
          <w:u w:val="single"/>
          <w:lang w:eastAsia="zh-CN"/>
        </w:rPr>
        <w:t>项目</w:t>
      </w:r>
      <w:r>
        <w:rPr>
          <w:rFonts w:hint="eastAsia"/>
          <w:u w:val="single"/>
        </w:rPr>
        <w:t>接收</w:t>
      </w:r>
      <w:r>
        <w:rPr>
          <w:rFonts w:hint="eastAsia"/>
          <w:u w:val="single"/>
          <w:lang w:eastAsia="zh-CN"/>
        </w:rPr>
        <w:t>永顺县经济开发区猛洞河产业园内企事业污水</w:t>
      </w:r>
      <w:r>
        <w:rPr>
          <w:rFonts w:hint="eastAsia"/>
          <w:u w:val="single"/>
          <w:lang w:val="en-US" w:eastAsia="zh-CN"/>
        </w:rPr>
        <w:t>处理达标后外排，使湖南不二门国家级森林公园段猛洞河水域呈趋好的方向发展。经分析</w:t>
      </w:r>
      <w:r>
        <w:rPr>
          <w:rFonts w:hint="eastAsia"/>
          <w:u w:val="single"/>
          <w:lang w:eastAsia="zh-CN"/>
        </w:rPr>
        <w:t>本项目</w:t>
      </w:r>
      <w:r>
        <w:rPr>
          <w:rFonts w:hint="eastAsia"/>
          <w:u w:val="single"/>
        </w:rPr>
        <w:t>规划建设符合</w:t>
      </w:r>
      <w:r>
        <w:rPr>
          <w:rFonts w:hint="eastAsia"/>
          <w:u w:val="single"/>
          <w:lang w:val="en-US" w:eastAsia="zh-CN"/>
        </w:rPr>
        <w:t>《湖南永顺不二门国家级森林公园总体规划（2014-2023）》、《国家级森林公园管理条例》（2017）、《湖南省森林公园条例》（2017）</w:t>
      </w:r>
      <w:r>
        <w:rPr>
          <w:rFonts w:hint="eastAsia"/>
          <w:u w:val="single"/>
          <w:lang w:eastAsia="zh-CN"/>
        </w:rPr>
        <w:t>的管控要求，与《</w:t>
      </w:r>
      <w:r>
        <w:rPr>
          <w:rFonts w:hint="eastAsia"/>
          <w:u w:val="single"/>
          <w:lang w:val="en-US" w:eastAsia="zh-CN"/>
        </w:rPr>
        <w:t>湖南永顺不二门国家级森林公园总体规划（2014-2023）</w:t>
      </w:r>
      <w:r>
        <w:rPr>
          <w:rFonts w:hint="eastAsia"/>
          <w:u w:val="single"/>
          <w:lang w:eastAsia="zh-CN"/>
        </w:rPr>
        <w:t>》无冲突，且已取得湖南永顺不二门国家级森林公园管理处同意本项目建设的意见，详见附件</w:t>
      </w:r>
      <w:r>
        <w:rPr>
          <w:rFonts w:hint="eastAsia"/>
          <w:u w:val="single"/>
          <w:lang w:val="en-US" w:eastAsia="zh-CN"/>
        </w:rPr>
        <w:t>6</w:t>
      </w:r>
      <w:r>
        <w:rPr>
          <w:rFonts w:hint="eastAsia"/>
          <w:u w:val="single"/>
          <w:lang w:eastAsia="zh-CN"/>
        </w:rPr>
        <w:t>。</w:t>
      </w:r>
    </w:p>
    <w:p>
      <w:pPr>
        <w:numPr>
          <w:ilvl w:val="0"/>
          <w:numId w:val="3"/>
        </w:numPr>
        <w:bidi w:val="0"/>
        <w:ind w:left="0" w:leftChars="0" w:firstLine="0" w:firstLineChars="0"/>
        <w:rPr>
          <w:rFonts w:hint="eastAsia"/>
          <w:b/>
          <w:bCs/>
          <w:color w:val="auto"/>
          <w:u w:val="single"/>
          <w:lang w:val="en-US" w:eastAsia="zh-CN"/>
        </w:rPr>
      </w:pPr>
      <w:r>
        <w:rPr>
          <w:rFonts w:hint="eastAsia"/>
          <w:b/>
          <w:bCs/>
          <w:color w:val="auto"/>
          <w:u w:val="single"/>
          <w:lang w:val="en-US" w:eastAsia="zh-CN"/>
        </w:rPr>
        <w:t>本项目</w:t>
      </w:r>
      <w:r>
        <w:rPr>
          <w:rFonts w:hint="eastAsia"/>
          <w:b/>
          <w:bCs/>
          <w:color w:val="auto"/>
          <w:u w:val="single"/>
          <w:lang w:eastAsia="zh-CN"/>
        </w:rPr>
        <w:t>与</w:t>
      </w:r>
      <w:r>
        <w:rPr>
          <w:rFonts w:hint="eastAsia"/>
          <w:b/>
          <w:bCs/>
          <w:color w:val="auto"/>
          <w:u w:val="single"/>
        </w:rPr>
        <w:t>猛洞河国家级风景名胜区</w:t>
      </w:r>
      <w:r>
        <w:rPr>
          <w:rFonts w:hint="eastAsia"/>
          <w:b/>
          <w:bCs/>
          <w:color w:val="auto"/>
          <w:u w:val="single"/>
          <w:lang w:val="en-US" w:eastAsia="zh-CN"/>
        </w:rPr>
        <w:t>位置关系</w:t>
      </w:r>
    </w:p>
    <w:p>
      <w:pPr>
        <w:numPr>
          <w:ilvl w:val="0"/>
          <w:numId w:val="0"/>
        </w:numPr>
        <w:bidi w:val="0"/>
        <w:ind w:leftChars="0"/>
        <w:rPr>
          <w:rFonts w:hint="eastAsia"/>
          <w:color w:val="auto"/>
          <w:u w:val="single"/>
        </w:rPr>
      </w:pPr>
      <w:r>
        <w:rPr>
          <w:rFonts w:hint="eastAsia"/>
          <w:b/>
          <w:bCs/>
          <w:color w:val="auto"/>
          <w:u w:val="single"/>
          <w:lang w:eastAsia="zh-CN"/>
        </w:rPr>
        <w:t>①</w:t>
      </w:r>
      <w:r>
        <w:rPr>
          <w:rFonts w:hint="eastAsia"/>
          <w:b/>
          <w:bCs/>
          <w:color w:val="auto"/>
          <w:u w:val="single"/>
        </w:rPr>
        <w:t>《猛洞河国家级风景名胜区总体规划》规划概况</w:t>
      </w:r>
    </w:p>
    <w:p>
      <w:pPr>
        <w:pageBreakBefore w:val="0"/>
        <w:widowControl/>
        <w:kinsoku/>
        <w:wordWrap/>
        <w:overflowPunct/>
        <w:topLinePunct w:val="0"/>
        <w:autoSpaceDE/>
        <w:autoSpaceDN/>
        <w:bidi w:val="0"/>
        <w:adjustRightInd w:val="0"/>
        <w:snapToGrid w:val="0"/>
        <w:spacing w:line="360" w:lineRule="auto"/>
        <w:ind w:firstLine="506" w:firstLineChars="200"/>
        <w:jc w:val="left"/>
        <w:textAlignment w:val="auto"/>
        <w:rPr>
          <w:rFonts w:hint="default" w:ascii="Times New Roman" w:hAnsi="Times New Roman" w:eastAsia="宋体" w:cs="Times New Roman"/>
          <w:color w:val="auto"/>
          <w:u w:val="single"/>
        </w:rPr>
      </w:pPr>
      <w:r>
        <w:rPr>
          <w:rFonts w:hint="eastAsia" w:ascii="宋体" w:hAnsi="宋体" w:eastAsia="宋体" w:cs="宋体"/>
          <w:b/>
          <w:bCs/>
          <w:color w:val="auto"/>
          <w:spacing w:val="6"/>
          <w:u w:val="single"/>
        </w:rPr>
        <w:t>规划时段：</w:t>
      </w:r>
      <w:r>
        <w:rPr>
          <w:rStyle w:val="123"/>
          <w:rFonts w:hint="default" w:ascii="Times New Roman" w:hAnsi="Times New Roman" w:eastAsia="宋体" w:cs="Times New Roman"/>
          <w:color w:val="auto"/>
          <w:u w:val="single"/>
        </w:rPr>
        <w:t>划期限为2011-2025年。其中：近期为2011年-2015年；中期为2016年-2020年；远期为2021年-2025年。</w:t>
      </w:r>
    </w:p>
    <w:p>
      <w:pPr>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Style w:val="123"/>
          <w:rFonts w:hint="default" w:ascii="Times New Roman" w:hAnsi="Times New Roman" w:eastAsia="宋体" w:cs="Times New Roman"/>
          <w:bCs/>
          <w:color w:val="auto"/>
          <w:u w:val="single"/>
        </w:rPr>
      </w:pPr>
      <w:r>
        <w:rPr>
          <w:rStyle w:val="123"/>
          <w:rFonts w:hint="default" w:ascii="Times New Roman" w:hAnsi="Times New Roman" w:eastAsia="宋体" w:cs="Times New Roman"/>
          <w:b/>
          <w:bCs/>
          <w:color w:val="auto"/>
          <w:u w:val="single"/>
        </w:rPr>
        <w:t>风景区范围：</w:t>
      </w:r>
      <w:r>
        <w:rPr>
          <w:rStyle w:val="123"/>
          <w:rFonts w:hint="default" w:ascii="Times New Roman" w:hAnsi="Times New Roman" w:eastAsia="宋体" w:cs="Times New Roman"/>
          <w:bCs/>
          <w:color w:val="auto"/>
          <w:u w:val="single"/>
        </w:rPr>
        <w:t>包括司河北起吊井岩南到猛洞河口总长45.5公里的河道及其两岸较高山脊线的区域；猛洞河北起海螺电站南到酉水河口总长23.7公里的河道及其两岸较高山脊线的区域；酉水河西起龙头峡东到老王村大桥总长16.4公里的河道及其两岸较高山脊线的区域，包括王村古镇镇区、牛角岩、花果山等区域。风景区总面积226平方公里。</w:t>
      </w:r>
    </w:p>
    <w:p>
      <w:pPr>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Cs/>
          <w:color w:val="auto"/>
          <w:u w:val="single"/>
        </w:rPr>
      </w:pPr>
      <w:r>
        <w:rPr>
          <w:rStyle w:val="123"/>
          <w:rFonts w:hint="default" w:ascii="Times New Roman" w:hAnsi="Times New Roman" w:eastAsia="宋体" w:cs="Times New Roman"/>
          <w:b/>
          <w:color w:val="auto"/>
          <w:u w:val="single"/>
        </w:rPr>
        <w:t>外围保护区范围：</w:t>
      </w:r>
      <w:r>
        <w:rPr>
          <w:rStyle w:val="123"/>
          <w:rFonts w:hint="default" w:ascii="Times New Roman" w:hAnsi="Times New Roman" w:eastAsia="宋体" w:cs="Times New Roman"/>
          <w:color w:val="auto"/>
          <w:u w:val="single"/>
        </w:rPr>
        <w:t>风景区西边大致沿灵溪镇至老司城及老司城至抚志的公路南下，包括“万马归朝”所指的大部分山体；风景区东边大致到张罗公路；猛洞河从海螺电站到不二门国家森林公园的河道及两岸区域；无公路限定区域以风景区界线外侧最近的山头或界线外500-1000m范围线为界，总面积约170平方公里。</w:t>
      </w:r>
    </w:p>
    <w:p>
      <w:pPr>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Cs/>
          <w:color w:val="auto"/>
          <w:u w:val="single"/>
        </w:rPr>
      </w:pPr>
      <w:r>
        <w:rPr>
          <w:rStyle w:val="123"/>
          <w:rFonts w:hint="default" w:ascii="Times New Roman" w:hAnsi="Times New Roman" w:eastAsia="宋体" w:cs="Times New Roman"/>
          <w:b/>
          <w:color w:val="auto"/>
          <w:u w:val="single"/>
        </w:rPr>
        <w:t>功能分区：</w:t>
      </w:r>
      <w:r>
        <w:rPr>
          <w:rStyle w:val="123"/>
          <w:rFonts w:hint="default" w:ascii="Times New Roman" w:hAnsi="Times New Roman" w:eastAsia="宋体" w:cs="Times New Roman"/>
          <w:color w:val="auto"/>
          <w:u w:val="single"/>
        </w:rPr>
        <w:t>规划将猛洞河风景名胜区分成八大功能区，分别是自生桥生态区、老司城古文化探源区、司河漂流探险区、猴儿跳动植物生态科考区、仙女峡绝壁观光游览区、猛洞河峡谷观光游览区、酉水河风光游览区、王村古镇风情体验区。</w:t>
      </w:r>
    </w:p>
    <w:p>
      <w:pPr>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18"/>
          <w:szCs w:val="18"/>
          <w:u w:val="single"/>
        </w:rPr>
      </w:pPr>
      <w:r>
        <w:rPr>
          <w:rStyle w:val="123"/>
          <w:rFonts w:hint="default" w:ascii="Times New Roman" w:hAnsi="Times New Roman" w:eastAsia="宋体" w:cs="Times New Roman"/>
          <w:b/>
          <w:color w:val="auto"/>
          <w:u w:val="single"/>
        </w:rPr>
        <w:t>布局结构：</w:t>
      </w:r>
      <w:r>
        <w:rPr>
          <w:rStyle w:val="123"/>
          <w:rFonts w:hint="default" w:ascii="Times New Roman" w:hAnsi="Times New Roman" w:eastAsia="宋体" w:cs="Times New Roman"/>
          <w:color w:val="auto"/>
          <w:u w:val="single"/>
        </w:rPr>
        <w:t>风景区在总体布局结构上呈现出“一线串四珠”的形态。</w:t>
      </w:r>
    </w:p>
    <w:p>
      <w:pPr>
        <w:pageBreakBefore w:val="0"/>
        <w:widowControl/>
        <w:kinsoku/>
        <w:wordWrap/>
        <w:overflowPunct/>
        <w:topLinePunct w:val="0"/>
        <w:autoSpaceDE/>
        <w:autoSpaceDN/>
        <w:bidi w:val="0"/>
        <w:adjustRightInd w:val="0"/>
        <w:snapToGrid w:val="0"/>
        <w:spacing w:line="360" w:lineRule="auto"/>
        <w:ind w:firstLine="420"/>
        <w:jc w:val="left"/>
        <w:textAlignment w:val="auto"/>
        <w:rPr>
          <w:rFonts w:hint="default" w:ascii="Times New Roman" w:hAnsi="Times New Roman" w:eastAsia="宋体" w:cs="Times New Roman"/>
          <w:color w:val="auto"/>
          <w:u w:val="single"/>
        </w:rPr>
      </w:pPr>
      <w:r>
        <w:rPr>
          <w:rStyle w:val="123"/>
          <w:rFonts w:hint="default" w:ascii="Times New Roman" w:hAnsi="Times New Roman" w:eastAsia="宋体" w:cs="Times New Roman"/>
          <w:color w:val="auto"/>
          <w:u w:val="single"/>
        </w:rPr>
        <w:t>“一线”--指司河、猛洞河、酉水河构成的河道线。司河自北而下汇入猛洞河，猛洞河自北而下汇入酉水河，全线长74.9公里。</w:t>
      </w:r>
    </w:p>
    <w:p>
      <w:pPr>
        <w:pageBreakBefore w:val="0"/>
        <w:widowControl/>
        <w:kinsoku/>
        <w:wordWrap/>
        <w:overflowPunct/>
        <w:topLinePunct w:val="0"/>
        <w:autoSpaceDE/>
        <w:autoSpaceDN/>
        <w:bidi w:val="0"/>
        <w:adjustRightInd w:val="0"/>
        <w:snapToGrid w:val="0"/>
        <w:spacing w:line="360" w:lineRule="auto"/>
        <w:ind w:firstLine="480"/>
        <w:jc w:val="left"/>
        <w:textAlignment w:val="auto"/>
        <w:rPr>
          <w:rStyle w:val="123"/>
          <w:rFonts w:hint="eastAsia" w:ascii="宋体" w:hAnsi="宋体" w:eastAsia="宋体" w:cs="宋体"/>
          <w:color w:val="auto"/>
          <w:u w:val="single"/>
        </w:rPr>
      </w:pPr>
      <w:r>
        <w:rPr>
          <w:rStyle w:val="123"/>
          <w:rFonts w:hint="eastAsia" w:ascii="宋体" w:hAnsi="宋体" w:eastAsia="宋体" w:cs="宋体"/>
          <w:color w:val="auto"/>
          <w:u w:val="single"/>
        </w:rPr>
        <w:t>“四珠”--即四个景区。自北到南分别为老司城景区、司河景区、猴儿跳景区、王村景区。</w:t>
      </w:r>
    </w:p>
    <w:p>
      <w:pPr>
        <w:pageBreakBefore w:val="0"/>
        <w:widowControl/>
        <w:kinsoku/>
        <w:wordWrap/>
        <w:overflowPunct/>
        <w:topLinePunct w:val="0"/>
        <w:autoSpaceDE/>
        <w:autoSpaceDN/>
        <w:bidi w:val="0"/>
        <w:adjustRightInd w:val="0"/>
        <w:snapToGrid w:val="0"/>
        <w:spacing w:line="360" w:lineRule="auto"/>
        <w:ind w:firstLine="420"/>
        <w:jc w:val="left"/>
        <w:textAlignment w:val="auto"/>
        <w:rPr>
          <w:rStyle w:val="123"/>
          <w:rFonts w:hint="eastAsia" w:ascii="宋体" w:hAnsi="宋体" w:eastAsia="宋体" w:cs="宋体"/>
          <w:color w:val="auto"/>
          <w:u w:val="single"/>
        </w:rPr>
      </w:pPr>
      <w:r>
        <w:rPr>
          <w:rStyle w:val="123"/>
          <w:rFonts w:hint="eastAsia" w:ascii="宋体" w:hAnsi="宋体" w:eastAsia="宋体" w:cs="宋体"/>
          <w:b/>
          <w:color w:val="auto"/>
          <w:u w:val="single"/>
        </w:rPr>
        <w:t>景区保护规划:</w:t>
      </w:r>
      <w:r>
        <w:rPr>
          <w:rStyle w:val="123"/>
          <w:rFonts w:hint="eastAsia" w:ascii="宋体" w:hAnsi="宋体" w:eastAsia="宋体" w:cs="宋体"/>
          <w:color w:val="auto"/>
          <w:u w:val="single"/>
        </w:rPr>
        <w:t>规划将风景区划分为一级保护区、二级保护区、三级保护区、外围保护区等四个区域，</w:t>
      </w:r>
      <w:r>
        <w:rPr>
          <w:rStyle w:val="123"/>
          <w:rFonts w:hint="eastAsia" w:ascii="宋体" w:hAnsi="宋体" w:eastAsia="宋体" w:cs="宋体"/>
          <w:b/>
          <w:color w:val="auto"/>
          <w:u w:val="single"/>
        </w:rPr>
        <w:t>其中前三项属于风景区范围，外围保护区在风景区范围之外。</w:t>
      </w:r>
      <w:r>
        <w:rPr>
          <w:rStyle w:val="123"/>
          <w:rFonts w:hint="eastAsia" w:ascii="宋体" w:hAnsi="宋体" w:eastAsia="宋体" w:cs="宋体"/>
          <w:color w:val="auto"/>
          <w:u w:val="single"/>
        </w:rPr>
        <w:t>具体范围和控制要求见表</w:t>
      </w:r>
      <w:r>
        <w:rPr>
          <w:rStyle w:val="123"/>
          <w:rFonts w:hint="eastAsia" w:ascii="宋体" w:hAnsi="宋体" w:eastAsia="宋体" w:cs="宋体"/>
          <w:color w:val="auto"/>
          <w:u w:val="single"/>
          <w:lang w:val="en-US" w:eastAsia="zh-CN"/>
        </w:rPr>
        <w:t>3-8</w:t>
      </w:r>
      <w:r>
        <w:rPr>
          <w:rStyle w:val="123"/>
          <w:rFonts w:hint="eastAsia" w:ascii="宋体" w:hAnsi="宋体" w:eastAsia="宋体" w:cs="宋体"/>
          <w:color w:val="auto"/>
          <w:u w:val="single"/>
        </w:rPr>
        <w:t>。</w:t>
      </w:r>
    </w:p>
    <w:p>
      <w:pPr>
        <w:shd w:val="clear" w:color="auto" w:fill="FFFDF9"/>
        <w:spacing w:line="240" w:lineRule="auto"/>
        <w:jc w:val="center"/>
        <w:rPr>
          <w:rFonts w:hint="eastAsia" w:ascii="宋体" w:hAnsi="宋体" w:eastAsia="宋体" w:cs="宋体"/>
          <w:b/>
          <w:color w:val="auto"/>
          <w:u w:val="single"/>
        </w:rPr>
      </w:pPr>
      <w:r>
        <w:rPr>
          <w:rFonts w:hint="eastAsia" w:ascii="宋体" w:hAnsi="宋体" w:eastAsia="宋体" w:cs="宋体"/>
          <w:b/>
          <w:color w:val="auto"/>
          <w:u w:val="single"/>
        </w:rPr>
        <w:t>表</w:t>
      </w:r>
      <w:r>
        <w:rPr>
          <w:rFonts w:hint="eastAsia" w:ascii="宋体" w:hAnsi="宋体" w:eastAsia="宋体" w:cs="宋体"/>
          <w:b/>
          <w:color w:val="auto"/>
          <w:u w:val="single"/>
          <w:lang w:val="en-US" w:eastAsia="zh-CN"/>
        </w:rPr>
        <w:t>3-8</w:t>
      </w:r>
      <w:r>
        <w:rPr>
          <w:rFonts w:hint="eastAsia" w:ascii="宋体" w:hAnsi="宋体" w:eastAsia="宋体" w:cs="宋体"/>
          <w:b/>
          <w:color w:val="auto"/>
          <w:u w:val="single"/>
        </w:rPr>
        <w:t xml:space="preserve">  景区保护范围以及控制要求</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43"/>
        <w:gridCol w:w="4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28" w:type="dxa"/>
            <w:noWrap w:val="0"/>
            <w:vAlign w:val="center"/>
          </w:tcPr>
          <w:p>
            <w:pPr>
              <w:pStyle w:val="120"/>
              <w:bidi w:val="0"/>
              <w:rPr>
                <w:rFonts w:hint="eastAsia"/>
                <w:color w:val="auto"/>
                <w:u w:val="single"/>
              </w:rPr>
            </w:pPr>
            <w:r>
              <w:rPr>
                <w:rFonts w:hint="eastAsia"/>
                <w:color w:val="auto"/>
                <w:u w:val="single"/>
              </w:rPr>
              <w:t>类别</w:t>
            </w:r>
          </w:p>
        </w:tc>
        <w:tc>
          <w:tcPr>
            <w:tcW w:w="2843" w:type="dxa"/>
            <w:noWrap w:val="0"/>
            <w:vAlign w:val="center"/>
          </w:tcPr>
          <w:p>
            <w:pPr>
              <w:pStyle w:val="120"/>
              <w:bidi w:val="0"/>
              <w:rPr>
                <w:rFonts w:hint="eastAsia"/>
                <w:color w:val="auto"/>
                <w:u w:val="single"/>
              </w:rPr>
            </w:pPr>
            <w:r>
              <w:rPr>
                <w:rFonts w:hint="eastAsia"/>
                <w:color w:val="auto"/>
                <w:u w:val="single"/>
              </w:rPr>
              <w:t>保护区域</w:t>
            </w:r>
          </w:p>
        </w:tc>
        <w:tc>
          <w:tcPr>
            <w:tcW w:w="4897" w:type="dxa"/>
            <w:noWrap w:val="0"/>
            <w:vAlign w:val="center"/>
          </w:tcPr>
          <w:p>
            <w:pPr>
              <w:pStyle w:val="120"/>
              <w:bidi w:val="0"/>
              <w:rPr>
                <w:rFonts w:hint="eastAsia"/>
                <w:color w:val="auto"/>
                <w:u w:val="single"/>
              </w:rPr>
            </w:pPr>
            <w:r>
              <w:rPr>
                <w:rFonts w:hint="eastAsia"/>
                <w:color w:val="auto"/>
                <w:u w:val="single"/>
              </w:rPr>
              <w:t>主要保护及控制要求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7" w:hRule="atLeast"/>
        </w:trPr>
        <w:tc>
          <w:tcPr>
            <w:tcW w:w="828" w:type="dxa"/>
            <w:noWrap w:val="0"/>
            <w:vAlign w:val="center"/>
          </w:tcPr>
          <w:p>
            <w:pPr>
              <w:pStyle w:val="120"/>
              <w:bidi w:val="0"/>
              <w:rPr>
                <w:rFonts w:hint="eastAsia"/>
                <w:color w:val="auto"/>
                <w:u w:val="single"/>
              </w:rPr>
            </w:pPr>
            <w:r>
              <w:rPr>
                <w:rFonts w:hint="eastAsia"/>
                <w:color w:val="auto"/>
                <w:u w:val="single"/>
              </w:rPr>
              <w:t>一级保护区</w:t>
            </w:r>
          </w:p>
        </w:tc>
        <w:tc>
          <w:tcPr>
            <w:tcW w:w="2843" w:type="dxa"/>
            <w:noWrap w:val="0"/>
            <w:vAlign w:val="center"/>
          </w:tcPr>
          <w:p>
            <w:pPr>
              <w:pStyle w:val="120"/>
              <w:bidi w:val="0"/>
              <w:jc w:val="both"/>
              <w:rPr>
                <w:rFonts w:hint="eastAsia"/>
                <w:color w:val="auto"/>
                <w:u w:val="single"/>
              </w:rPr>
            </w:pPr>
            <w:r>
              <w:rPr>
                <w:rFonts w:hint="eastAsia"/>
                <w:color w:val="auto"/>
                <w:u w:val="single"/>
              </w:rPr>
              <w:t>① 老司城遗址及周边区域，面积为13.02km</w:t>
            </w:r>
            <w:r>
              <w:rPr>
                <w:rFonts w:hint="eastAsia"/>
                <w:color w:val="auto"/>
                <w:u w:val="single"/>
                <w:vertAlign w:val="superscript"/>
              </w:rPr>
              <w:t>2</w:t>
            </w:r>
            <w:r>
              <w:rPr>
                <w:rFonts w:hint="eastAsia"/>
                <w:color w:val="auto"/>
                <w:u w:val="single"/>
              </w:rPr>
              <w:t>。</w:t>
            </w:r>
          </w:p>
          <w:p>
            <w:pPr>
              <w:pStyle w:val="120"/>
              <w:bidi w:val="0"/>
              <w:jc w:val="both"/>
              <w:rPr>
                <w:rFonts w:hint="eastAsia"/>
                <w:color w:val="auto"/>
                <w:u w:val="single"/>
              </w:rPr>
            </w:pPr>
            <w:r>
              <w:rPr>
                <w:rFonts w:hint="eastAsia"/>
                <w:color w:val="auto"/>
                <w:u w:val="single"/>
              </w:rPr>
              <w:t>② 司河从哈妮宫瀑布至牛路河大桥的河段，面积为7.46 km</w:t>
            </w:r>
            <w:r>
              <w:rPr>
                <w:rFonts w:hint="eastAsia"/>
                <w:color w:val="auto"/>
                <w:u w:val="single"/>
                <w:vertAlign w:val="superscript"/>
              </w:rPr>
              <w:t>2</w:t>
            </w:r>
            <w:r>
              <w:rPr>
                <w:rFonts w:hint="eastAsia"/>
                <w:color w:val="auto"/>
                <w:u w:val="single"/>
              </w:rPr>
              <w:t>。</w:t>
            </w:r>
          </w:p>
          <w:p>
            <w:pPr>
              <w:pStyle w:val="120"/>
              <w:bidi w:val="0"/>
              <w:jc w:val="both"/>
              <w:rPr>
                <w:rFonts w:hint="eastAsia"/>
                <w:color w:val="auto"/>
                <w:u w:val="single"/>
              </w:rPr>
            </w:pPr>
            <w:r>
              <w:rPr>
                <w:rFonts w:hint="eastAsia"/>
                <w:color w:val="auto"/>
                <w:u w:val="single"/>
              </w:rPr>
              <w:t>③ 司河从包公图往下的河段及猛洞河从海螺电站至龙头峡的河段，面积为20.86 km</w:t>
            </w:r>
            <w:r>
              <w:rPr>
                <w:rFonts w:hint="eastAsia"/>
                <w:color w:val="auto"/>
                <w:u w:val="single"/>
                <w:vertAlign w:val="superscript"/>
              </w:rPr>
              <w:t>2</w:t>
            </w:r>
            <w:r>
              <w:rPr>
                <w:rFonts w:hint="eastAsia"/>
                <w:color w:val="auto"/>
                <w:u w:val="single"/>
              </w:rPr>
              <w:t>。</w:t>
            </w:r>
          </w:p>
        </w:tc>
        <w:tc>
          <w:tcPr>
            <w:tcW w:w="4897" w:type="dxa"/>
            <w:noWrap w:val="0"/>
            <w:vAlign w:val="center"/>
          </w:tcPr>
          <w:p>
            <w:pPr>
              <w:pStyle w:val="120"/>
              <w:bidi w:val="0"/>
              <w:jc w:val="both"/>
              <w:rPr>
                <w:rFonts w:hint="eastAsia"/>
                <w:color w:val="auto"/>
                <w:u w:val="single"/>
              </w:rPr>
            </w:pPr>
            <w:r>
              <w:rPr>
                <w:rFonts w:hint="eastAsia"/>
                <w:color w:val="auto"/>
                <w:u w:val="single"/>
              </w:rPr>
              <w:t>①严禁建设与风景保护和风景游览无关的设施(如餐饮、旅宿设施、电站等破坏风景的大型工程建设)。</w:t>
            </w:r>
          </w:p>
          <w:p>
            <w:pPr>
              <w:pStyle w:val="120"/>
              <w:bidi w:val="0"/>
              <w:jc w:val="both"/>
              <w:rPr>
                <w:rFonts w:hint="eastAsia"/>
                <w:color w:val="auto"/>
                <w:u w:val="single"/>
              </w:rPr>
            </w:pPr>
            <w:r>
              <w:rPr>
                <w:rFonts w:hint="eastAsia"/>
                <w:color w:val="auto"/>
                <w:u w:val="single"/>
              </w:rPr>
              <w:t>②应合理选址建设管理设施、必要的给排水、环保环卫及消防等基础设施。</w:t>
            </w:r>
          </w:p>
          <w:p>
            <w:pPr>
              <w:pStyle w:val="120"/>
              <w:bidi w:val="0"/>
              <w:jc w:val="both"/>
              <w:rPr>
                <w:rFonts w:hint="eastAsia"/>
                <w:color w:val="auto"/>
                <w:u w:val="single"/>
              </w:rPr>
            </w:pPr>
            <w:r>
              <w:rPr>
                <w:rFonts w:hint="eastAsia"/>
                <w:color w:val="auto"/>
                <w:u w:val="single"/>
              </w:rPr>
              <w:t>③拆旧控新，王村与老司城新建建筑的选址与规模须经规划论证，且在形式、风格、体量、建筑材料等方面必须与保护区原有历史风貌一致。</w:t>
            </w:r>
          </w:p>
          <w:p>
            <w:pPr>
              <w:pStyle w:val="120"/>
              <w:bidi w:val="0"/>
              <w:jc w:val="both"/>
              <w:rPr>
                <w:rFonts w:hint="eastAsia"/>
                <w:color w:val="auto"/>
                <w:u w:val="single"/>
              </w:rPr>
            </w:pPr>
            <w:r>
              <w:rPr>
                <w:rFonts w:hint="eastAsia"/>
                <w:color w:val="auto"/>
                <w:u w:val="single"/>
              </w:rPr>
              <w:t>④严禁建设机动车道路和机动车进入。整理完善现有游路系统，建设必要步行线路。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28" w:type="dxa"/>
            <w:noWrap w:val="0"/>
            <w:vAlign w:val="center"/>
          </w:tcPr>
          <w:p>
            <w:pPr>
              <w:pStyle w:val="120"/>
              <w:bidi w:val="0"/>
              <w:rPr>
                <w:rFonts w:hint="eastAsia"/>
                <w:color w:val="auto"/>
                <w:u w:val="single"/>
              </w:rPr>
            </w:pPr>
            <w:r>
              <w:rPr>
                <w:rFonts w:hint="eastAsia"/>
                <w:color w:val="auto"/>
                <w:u w:val="single"/>
              </w:rPr>
              <w:t>二级保护区</w:t>
            </w:r>
          </w:p>
        </w:tc>
        <w:tc>
          <w:tcPr>
            <w:tcW w:w="2843" w:type="dxa"/>
            <w:noWrap w:val="0"/>
            <w:vAlign w:val="center"/>
          </w:tcPr>
          <w:p>
            <w:pPr>
              <w:pStyle w:val="120"/>
              <w:bidi w:val="0"/>
              <w:jc w:val="both"/>
              <w:rPr>
                <w:rFonts w:hint="eastAsia"/>
                <w:color w:val="auto"/>
                <w:u w:val="single"/>
              </w:rPr>
            </w:pPr>
            <w:r>
              <w:rPr>
                <w:rFonts w:hint="eastAsia"/>
                <w:color w:val="auto"/>
                <w:u w:val="single"/>
              </w:rPr>
              <w:t>① 司河从土司王钓鱼台至射圃的河段（包括自生桥周边区域），面积4.45 km</w:t>
            </w:r>
            <w:r>
              <w:rPr>
                <w:rFonts w:hint="eastAsia"/>
                <w:color w:val="auto"/>
                <w:u w:val="single"/>
                <w:vertAlign w:val="superscript"/>
              </w:rPr>
              <w:t>2</w:t>
            </w:r>
            <w:r>
              <w:rPr>
                <w:rFonts w:hint="eastAsia"/>
                <w:color w:val="auto"/>
                <w:u w:val="single"/>
              </w:rPr>
              <w:t>；</w:t>
            </w:r>
          </w:p>
          <w:p>
            <w:pPr>
              <w:pStyle w:val="120"/>
              <w:bidi w:val="0"/>
              <w:jc w:val="both"/>
              <w:rPr>
                <w:rFonts w:hint="eastAsia"/>
                <w:color w:val="auto"/>
                <w:u w:val="single"/>
              </w:rPr>
            </w:pPr>
            <w:r>
              <w:rPr>
                <w:rFonts w:hint="eastAsia"/>
                <w:color w:val="auto"/>
                <w:u w:val="single"/>
              </w:rPr>
              <w:t>② 抚哈公路西侧一定区域，面积1.47 km</w:t>
            </w:r>
            <w:r>
              <w:rPr>
                <w:rFonts w:hint="eastAsia"/>
                <w:color w:val="auto"/>
                <w:u w:val="single"/>
                <w:vertAlign w:val="superscript"/>
              </w:rPr>
              <w:t>2</w:t>
            </w:r>
            <w:r>
              <w:rPr>
                <w:rFonts w:hint="eastAsia"/>
                <w:color w:val="auto"/>
                <w:u w:val="single"/>
              </w:rPr>
              <w:t>；</w:t>
            </w:r>
          </w:p>
          <w:p>
            <w:pPr>
              <w:pStyle w:val="120"/>
              <w:bidi w:val="0"/>
              <w:jc w:val="both"/>
              <w:rPr>
                <w:rFonts w:hint="eastAsia"/>
                <w:color w:val="auto"/>
                <w:u w:val="single"/>
              </w:rPr>
            </w:pPr>
            <w:r>
              <w:rPr>
                <w:rFonts w:hint="eastAsia"/>
                <w:color w:val="auto"/>
                <w:u w:val="single"/>
              </w:rPr>
              <w:t>③司河从牛路河大桥至包公图的河段，面积2.31 km</w:t>
            </w:r>
            <w:r>
              <w:rPr>
                <w:rFonts w:hint="eastAsia"/>
                <w:color w:val="auto"/>
                <w:u w:val="single"/>
                <w:vertAlign w:val="superscript"/>
              </w:rPr>
              <w:t>2</w:t>
            </w:r>
            <w:r>
              <w:rPr>
                <w:rFonts w:hint="eastAsia"/>
                <w:color w:val="auto"/>
                <w:u w:val="single"/>
              </w:rPr>
              <w:t>；</w:t>
            </w:r>
          </w:p>
          <w:p>
            <w:pPr>
              <w:pStyle w:val="120"/>
              <w:bidi w:val="0"/>
              <w:jc w:val="both"/>
              <w:rPr>
                <w:rFonts w:hint="eastAsia"/>
                <w:color w:val="auto"/>
                <w:u w:val="single"/>
              </w:rPr>
            </w:pPr>
            <w:r>
              <w:rPr>
                <w:rFonts w:hint="eastAsia"/>
                <w:color w:val="auto"/>
                <w:u w:val="single"/>
              </w:rPr>
              <w:t>④猛洞河从龙头峡至王村特大桥的河段（包括王村古镇及周边区域），面积10.93 km</w:t>
            </w:r>
            <w:r>
              <w:rPr>
                <w:rFonts w:hint="eastAsia"/>
                <w:color w:val="auto"/>
                <w:u w:val="single"/>
                <w:vertAlign w:val="superscript"/>
              </w:rPr>
              <w:t>2</w:t>
            </w:r>
            <w:r>
              <w:rPr>
                <w:rFonts w:hint="eastAsia"/>
                <w:color w:val="auto"/>
                <w:u w:val="single"/>
              </w:rPr>
              <w:t>。</w:t>
            </w:r>
          </w:p>
        </w:tc>
        <w:tc>
          <w:tcPr>
            <w:tcW w:w="4897" w:type="dxa"/>
            <w:noWrap w:val="0"/>
            <w:vAlign w:val="center"/>
          </w:tcPr>
          <w:p>
            <w:pPr>
              <w:pStyle w:val="120"/>
              <w:bidi w:val="0"/>
              <w:jc w:val="both"/>
              <w:rPr>
                <w:rFonts w:hint="eastAsia"/>
                <w:color w:val="auto"/>
                <w:u w:val="single"/>
              </w:rPr>
            </w:pPr>
            <w:r>
              <w:rPr>
                <w:rFonts w:hint="eastAsia"/>
                <w:color w:val="auto"/>
                <w:u w:val="single"/>
              </w:rPr>
              <w:t>①限建与风景保护游览无关的设施，可建少量餐饮、旅游设施，须设必要管理设施，可设旅游基础设施，严禁新建破坏风景的大型工程。</w:t>
            </w:r>
          </w:p>
          <w:p>
            <w:pPr>
              <w:pStyle w:val="120"/>
              <w:bidi w:val="0"/>
              <w:jc w:val="both"/>
              <w:rPr>
                <w:rFonts w:hint="eastAsia"/>
                <w:color w:val="auto"/>
                <w:u w:val="single"/>
              </w:rPr>
            </w:pPr>
            <w:r>
              <w:rPr>
                <w:rFonts w:hint="eastAsia"/>
                <w:color w:val="auto"/>
                <w:u w:val="single"/>
              </w:rPr>
              <w:t>②拆除、改造或屏蔽破坏景观的建筑，恢复历史建筑应在其选址、规模、风格、体量等方面提出严格的控制措施，必须与原有历史风貌协调。新建建筑与设施在形式、风格、体量、建筑材料等方面则必须与保护区原有历史风貌相协调。</w:t>
            </w:r>
          </w:p>
          <w:p>
            <w:pPr>
              <w:pStyle w:val="120"/>
              <w:bidi w:val="0"/>
              <w:jc w:val="both"/>
              <w:rPr>
                <w:rFonts w:hint="eastAsia"/>
                <w:color w:val="auto"/>
                <w:u w:val="single"/>
              </w:rPr>
            </w:pPr>
            <w:r>
              <w:rPr>
                <w:rFonts w:hint="eastAsia"/>
                <w:color w:val="auto"/>
                <w:u w:val="single"/>
              </w:rPr>
              <w:t>③除景区内部专用游览车辆外，严禁机动车进入二级保护区内。整理完善现有游路系统，游览活动应按指定路线游览。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828" w:type="dxa"/>
            <w:noWrap w:val="0"/>
            <w:vAlign w:val="center"/>
          </w:tcPr>
          <w:p>
            <w:pPr>
              <w:pStyle w:val="120"/>
              <w:bidi w:val="0"/>
              <w:rPr>
                <w:rFonts w:hint="eastAsia"/>
                <w:color w:val="auto"/>
                <w:u w:val="single"/>
              </w:rPr>
            </w:pPr>
            <w:r>
              <w:rPr>
                <w:rFonts w:hint="eastAsia"/>
                <w:color w:val="auto"/>
                <w:u w:val="single"/>
              </w:rPr>
              <w:t>三级保护区</w:t>
            </w:r>
          </w:p>
        </w:tc>
        <w:tc>
          <w:tcPr>
            <w:tcW w:w="2843" w:type="dxa"/>
            <w:noWrap w:val="0"/>
            <w:vAlign w:val="center"/>
          </w:tcPr>
          <w:p>
            <w:pPr>
              <w:pStyle w:val="120"/>
              <w:bidi w:val="0"/>
              <w:jc w:val="both"/>
              <w:rPr>
                <w:rFonts w:hint="eastAsia"/>
                <w:color w:val="auto"/>
                <w:u w:val="single"/>
              </w:rPr>
            </w:pPr>
            <w:r>
              <w:rPr>
                <w:rFonts w:hint="eastAsia"/>
                <w:color w:val="auto"/>
                <w:u w:val="single"/>
              </w:rPr>
              <w:t>风景区范围内除一、二级保护区之外的区域均为三级保护区。面积为165.26km</w:t>
            </w:r>
            <w:r>
              <w:rPr>
                <w:rFonts w:hint="eastAsia"/>
                <w:color w:val="auto"/>
                <w:u w:val="single"/>
                <w:vertAlign w:val="superscript"/>
              </w:rPr>
              <w:t>2</w:t>
            </w:r>
            <w:r>
              <w:rPr>
                <w:rFonts w:hint="eastAsia"/>
                <w:color w:val="auto"/>
                <w:u w:val="single"/>
              </w:rPr>
              <w:t>。</w:t>
            </w:r>
          </w:p>
        </w:tc>
        <w:tc>
          <w:tcPr>
            <w:tcW w:w="4897" w:type="dxa"/>
            <w:noWrap w:val="0"/>
            <w:vAlign w:val="center"/>
          </w:tcPr>
          <w:p>
            <w:pPr>
              <w:pStyle w:val="120"/>
              <w:bidi w:val="0"/>
              <w:jc w:val="both"/>
              <w:rPr>
                <w:rFonts w:hint="eastAsia"/>
                <w:color w:val="auto"/>
                <w:u w:val="single"/>
              </w:rPr>
            </w:pPr>
            <w:r>
              <w:rPr>
                <w:rFonts w:hint="eastAsia"/>
                <w:color w:val="auto"/>
                <w:u w:val="single"/>
              </w:rPr>
              <w:t>①根据游人活动与规模控制餐饮、住宿选址，控制区内人口规模。</w:t>
            </w:r>
          </w:p>
          <w:p>
            <w:pPr>
              <w:pStyle w:val="120"/>
              <w:bidi w:val="0"/>
              <w:jc w:val="both"/>
              <w:rPr>
                <w:rFonts w:hint="eastAsia"/>
                <w:color w:val="auto"/>
                <w:u w:val="single"/>
              </w:rPr>
            </w:pPr>
            <w:r>
              <w:rPr>
                <w:rFonts w:hint="eastAsia"/>
                <w:color w:val="auto"/>
                <w:u w:val="single"/>
              </w:rPr>
              <w:t>②控制民居的建造与修缮，民居建筑的风格、体量、色彩等方面须与风景区整体风貌相协调，对现有不协调的建筑进行立面、屋顶等外观改造。</w:t>
            </w:r>
          </w:p>
          <w:p>
            <w:pPr>
              <w:pStyle w:val="120"/>
              <w:bidi w:val="0"/>
              <w:jc w:val="both"/>
              <w:rPr>
                <w:rFonts w:hint="eastAsia"/>
                <w:color w:val="auto"/>
                <w:u w:val="single"/>
              </w:rPr>
            </w:pPr>
            <w:r>
              <w:rPr>
                <w:rFonts w:hint="eastAsia"/>
                <w:color w:val="auto"/>
                <w:u w:val="single"/>
              </w:rPr>
              <w:t>③游人活动按指定路线进行，可在指定区域进行登山、露营、考察等活动。应用本土树种进行造林，可对区内的森林植被进行科学的林相改造。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828" w:type="dxa"/>
            <w:noWrap w:val="0"/>
            <w:vAlign w:val="center"/>
          </w:tcPr>
          <w:p>
            <w:pPr>
              <w:pStyle w:val="120"/>
              <w:bidi w:val="0"/>
              <w:rPr>
                <w:rFonts w:hint="eastAsia"/>
                <w:color w:val="auto"/>
                <w:u w:val="single"/>
              </w:rPr>
            </w:pPr>
            <w:r>
              <w:rPr>
                <w:rFonts w:hint="eastAsia"/>
                <w:color w:val="auto"/>
                <w:u w:val="single"/>
              </w:rPr>
              <w:t>外围保护区</w:t>
            </w:r>
          </w:p>
        </w:tc>
        <w:tc>
          <w:tcPr>
            <w:tcW w:w="2843" w:type="dxa"/>
            <w:noWrap w:val="0"/>
            <w:vAlign w:val="center"/>
          </w:tcPr>
          <w:p>
            <w:pPr>
              <w:pStyle w:val="120"/>
              <w:bidi w:val="0"/>
              <w:rPr>
                <w:rFonts w:hint="eastAsia"/>
                <w:color w:val="auto"/>
                <w:u w:val="single"/>
              </w:rPr>
            </w:pPr>
            <w:r>
              <w:rPr>
                <w:rFonts w:hint="eastAsia"/>
                <w:color w:val="auto"/>
                <w:u w:val="single"/>
              </w:rPr>
              <w:t>风景区范围以外，以河流，道路、山脊线为界划定的风景协调区域，面积为170km，</w:t>
            </w:r>
          </w:p>
        </w:tc>
        <w:tc>
          <w:tcPr>
            <w:tcW w:w="4897" w:type="dxa"/>
            <w:noWrap w:val="0"/>
            <w:vAlign w:val="center"/>
          </w:tcPr>
          <w:p>
            <w:pPr>
              <w:pStyle w:val="120"/>
              <w:bidi w:val="0"/>
              <w:rPr>
                <w:rFonts w:hint="eastAsia"/>
                <w:color w:val="auto"/>
                <w:u w:val="single"/>
              </w:rPr>
            </w:pPr>
            <w:r>
              <w:rPr>
                <w:rFonts w:hint="eastAsia"/>
                <w:color w:val="auto"/>
                <w:u w:val="single"/>
              </w:rPr>
              <w:t>主要保护其整体景观风貌与生态环境</w:t>
            </w:r>
          </w:p>
        </w:tc>
      </w:tr>
    </w:tbl>
    <w:p>
      <w:pPr>
        <w:autoSpaceDE w:val="0"/>
        <w:autoSpaceDN w:val="0"/>
        <w:adjustRightInd w:val="0"/>
        <w:ind w:firstLine="482"/>
        <w:rPr>
          <w:rFonts w:hint="eastAsia"/>
          <w:b/>
          <w:bCs/>
          <w:color w:val="auto"/>
          <w:u w:val="single"/>
          <w:lang w:eastAsia="zh-CN"/>
        </w:rPr>
      </w:pPr>
      <w:r>
        <w:rPr>
          <w:rFonts w:hint="eastAsia"/>
          <w:b/>
          <w:bCs/>
          <w:color w:val="auto"/>
          <w:u w:val="single"/>
          <w:lang w:eastAsia="zh-CN"/>
        </w:rPr>
        <w:t>②本项目</w:t>
      </w:r>
      <w:r>
        <w:rPr>
          <w:rFonts w:hint="eastAsia"/>
          <w:b/>
          <w:bCs/>
          <w:color w:val="auto"/>
          <w:u w:val="single"/>
        </w:rPr>
        <w:t>与</w:t>
      </w:r>
      <w:r>
        <w:rPr>
          <w:rFonts w:hint="eastAsia"/>
          <w:b/>
          <w:bCs/>
          <w:color w:val="auto"/>
          <w:u w:val="single"/>
          <w:lang w:eastAsia="zh-CN"/>
        </w:rPr>
        <w:t>猛洞河国家级风景名胜区位置关系</w:t>
      </w:r>
    </w:p>
    <w:p>
      <w:pPr>
        <w:pStyle w:val="3"/>
        <w:keepNext w:val="0"/>
        <w:keepLines w:val="0"/>
        <w:pageBreakBefore w:val="0"/>
        <w:widowControl/>
        <w:kinsoku/>
        <w:wordWrap/>
        <w:overflowPunct/>
        <w:topLinePunct w:val="0"/>
        <w:autoSpaceDE w:val="0"/>
        <w:autoSpaceDN w:val="0"/>
        <w:bidi w:val="0"/>
        <w:adjustRightInd/>
        <w:snapToGrid/>
        <w:ind w:left="0" w:leftChars="0" w:firstLine="480" w:firstLineChars="200"/>
        <w:jc w:val="both"/>
        <w:textAlignment w:val="auto"/>
        <w:rPr>
          <w:rFonts w:hint="eastAsia" w:ascii="宋体" w:hAnsi="宋体"/>
          <w:color w:val="auto"/>
          <w:sz w:val="24"/>
          <w:u w:val="single"/>
          <w:lang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26" w:charSpace="0"/>
        </w:sectPr>
      </w:pPr>
      <w:r>
        <w:rPr>
          <w:rFonts w:hint="eastAsia" w:cs="宋体"/>
          <w:b w:val="0"/>
          <w:bCs/>
          <w:color w:val="auto"/>
          <w:kern w:val="0"/>
          <w:u w:val="single"/>
          <w:lang w:eastAsia="zh-CN"/>
        </w:rPr>
        <w:t>本项目位于湘西州永顺县灵溪镇岔那村（猛洞河产业园内），部分管道</w:t>
      </w:r>
      <w:r>
        <w:rPr>
          <w:rFonts w:hint="default" w:ascii="Times New Roman" w:hAnsi="Times New Roman" w:cs="Times New Roman"/>
          <w:b w:val="0"/>
          <w:bCs/>
          <w:color w:val="auto"/>
          <w:kern w:val="0"/>
          <w:u w:val="single"/>
          <w:lang w:eastAsia="zh-CN"/>
        </w:rPr>
        <w:t>（约</w:t>
      </w:r>
      <w:r>
        <w:rPr>
          <w:rFonts w:hint="default" w:ascii="Times New Roman" w:hAnsi="Times New Roman" w:cs="Times New Roman"/>
          <w:b w:val="0"/>
          <w:bCs/>
          <w:color w:val="auto"/>
          <w:kern w:val="0"/>
          <w:u w:val="single"/>
          <w:lang w:val="en-US" w:eastAsia="zh-CN"/>
        </w:rPr>
        <w:t>150m</w:t>
      </w:r>
      <w:r>
        <w:rPr>
          <w:rFonts w:hint="default" w:ascii="Times New Roman" w:hAnsi="Times New Roman" w:cs="Times New Roman"/>
          <w:b w:val="0"/>
          <w:bCs/>
          <w:color w:val="auto"/>
          <w:kern w:val="0"/>
          <w:u w:val="single"/>
          <w:lang w:eastAsia="zh-CN"/>
        </w:rPr>
        <w:t>）及</w:t>
      </w:r>
      <w:r>
        <w:rPr>
          <w:rFonts w:hint="eastAsia" w:cs="宋体"/>
          <w:b w:val="0"/>
          <w:bCs/>
          <w:color w:val="auto"/>
          <w:kern w:val="0"/>
          <w:u w:val="single"/>
          <w:lang w:eastAsia="zh-CN"/>
        </w:rPr>
        <w:t>排污口位于猛洞河国家级风景名胜区外围保护区，</w:t>
      </w:r>
      <w:r>
        <w:rPr>
          <w:rFonts w:hint="eastAsia" w:ascii="宋体" w:hAnsi="宋体" w:eastAsia="宋体" w:cs="宋体"/>
          <w:color w:val="auto"/>
          <w:szCs w:val="28"/>
          <w:u w:val="single"/>
          <w:lang w:eastAsia="zh-CN"/>
        </w:rPr>
        <w:t>根据</w:t>
      </w:r>
      <w:r>
        <w:rPr>
          <w:rFonts w:hint="eastAsia" w:ascii="宋体" w:hAnsi="宋体" w:eastAsia="宋体" w:cs="宋体"/>
          <w:color w:val="auto"/>
          <w:szCs w:val="28"/>
          <w:u w:val="single"/>
        </w:rPr>
        <w:t>《猛洞河风国家级风景名胜区总体规划》</w:t>
      </w:r>
      <w:r>
        <w:rPr>
          <w:rFonts w:hint="eastAsia" w:ascii="宋体" w:hAnsi="宋体" w:eastAsia="宋体" w:cs="宋体"/>
          <w:color w:val="auto"/>
          <w:szCs w:val="28"/>
          <w:u w:val="single"/>
          <w:lang w:eastAsia="zh-CN"/>
        </w:rPr>
        <w:t>，外围保护区不属于风景名胜区范围，</w:t>
      </w:r>
      <w:r>
        <w:rPr>
          <w:rFonts w:hint="eastAsia" w:ascii="宋体" w:hAnsi="宋体"/>
          <w:color w:val="auto"/>
          <w:sz w:val="24"/>
          <w:u w:val="single"/>
        </w:rPr>
        <w:t>重点保护整体景观风貌与生态环境不受破坏</w:t>
      </w:r>
      <w:r>
        <w:rPr>
          <w:rFonts w:hint="eastAsia" w:ascii="宋体" w:hAnsi="宋体"/>
          <w:color w:val="auto"/>
          <w:sz w:val="24"/>
          <w:u w:val="single"/>
          <w:lang w:eastAsia="zh-CN"/>
        </w:rPr>
        <w:t>，本项目排污管道覆土后不对</w:t>
      </w:r>
      <w:r>
        <w:rPr>
          <w:rFonts w:hint="eastAsia" w:ascii="宋体" w:hAnsi="宋体" w:eastAsia="宋体" w:cs="宋体"/>
          <w:color w:val="auto"/>
          <w:szCs w:val="28"/>
          <w:u w:val="single"/>
        </w:rPr>
        <w:t>猛洞河风国家级风景名胜区</w:t>
      </w:r>
      <w:r>
        <w:rPr>
          <w:rFonts w:hint="eastAsia" w:ascii="宋体" w:hAnsi="宋体" w:eastAsia="宋体" w:cs="宋体"/>
          <w:color w:val="auto"/>
          <w:szCs w:val="28"/>
          <w:u w:val="single"/>
          <w:lang w:eastAsia="zh-CN"/>
        </w:rPr>
        <w:t>的整体景观风貌造成影响和破坏</w:t>
      </w:r>
      <w:r>
        <w:rPr>
          <w:rFonts w:hint="eastAsia" w:ascii="宋体" w:hAnsi="宋体"/>
          <w:color w:val="auto"/>
          <w:sz w:val="24"/>
          <w:u w:val="single"/>
          <w:lang w:eastAsia="zh-CN"/>
        </w:rPr>
        <w:t>。</w:t>
      </w:r>
    </w:p>
    <w:p>
      <w:pPr>
        <w:widowControl/>
        <w:adjustRightInd w:val="0"/>
        <w:snapToGrid w:val="0"/>
        <w:spacing w:line="360" w:lineRule="auto"/>
        <w:jc w:val="left"/>
        <w:rPr>
          <w:rFonts w:hint="eastAsia" w:ascii="宋体" w:hAnsi="宋体" w:eastAsia="宋体" w:cs="宋体"/>
          <w:b/>
          <w:bCs/>
          <w:color w:val="auto"/>
          <w:spacing w:val="6"/>
          <w:u w:val="single"/>
          <w:lang w:val="en-US" w:eastAsia="zh-CN"/>
        </w:rPr>
      </w:pPr>
      <w:r>
        <w:rPr>
          <w:rFonts w:hint="eastAsia" w:ascii="宋体" w:hAnsi="宋体" w:eastAsia="宋体" w:cs="宋体"/>
          <w:b/>
          <w:bCs/>
          <w:color w:val="auto"/>
          <w:spacing w:val="6"/>
          <w:u w:val="single"/>
          <w:lang w:val="en-US" w:eastAsia="zh-CN"/>
        </w:rPr>
        <w:t>③与《猛洞河国家级风景名胜区总体规划（2011-2025）》、《风景名胜区条例》 （国务院令第474号）、《湖南省风景名胜区管理条例》 （湘建城[2002]76号）的符合性分析</w:t>
      </w:r>
    </w:p>
    <w:p>
      <w:pPr>
        <w:bidi w:val="0"/>
        <w:jc w:val="both"/>
        <w:rPr>
          <w:rFonts w:hint="eastAsia"/>
          <w:u w:val="single"/>
          <w:lang w:val="en-US" w:eastAsia="zh-CN"/>
        </w:rPr>
      </w:pPr>
      <w:r>
        <w:rPr>
          <w:rFonts w:hint="eastAsia" w:cs="宋体"/>
          <w:b w:val="0"/>
          <w:bCs/>
          <w:color w:val="auto"/>
          <w:kern w:val="0"/>
          <w:u w:val="single"/>
          <w:lang w:eastAsia="zh-CN"/>
        </w:rPr>
        <w:t>本项目位于湘西州永顺县灵溪镇岔那村（猛洞河产业园内），部分管道（约150m）及排污口位于猛洞河国家级风景名胜区外围保护区，本项目与</w:t>
      </w:r>
      <w:r>
        <w:rPr>
          <w:rFonts w:hint="eastAsia"/>
          <w:b w:val="0"/>
          <w:bCs/>
          <w:color w:val="auto"/>
          <w:u w:val="single"/>
          <w:lang w:eastAsia="zh-CN"/>
        </w:rPr>
        <w:t>《猛洞河国家级风景名胜区总体规划（</w:t>
      </w:r>
      <w:r>
        <w:rPr>
          <w:rFonts w:hint="eastAsia"/>
          <w:b w:val="0"/>
          <w:bCs/>
          <w:color w:val="auto"/>
          <w:u w:val="single"/>
          <w:lang w:val="en-US" w:eastAsia="zh-CN"/>
        </w:rPr>
        <w:t>2011-2025</w:t>
      </w:r>
      <w:r>
        <w:rPr>
          <w:rFonts w:hint="eastAsia"/>
          <w:b w:val="0"/>
          <w:bCs/>
          <w:color w:val="auto"/>
          <w:u w:val="single"/>
          <w:lang w:eastAsia="zh-CN"/>
        </w:rPr>
        <w:t>）》、《风景名胜区条例》 （国务院令第474号）、《湖南省风景名胜区管理条例》 （湘建城[2002]76号）的符合性分析如下：</w:t>
      </w:r>
    </w:p>
    <w:tbl>
      <w:tblPr>
        <w:tblStyle w:val="37"/>
        <w:tblW w:w="15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7422"/>
        <w:gridCol w:w="4427"/>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5398" w:type="dxa"/>
            <w:gridSpan w:val="4"/>
            <w:tcBorders>
              <w:top w:val="nil"/>
              <w:left w:val="nil"/>
              <w:right w:val="nil"/>
            </w:tcBorders>
            <w:noWrap w:val="0"/>
            <w:vAlign w:val="top"/>
          </w:tcPr>
          <w:p>
            <w:pPr>
              <w:pStyle w:val="120"/>
              <w:bidi w:val="0"/>
              <w:rPr>
                <w:rFonts w:hint="default"/>
                <w:b/>
                <w:bCs/>
                <w:color w:val="auto"/>
                <w:u w:val="single"/>
                <w:lang w:val="en-US" w:eastAsia="zh-CN"/>
              </w:rPr>
            </w:pPr>
            <w:r>
              <w:rPr>
                <w:rFonts w:hint="eastAsia"/>
                <w:b/>
                <w:bCs/>
                <w:color w:val="auto"/>
                <w:u w:val="single"/>
                <w:lang w:val="en-US" w:eastAsia="zh-CN"/>
              </w:rPr>
              <w:t>表3-9  项目与《猛洞河国家级风景名胜区总体规划》、《风景名胜区条例》、《湖南省风景名胜区管理条例》的符合性分析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203" w:type="dxa"/>
            <w:noWrap w:val="0"/>
            <w:vAlign w:val="top"/>
          </w:tcPr>
          <w:p>
            <w:pPr>
              <w:pStyle w:val="120"/>
              <w:bidi w:val="0"/>
              <w:rPr>
                <w:rFonts w:hint="eastAsia"/>
                <w:b/>
                <w:bCs/>
                <w:color w:val="auto"/>
                <w:u w:val="single"/>
                <w:lang w:val="en-US" w:eastAsia="zh-CN"/>
              </w:rPr>
            </w:pPr>
          </w:p>
        </w:tc>
        <w:tc>
          <w:tcPr>
            <w:tcW w:w="7422" w:type="dxa"/>
            <w:noWrap w:val="0"/>
            <w:vAlign w:val="top"/>
          </w:tcPr>
          <w:p>
            <w:pPr>
              <w:pStyle w:val="120"/>
              <w:bidi w:val="0"/>
              <w:rPr>
                <w:rFonts w:hint="eastAsia" w:ascii="Times New Roman" w:hAnsi="Times New Roman" w:eastAsia="宋体" w:cs="Times New Roman"/>
                <w:b/>
                <w:bCs/>
                <w:color w:val="auto"/>
                <w:kern w:val="2"/>
                <w:sz w:val="21"/>
                <w:szCs w:val="24"/>
                <w:u w:val="single"/>
                <w:lang w:val="en-US" w:eastAsia="zh-CN" w:bidi="ar-SA"/>
              </w:rPr>
            </w:pPr>
            <w:r>
              <w:rPr>
                <w:rFonts w:hint="eastAsia"/>
                <w:b/>
                <w:bCs/>
                <w:color w:val="auto"/>
                <w:u w:val="single"/>
                <w:lang w:val="en-US" w:eastAsia="zh-CN"/>
              </w:rPr>
              <w:t>对建设项目的建设要求</w:t>
            </w:r>
          </w:p>
        </w:tc>
        <w:tc>
          <w:tcPr>
            <w:tcW w:w="4427" w:type="dxa"/>
            <w:noWrap w:val="0"/>
            <w:vAlign w:val="top"/>
          </w:tcPr>
          <w:p>
            <w:pPr>
              <w:pStyle w:val="120"/>
              <w:bidi w:val="0"/>
              <w:rPr>
                <w:rFonts w:hint="eastAsia" w:ascii="Times New Roman" w:hAnsi="Times New Roman" w:eastAsia="宋体" w:cs="Times New Roman"/>
                <w:b/>
                <w:bCs/>
                <w:color w:val="auto"/>
                <w:kern w:val="2"/>
                <w:sz w:val="21"/>
                <w:szCs w:val="24"/>
                <w:u w:val="single"/>
                <w:lang w:val="en-US" w:eastAsia="zh-CN" w:bidi="ar-SA"/>
              </w:rPr>
            </w:pPr>
            <w:r>
              <w:rPr>
                <w:rFonts w:hint="eastAsia"/>
                <w:b/>
                <w:bCs/>
                <w:color w:val="auto"/>
                <w:u w:val="single"/>
                <w:lang w:val="en-US" w:eastAsia="zh-CN"/>
              </w:rPr>
              <w:t>本项目</w:t>
            </w:r>
          </w:p>
        </w:tc>
        <w:tc>
          <w:tcPr>
            <w:tcW w:w="1346" w:type="dxa"/>
            <w:noWrap w:val="0"/>
            <w:vAlign w:val="top"/>
          </w:tcPr>
          <w:p>
            <w:pPr>
              <w:pStyle w:val="120"/>
              <w:bidi w:val="0"/>
              <w:rPr>
                <w:rFonts w:hint="eastAsia" w:ascii="Times New Roman" w:hAnsi="Times New Roman" w:eastAsia="宋体" w:cs="Times New Roman"/>
                <w:b/>
                <w:bCs/>
                <w:color w:val="auto"/>
                <w:kern w:val="2"/>
                <w:sz w:val="21"/>
                <w:szCs w:val="24"/>
                <w:u w:val="single"/>
                <w:lang w:val="en-US" w:eastAsia="zh-CN" w:bidi="ar-SA"/>
              </w:rPr>
            </w:pPr>
            <w:r>
              <w:rPr>
                <w:rFonts w:hint="eastAsia"/>
                <w:b/>
                <w:bCs/>
                <w:color w:val="auto"/>
                <w:u w:val="single"/>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3" w:type="dxa"/>
            <w:noWrap w:val="0"/>
            <w:vAlign w:val="center"/>
          </w:tcPr>
          <w:p>
            <w:pPr>
              <w:pStyle w:val="120"/>
              <w:bidi w:val="0"/>
              <w:jc w:val="center"/>
              <w:rPr>
                <w:rFonts w:hint="eastAsia"/>
                <w:color w:val="auto"/>
                <w:sz w:val="21"/>
                <w:szCs w:val="21"/>
                <w:u w:val="single"/>
                <w:lang w:val="en-US" w:eastAsia="zh-CN"/>
              </w:rPr>
            </w:pPr>
            <w:r>
              <w:rPr>
                <w:rFonts w:hint="eastAsia"/>
                <w:b/>
                <w:bCs/>
                <w:color w:val="auto"/>
                <w:sz w:val="21"/>
                <w:szCs w:val="21"/>
                <w:u w:val="single"/>
                <w:lang w:eastAsia="zh-CN"/>
              </w:rPr>
              <w:t>《猛洞河国家级风景名胜区总体规划（</w:t>
            </w:r>
            <w:r>
              <w:rPr>
                <w:rFonts w:hint="eastAsia"/>
                <w:b/>
                <w:bCs/>
                <w:color w:val="auto"/>
                <w:sz w:val="21"/>
                <w:szCs w:val="21"/>
                <w:u w:val="single"/>
                <w:lang w:val="en-US" w:eastAsia="zh-CN"/>
              </w:rPr>
              <w:t>2011-2025</w:t>
            </w:r>
            <w:r>
              <w:rPr>
                <w:rFonts w:hint="eastAsia"/>
                <w:b/>
                <w:bCs/>
                <w:color w:val="auto"/>
                <w:sz w:val="21"/>
                <w:szCs w:val="21"/>
                <w:u w:val="single"/>
                <w:lang w:eastAsia="zh-CN"/>
              </w:rPr>
              <w:t>）》</w:t>
            </w:r>
          </w:p>
        </w:tc>
        <w:tc>
          <w:tcPr>
            <w:tcW w:w="7422" w:type="dxa"/>
            <w:noWrap w:val="0"/>
            <w:vAlign w:val="top"/>
          </w:tcPr>
          <w:p>
            <w:pPr>
              <w:spacing w:line="390" w:lineRule="exact"/>
              <w:ind w:left="0" w:leftChars="0" w:firstLine="0" w:firstLineChars="0"/>
              <w:jc w:val="both"/>
              <w:rPr>
                <w:rFonts w:hint="eastAsia" w:ascii="宋体" w:hAnsi="宋体"/>
                <w:color w:val="auto"/>
                <w:sz w:val="21"/>
                <w:szCs w:val="21"/>
                <w:u w:val="single"/>
              </w:rPr>
            </w:pPr>
            <w:r>
              <w:rPr>
                <w:rFonts w:hint="eastAsia" w:ascii="宋体" w:hAnsi="宋体"/>
                <w:color w:val="auto"/>
                <w:sz w:val="21"/>
                <w:szCs w:val="21"/>
                <w:u w:val="single"/>
                <w:lang w:eastAsia="zh-CN"/>
              </w:rPr>
              <w:t>外围保护区</w:t>
            </w:r>
            <w:r>
              <w:rPr>
                <w:rFonts w:hint="eastAsia" w:ascii="宋体" w:hAnsi="宋体"/>
                <w:color w:val="auto"/>
                <w:sz w:val="21"/>
                <w:szCs w:val="21"/>
                <w:u w:val="single"/>
              </w:rPr>
              <w:t>指在风景区范围以外，以河流、道路、山脊线为界划定的风景协调区域，总面积约230平方公里。重点保护整体景观风貌与生态环境不受破坏，具体措施如下：</w:t>
            </w:r>
          </w:p>
          <w:p>
            <w:pPr>
              <w:spacing w:line="390" w:lineRule="exact"/>
              <w:ind w:left="0" w:leftChars="0" w:firstLine="0" w:firstLineChars="0"/>
              <w:jc w:val="both"/>
              <w:rPr>
                <w:rFonts w:hint="eastAsia"/>
                <w:color w:val="auto"/>
                <w:sz w:val="21"/>
                <w:szCs w:val="21"/>
                <w:u w:val="single"/>
                <w:lang w:val="en-US" w:eastAsia="zh-CN"/>
              </w:rPr>
            </w:pPr>
            <w:r>
              <w:rPr>
                <w:rFonts w:hint="eastAsia" w:ascii="宋体" w:hAnsi="宋体"/>
                <w:color w:val="auto"/>
                <w:sz w:val="21"/>
                <w:szCs w:val="21"/>
                <w:u w:val="single"/>
              </w:rPr>
              <w:t>禁止建设影响景观和污染环境的工厂等设施项目，科学论证乡镇、村落等大型建设基地的选址，并在体量、色彩、形式等方面提出建筑风貌控制要求，整体风貌须与风景区景观风貌相协调。禁止开山采石，限制砍伐树木，保护自然山体，培育水源林;禁止下河挖沙，保护自然水体。</w:t>
            </w:r>
          </w:p>
        </w:tc>
        <w:tc>
          <w:tcPr>
            <w:tcW w:w="4427" w:type="dxa"/>
            <w:noWrap w:val="0"/>
            <w:vAlign w:val="center"/>
          </w:tcPr>
          <w:p>
            <w:pPr>
              <w:pStyle w:val="120"/>
              <w:numPr>
                <w:ilvl w:val="0"/>
                <w:numId w:val="0"/>
              </w:numPr>
              <w:bidi w:val="0"/>
              <w:jc w:val="both"/>
              <w:rPr>
                <w:rFonts w:hint="default"/>
                <w:color w:val="auto"/>
                <w:sz w:val="21"/>
                <w:szCs w:val="21"/>
                <w:u w:val="single"/>
                <w:lang w:val="en-US" w:eastAsia="zh-CN"/>
              </w:rPr>
            </w:pPr>
            <w:r>
              <w:rPr>
                <w:rFonts w:hint="eastAsia"/>
                <w:color w:val="auto"/>
                <w:sz w:val="21"/>
                <w:szCs w:val="21"/>
                <w:u w:val="single"/>
                <w:lang w:val="en-US" w:eastAsia="zh-CN"/>
              </w:rPr>
              <w:t>本项目部分排污管道（约150m）及排污口位于猛洞河国家级风景名胜区外围保护区，项目建成后排污管道深埋于地下，且排污口位于水下，与周边景观不冲突。项目建成后，区域内地表水环境向趋好的方向发展。本项目属于污水处理行业，不属于猛洞河国家级风景名胜区外围保护区的禁止建设项目。</w:t>
            </w:r>
          </w:p>
        </w:tc>
        <w:tc>
          <w:tcPr>
            <w:tcW w:w="1346" w:type="dxa"/>
            <w:noWrap w:val="0"/>
            <w:vAlign w:val="center"/>
          </w:tcPr>
          <w:p>
            <w:pPr>
              <w:pStyle w:val="120"/>
              <w:bidi w:val="0"/>
              <w:jc w:val="center"/>
              <w:rPr>
                <w:rFonts w:hint="eastAsia"/>
                <w:color w:val="auto"/>
                <w:sz w:val="21"/>
                <w:szCs w:val="21"/>
                <w:u w:val="single"/>
                <w:lang w:val="en-US" w:eastAsia="zh-CN"/>
              </w:rPr>
            </w:pPr>
            <w:r>
              <w:rPr>
                <w:rFonts w:hint="eastAsia"/>
                <w:color w:val="auto"/>
                <w:sz w:val="21"/>
                <w:szCs w:val="21"/>
                <w:u w:val="singl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2203" w:type="dxa"/>
            <w:noWrap w:val="0"/>
            <w:vAlign w:val="center"/>
          </w:tcPr>
          <w:p>
            <w:pPr>
              <w:pStyle w:val="120"/>
              <w:bidi w:val="0"/>
              <w:jc w:val="center"/>
              <w:rPr>
                <w:rFonts w:hint="eastAsia"/>
                <w:color w:val="auto"/>
                <w:sz w:val="21"/>
                <w:szCs w:val="21"/>
                <w:u w:val="single"/>
                <w:lang w:val="en-US" w:eastAsia="zh-CN"/>
              </w:rPr>
            </w:pPr>
            <w:r>
              <w:rPr>
                <w:rFonts w:hint="eastAsia"/>
                <w:b/>
                <w:bCs/>
                <w:color w:val="auto"/>
                <w:sz w:val="21"/>
                <w:szCs w:val="21"/>
                <w:u w:val="single"/>
                <w:lang w:eastAsia="zh-CN"/>
              </w:rPr>
              <w:t>《风景名胜区条例》 （国务院令第474号）</w:t>
            </w:r>
          </w:p>
        </w:tc>
        <w:tc>
          <w:tcPr>
            <w:tcW w:w="7422" w:type="dxa"/>
            <w:noWrap w:val="0"/>
            <w:vAlign w:val="top"/>
          </w:tcPr>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第二十六条在风景名 胜区内禁止进行下列活动：</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(一)开山、采石、开矿、开荒、修坟立碑等破坏景观、植被和地形地貌的活动；</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(二)修建储存爆炸性、易燃性、放射性、毒害性、腐蚀性物品的设施；</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(三)在景物或者设施上刻划、涂污；</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(四)乱扔垃圾。</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第二十七条禁止违反风景名胜区规划，在风景名胜区内设立各类开发区和在核心景区内建设宾馆、招待所、培训中心、疗养院以及与风景名胜资源保护无关的其他建筑物；已经建设的，应当按照风景名胜区规划，逐步迁出。</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第二十八条在风景名胜区内从事本条例第二十六条、 第二十七条禁止范围以外的建设活动，应当经风景名胜区管理机构审核后，依照有关法律、法规的规定办理审批手续。在国家级风景名胜区内修建缆车、索道等重大建设工程，项目的选址方案应当报省、自治区人民政府建设主管部门和直辖市人民政府风景名胜区主管部门核准。</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第二十九条在风景名胜区内进行下列活动，应当经风景名胜区管理机构审核后，依照有关法律、法规的规定报有关主管部门批准：</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(一)设置、张贴商业广告；</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(二)举办大型游乐等活动；</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 xml:space="preserve">(三)改变水资源、水环境自然状态的活动； </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(四)其他影响生态和景观的活动。</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第三十条风景名胜区内的建设项目 应当符合风景名胜区规划，并与景观相协调，不得破坏景观、污染环境、妨碍游览。在风景名胜区内进行建设活动的，建设单位、施工单位应当制定污染防治和水土保持方案，并采取有效措施，保护好周围景物、水体、林草植被、野生动物资源和地形地貌。</w:t>
            </w:r>
          </w:p>
        </w:tc>
        <w:tc>
          <w:tcPr>
            <w:tcW w:w="4427" w:type="dxa"/>
            <w:noWrap w:val="0"/>
            <w:vAlign w:val="center"/>
          </w:tcPr>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本项目仅有一段排污管道（约150m）及排污口位于猛洞河国家级风景名胜区外围保护区，建成后排污管道深埋于地下，排污口也在水下，不会与周围景观冲突。本项目废水执行</w:t>
            </w:r>
            <w:r>
              <w:rPr>
                <w:rFonts w:hint="eastAsia"/>
                <w:color w:val="auto"/>
                <w:sz w:val="21"/>
                <w:szCs w:val="21"/>
                <w:u w:val="single"/>
              </w:rPr>
              <w:t>《城镇污水处理厂污染物排放标准》中一级A标</w:t>
            </w:r>
            <w:r>
              <w:rPr>
                <w:rFonts w:hint="eastAsia"/>
                <w:color w:val="auto"/>
                <w:sz w:val="21"/>
                <w:szCs w:val="21"/>
                <w:u w:val="single"/>
                <w:lang w:eastAsia="zh-CN"/>
              </w:rPr>
              <w:t>准。固废与危废均委托第三方公司处理，不随意乱排，施工结束场内进行绿化。</w:t>
            </w:r>
            <w:r>
              <w:rPr>
                <w:rFonts w:hint="eastAsia"/>
                <w:color w:val="auto"/>
                <w:sz w:val="21"/>
                <w:szCs w:val="21"/>
                <w:u w:val="single"/>
                <w:lang w:val="en-US" w:eastAsia="zh-CN"/>
              </w:rPr>
              <w:t>本项目属于水处理项目，不属于《国家级森林公园管理条例》（2017）中的禁止事项。</w:t>
            </w:r>
          </w:p>
        </w:tc>
        <w:tc>
          <w:tcPr>
            <w:tcW w:w="1346" w:type="dxa"/>
            <w:noWrap w:val="0"/>
            <w:vAlign w:val="center"/>
          </w:tcPr>
          <w:p>
            <w:pPr>
              <w:pStyle w:val="120"/>
              <w:bidi w:val="0"/>
              <w:jc w:val="center"/>
              <w:rPr>
                <w:rFonts w:hint="eastAsia"/>
                <w:color w:val="auto"/>
                <w:sz w:val="21"/>
                <w:szCs w:val="21"/>
                <w:u w:val="single"/>
                <w:lang w:val="en-US" w:eastAsia="zh-CN"/>
              </w:rPr>
            </w:pPr>
            <w:r>
              <w:rPr>
                <w:rFonts w:hint="eastAsia"/>
                <w:color w:val="auto"/>
                <w:sz w:val="21"/>
                <w:szCs w:val="21"/>
                <w:u w:val="singl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2203" w:type="dxa"/>
            <w:noWrap w:val="0"/>
            <w:vAlign w:val="center"/>
          </w:tcPr>
          <w:p>
            <w:pPr>
              <w:pStyle w:val="120"/>
              <w:bidi w:val="0"/>
              <w:jc w:val="center"/>
              <w:rPr>
                <w:rFonts w:hint="eastAsia"/>
                <w:color w:val="auto"/>
                <w:sz w:val="21"/>
                <w:szCs w:val="21"/>
                <w:u w:val="single"/>
                <w:lang w:val="en-US" w:eastAsia="zh-CN"/>
              </w:rPr>
            </w:pPr>
            <w:r>
              <w:rPr>
                <w:rFonts w:hint="eastAsia"/>
                <w:b/>
                <w:bCs/>
                <w:color w:val="auto"/>
                <w:sz w:val="21"/>
                <w:szCs w:val="21"/>
                <w:u w:val="single"/>
                <w:lang w:eastAsia="zh-CN"/>
              </w:rPr>
              <w:t>《湖南省风景名胜区管理条例》 （湘建城[2002]76号）</w:t>
            </w:r>
          </w:p>
        </w:tc>
        <w:tc>
          <w:tcPr>
            <w:tcW w:w="7422" w:type="dxa"/>
            <w:noWrap w:val="0"/>
            <w:vAlign w:val="top"/>
          </w:tcPr>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第三章建设与保护</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第十二条：风景名胜区内的建设必须符合规划要求，严格按照有关规定履行审批手续。建设项目的布局和建筑物的造型、风格、体量等须与周围景物和环境相协调，避免风景名胜区人工化和城市化。禁止在风景名胜区及其外围保护地带内修建破坏景观、污染环境、妨碍游览的工程项目。禁止在风景名胜区的景区内设立开发区、度假区。</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第十三条：在风景名胜区内进行公路、索道、缆车、大型文化体育游乐设施、风景名胜区的徽志建筑以及省建设行政管理部门认定的其他重大项目建设，其选址和设计方案的审批程序按照国家有关规定执行。在风景名胜区内进行前款规定以外的其他项目建设，其选址和设计方案的审批程序由省建设行政管理部门规定。</w:t>
            </w:r>
          </w:p>
          <w:p>
            <w:pPr>
              <w:pStyle w:val="120"/>
              <w:bidi w:val="0"/>
              <w:jc w:val="both"/>
              <w:rPr>
                <w:rFonts w:hint="eastAsia"/>
                <w:color w:val="auto"/>
                <w:sz w:val="21"/>
                <w:szCs w:val="21"/>
                <w:u w:val="single"/>
                <w:lang w:val="en-US" w:eastAsia="zh-CN"/>
              </w:rPr>
            </w:pPr>
            <w:r>
              <w:rPr>
                <w:rFonts w:hint="eastAsia"/>
                <w:color w:val="auto"/>
                <w:sz w:val="21"/>
                <w:szCs w:val="21"/>
                <w:u w:val="single"/>
                <w:lang w:val="en-US" w:eastAsia="zh-CN"/>
              </w:rPr>
              <w:t>第十四条：在风景名胜区内进行建设活动，施工单位必须采取有效措施，保护周围的景物、植被、水体和地貌；工程竣工后，应当及时清理施工现场，恢复植被。</w:t>
            </w:r>
          </w:p>
        </w:tc>
        <w:tc>
          <w:tcPr>
            <w:tcW w:w="4427" w:type="dxa"/>
            <w:noWrap w:val="0"/>
            <w:vAlign w:val="center"/>
          </w:tcPr>
          <w:p>
            <w:pPr>
              <w:pStyle w:val="120"/>
              <w:numPr>
                <w:ilvl w:val="0"/>
                <w:numId w:val="4"/>
              </w:numPr>
              <w:bidi w:val="0"/>
              <w:jc w:val="both"/>
              <w:rPr>
                <w:rFonts w:hint="eastAsia"/>
                <w:color w:val="auto"/>
                <w:sz w:val="21"/>
                <w:szCs w:val="21"/>
                <w:u w:val="single"/>
                <w:lang w:val="en-US" w:eastAsia="zh-CN"/>
              </w:rPr>
            </w:pPr>
            <w:r>
              <w:rPr>
                <w:rFonts w:hint="eastAsia"/>
                <w:color w:val="auto"/>
                <w:sz w:val="21"/>
                <w:szCs w:val="21"/>
                <w:u w:val="single"/>
                <w:lang w:val="en-US" w:eastAsia="zh-CN"/>
              </w:rPr>
              <w:t>本项目仅有一段排污管道（约150m）及排污口位于猛洞河国家级风景名胜区外围保护区，建成后排污管道深埋于地下，排污口也在水下，不对与周围景观冲突。项目建成后，区域内地表水环境向趋好的方向发展。</w:t>
            </w:r>
          </w:p>
          <w:p>
            <w:pPr>
              <w:pStyle w:val="120"/>
              <w:numPr>
                <w:ilvl w:val="0"/>
                <w:numId w:val="4"/>
              </w:numPr>
              <w:bidi w:val="0"/>
              <w:jc w:val="both"/>
              <w:rPr>
                <w:rFonts w:hint="eastAsia"/>
                <w:color w:val="auto"/>
                <w:sz w:val="21"/>
                <w:szCs w:val="21"/>
                <w:u w:val="single"/>
                <w:lang w:val="en-US" w:eastAsia="zh-CN"/>
              </w:rPr>
            </w:pPr>
            <w:r>
              <w:rPr>
                <w:rFonts w:hint="eastAsia"/>
                <w:color w:val="auto"/>
                <w:sz w:val="21"/>
                <w:szCs w:val="21"/>
                <w:u w:val="single"/>
                <w:lang w:val="en-US" w:eastAsia="zh-CN"/>
              </w:rPr>
              <w:t>项目施工期不占用红线外地块，施工单位按照环评提出的施工期环境保护措施进行建设，项目竣工后场内进行道路硬化及地块绿化。</w:t>
            </w:r>
          </w:p>
        </w:tc>
        <w:tc>
          <w:tcPr>
            <w:tcW w:w="1346" w:type="dxa"/>
            <w:noWrap w:val="0"/>
            <w:vAlign w:val="center"/>
          </w:tcPr>
          <w:p>
            <w:pPr>
              <w:pStyle w:val="120"/>
              <w:bidi w:val="0"/>
              <w:jc w:val="center"/>
              <w:rPr>
                <w:rFonts w:hint="eastAsia"/>
                <w:color w:val="auto"/>
                <w:sz w:val="21"/>
                <w:szCs w:val="21"/>
                <w:u w:val="single"/>
                <w:lang w:val="en-US" w:eastAsia="zh-CN"/>
              </w:rPr>
            </w:pPr>
            <w:r>
              <w:rPr>
                <w:rFonts w:hint="eastAsia"/>
                <w:color w:val="auto"/>
                <w:sz w:val="21"/>
                <w:szCs w:val="21"/>
                <w:u w:val="single"/>
                <w:lang w:val="en-US" w:eastAsia="zh-CN"/>
              </w:rPr>
              <w:t>符合</w:t>
            </w:r>
          </w:p>
        </w:tc>
      </w:tr>
    </w:tbl>
    <w:p>
      <w:pPr>
        <w:bidi w:val="0"/>
        <w:jc w:val="both"/>
        <w:rPr>
          <w:rFonts w:hint="default" w:eastAsia="宋体"/>
          <w:lang w:val="en-US" w:eastAsia="zh-CN"/>
        </w:rPr>
      </w:pPr>
      <w:r>
        <w:rPr>
          <w:rFonts w:hint="eastAsia" w:ascii="宋体" w:hAnsi="宋体" w:eastAsia="宋体" w:cs="宋体"/>
          <w:color w:val="auto"/>
          <w:szCs w:val="28"/>
          <w:u w:val="single"/>
        </w:rPr>
        <w:t>综上分析，</w:t>
      </w:r>
      <w:r>
        <w:rPr>
          <w:rFonts w:hint="eastAsia" w:ascii="宋体" w:hAnsi="宋体" w:eastAsia="宋体" w:cs="宋体"/>
          <w:color w:val="auto"/>
          <w:szCs w:val="28"/>
          <w:u w:val="single"/>
          <w:lang w:eastAsia="zh-CN"/>
        </w:rPr>
        <w:t>本项</w:t>
      </w:r>
      <w:r>
        <w:rPr>
          <w:rFonts w:hint="default" w:ascii="Times New Roman" w:hAnsi="Times New Roman" w:eastAsia="宋体" w:cs="Times New Roman"/>
          <w:color w:val="auto"/>
          <w:szCs w:val="28"/>
          <w:u w:val="single"/>
          <w:lang w:eastAsia="zh-CN"/>
        </w:rPr>
        <w:t>目部分管道（约</w:t>
      </w:r>
      <w:r>
        <w:rPr>
          <w:rFonts w:hint="default" w:ascii="Times New Roman" w:hAnsi="Times New Roman" w:eastAsia="宋体" w:cs="Times New Roman"/>
          <w:color w:val="auto"/>
          <w:szCs w:val="28"/>
          <w:u w:val="single"/>
          <w:lang w:val="en-US" w:eastAsia="zh-CN"/>
        </w:rPr>
        <w:t>150m</w:t>
      </w:r>
      <w:r>
        <w:rPr>
          <w:rFonts w:hint="default" w:ascii="Times New Roman" w:hAnsi="Times New Roman" w:eastAsia="宋体" w:cs="Times New Roman"/>
          <w:color w:val="auto"/>
          <w:szCs w:val="28"/>
          <w:u w:val="single"/>
          <w:lang w:eastAsia="zh-CN"/>
        </w:rPr>
        <w:t>）及排污口位</w:t>
      </w:r>
      <w:r>
        <w:rPr>
          <w:rFonts w:hint="eastAsia" w:ascii="宋体" w:hAnsi="宋体" w:eastAsia="宋体" w:cs="宋体"/>
          <w:color w:val="auto"/>
          <w:szCs w:val="28"/>
          <w:u w:val="single"/>
          <w:lang w:eastAsia="zh-CN"/>
        </w:rPr>
        <w:t>于猛洞河国家级风景名胜区外围保护区，根据</w:t>
      </w:r>
      <w:r>
        <w:rPr>
          <w:rFonts w:hint="eastAsia" w:ascii="宋体" w:hAnsi="宋体" w:eastAsia="宋体" w:cs="宋体"/>
          <w:color w:val="auto"/>
          <w:szCs w:val="28"/>
          <w:u w:val="single"/>
        </w:rPr>
        <w:t>《猛洞河风国家级风景名胜区总体规划》</w:t>
      </w:r>
      <w:r>
        <w:rPr>
          <w:rFonts w:hint="eastAsia" w:ascii="宋体" w:hAnsi="宋体" w:eastAsia="宋体" w:cs="宋体"/>
          <w:color w:val="auto"/>
          <w:szCs w:val="28"/>
          <w:u w:val="single"/>
          <w:lang w:eastAsia="zh-CN"/>
        </w:rPr>
        <w:t>，外围保护区不属于风景名胜区范围，</w:t>
      </w:r>
      <w:r>
        <w:rPr>
          <w:rFonts w:hint="eastAsia" w:ascii="宋体" w:hAnsi="宋体"/>
          <w:color w:val="auto"/>
          <w:sz w:val="24"/>
          <w:u w:val="single"/>
        </w:rPr>
        <w:t>重点保护整体景观风貌与生态环境不受破坏</w:t>
      </w:r>
      <w:r>
        <w:rPr>
          <w:rFonts w:hint="eastAsia" w:ascii="宋体" w:hAnsi="宋体"/>
          <w:color w:val="auto"/>
          <w:sz w:val="24"/>
          <w:u w:val="single"/>
          <w:lang w:eastAsia="zh-CN"/>
        </w:rPr>
        <w:t>。经分析，本项目</w:t>
      </w:r>
      <w:r>
        <w:rPr>
          <w:rFonts w:hint="eastAsia" w:ascii="宋体" w:hAnsi="宋体" w:eastAsia="宋体" w:cs="宋体"/>
          <w:color w:val="auto"/>
          <w:szCs w:val="28"/>
          <w:u w:val="single"/>
          <w:lang w:eastAsia="zh-CN"/>
        </w:rPr>
        <w:t>的用地与和产业布置</w:t>
      </w:r>
      <w:r>
        <w:rPr>
          <w:rFonts w:hint="eastAsia" w:ascii="宋体" w:hAnsi="宋体" w:eastAsia="宋体" w:cs="宋体"/>
          <w:color w:val="auto"/>
          <w:szCs w:val="28"/>
          <w:u w:val="single"/>
        </w:rPr>
        <w:t>规划</w:t>
      </w:r>
      <w:r>
        <w:rPr>
          <w:rFonts w:hint="eastAsia" w:ascii="宋体" w:hAnsi="宋体" w:eastAsia="宋体" w:cs="宋体"/>
          <w:color w:val="auto"/>
          <w:szCs w:val="28"/>
          <w:u w:val="single"/>
          <w:lang w:eastAsia="zh-CN"/>
        </w:rPr>
        <w:t>符合国家</w:t>
      </w:r>
      <w:r>
        <w:rPr>
          <w:rFonts w:hint="eastAsia" w:ascii="宋体" w:hAnsi="宋体" w:eastAsia="宋体" w:cs="宋体"/>
          <w:color w:val="auto"/>
          <w:szCs w:val="28"/>
          <w:u w:val="single"/>
        </w:rPr>
        <w:t>《风景名胜区条例》</w:t>
      </w:r>
      <w:r>
        <w:rPr>
          <w:rFonts w:hint="eastAsia" w:ascii="宋体" w:hAnsi="宋体" w:eastAsia="宋体" w:cs="宋体"/>
          <w:color w:val="auto"/>
          <w:szCs w:val="28"/>
          <w:u w:val="single"/>
          <w:lang w:eastAsia="zh-CN"/>
        </w:rPr>
        <w:t>、《湖南省风景名胜区管理条例》及《</w:t>
      </w:r>
      <w:r>
        <w:rPr>
          <w:rFonts w:hint="eastAsia" w:ascii="宋体" w:hAnsi="宋体" w:eastAsia="宋体" w:cs="宋体"/>
          <w:color w:val="auto"/>
          <w:szCs w:val="28"/>
          <w:u w:val="single"/>
        </w:rPr>
        <w:t>猛洞河</w:t>
      </w:r>
      <w:r>
        <w:rPr>
          <w:rFonts w:hint="default" w:ascii="Times New Roman" w:hAnsi="Times New Roman" w:eastAsia="宋体" w:cs="Times New Roman"/>
          <w:color w:val="auto"/>
          <w:szCs w:val="28"/>
          <w:u w:val="single"/>
        </w:rPr>
        <w:t>风景名胜区总体规划</w:t>
      </w:r>
      <w:r>
        <w:rPr>
          <w:rFonts w:hint="default" w:ascii="Times New Roman" w:hAnsi="Times New Roman" w:eastAsia="宋体" w:cs="Times New Roman"/>
          <w:color w:val="auto"/>
          <w:szCs w:val="28"/>
          <w:u w:val="single"/>
          <w:lang w:eastAsia="zh-CN"/>
        </w:rPr>
        <w:t>》的管控</w:t>
      </w:r>
      <w:r>
        <w:rPr>
          <w:rFonts w:hint="default" w:ascii="Times New Roman" w:hAnsi="Times New Roman" w:eastAsia="宋体" w:cs="Times New Roman"/>
          <w:color w:val="auto"/>
          <w:szCs w:val="28"/>
          <w:u w:val="single"/>
        </w:rPr>
        <w:t>要求</w:t>
      </w:r>
      <w:r>
        <w:rPr>
          <w:rFonts w:hint="default" w:ascii="Times New Roman" w:hAnsi="Times New Roman" w:eastAsia="宋体" w:cs="Times New Roman"/>
          <w:color w:val="auto"/>
          <w:szCs w:val="28"/>
          <w:u w:val="single"/>
          <w:lang w:eastAsia="zh-CN"/>
        </w:rPr>
        <w:t>，与《</w:t>
      </w:r>
      <w:r>
        <w:rPr>
          <w:rFonts w:hint="default" w:ascii="Times New Roman" w:hAnsi="Times New Roman" w:eastAsia="宋体" w:cs="Times New Roman"/>
          <w:color w:val="auto"/>
          <w:szCs w:val="28"/>
          <w:u w:val="single"/>
        </w:rPr>
        <w:t>猛洞河风景名胜区总体规划</w:t>
      </w:r>
      <w:r>
        <w:rPr>
          <w:rFonts w:hint="default" w:ascii="Times New Roman" w:hAnsi="Times New Roman" w:eastAsia="宋体" w:cs="Times New Roman"/>
          <w:color w:val="auto"/>
          <w:szCs w:val="28"/>
          <w:u w:val="single"/>
          <w:lang w:eastAsia="zh-CN"/>
        </w:rPr>
        <w:t>》无冲突</w:t>
      </w:r>
      <w:r>
        <w:rPr>
          <w:rFonts w:hint="default" w:ascii="Times New Roman" w:hAnsi="Times New Roman" w:eastAsia="宋体" w:cs="Times New Roman"/>
          <w:color w:val="auto"/>
          <w:szCs w:val="28"/>
          <w:u w:val="single"/>
        </w:rPr>
        <w:t>。</w:t>
      </w:r>
      <w:r>
        <w:rPr>
          <w:rFonts w:hint="default" w:ascii="Times New Roman" w:hAnsi="Times New Roman" w:eastAsia="宋体" w:cs="Times New Roman"/>
          <w:color w:val="auto"/>
          <w:szCs w:val="28"/>
          <w:u w:val="single"/>
          <w:lang w:eastAsia="zh-CN"/>
        </w:rPr>
        <w:t>且已取得猛洞河风景名胜区管理处同意本项目建设的意见，详见附件</w:t>
      </w:r>
      <w:r>
        <w:rPr>
          <w:rFonts w:hint="default" w:ascii="Times New Roman" w:hAnsi="Times New Roman" w:eastAsia="宋体" w:cs="Times New Roman"/>
          <w:color w:val="auto"/>
          <w:szCs w:val="28"/>
          <w:u w:val="single"/>
          <w:lang w:val="en-US" w:eastAsia="zh-CN"/>
        </w:rPr>
        <w:t>7。</w:t>
      </w:r>
    </w:p>
    <w:p>
      <w:pPr>
        <w:bidi w:val="0"/>
        <w:jc w:val="both"/>
        <w:rPr>
          <w:rFonts w:hint="eastAsia"/>
          <w:lang w:val="en-US" w:eastAsia="zh-CN"/>
        </w:rPr>
        <w:sectPr>
          <w:pgSz w:w="16838" w:h="11906" w:orient="landscape"/>
          <w:pgMar w:top="850" w:right="850" w:bottom="850" w:left="850" w:header="851" w:footer="992" w:gutter="0"/>
          <w:pgBorders w:offsetFrom="page">
            <w:top w:val="none" w:sz="0" w:space="0"/>
            <w:left w:val="none" w:sz="0" w:space="0"/>
            <w:bottom w:val="none" w:sz="0" w:space="0"/>
            <w:right w:val="none" w:sz="0" w:space="0"/>
          </w:pgBorders>
          <w:cols w:space="720" w:num="1"/>
          <w:docGrid w:type="lines" w:linePitch="326" w:charSpace="0"/>
        </w:sectPr>
      </w:pPr>
    </w:p>
    <w:p>
      <w:pPr>
        <w:pStyle w:val="3"/>
        <w:keepNext w:val="0"/>
        <w:keepLines w:val="0"/>
        <w:pageBreakBefore w:val="0"/>
        <w:widowControl/>
        <w:kinsoku/>
        <w:wordWrap/>
        <w:overflowPunct/>
        <w:topLinePunct w:val="0"/>
        <w:autoSpaceDE w:val="0"/>
        <w:autoSpaceDN w:val="0"/>
        <w:bidi w:val="0"/>
        <w:adjustRightInd/>
        <w:snapToGrid/>
        <w:ind w:left="0" w:leftChars="0" w:firstLine="482" w:firstLineChars="200"/>
        <w:jc w:val="both"/>
        <w:textAlignment w:val="auto"/>
        <w:rPr>
          <w:rFonts w:hint="eastAsia" w:ascii="宋体" w:hAnsi="宋体" w:eastAsia="宋体" w:cs="宋体"/>
          <w:b/>
          <w:bCs w:val="0"/>
          <w:color w:val="auto"/>
          <w:sz w:val="24"/>
          <w:u w:val="single"/>
          <w:lang w:eastAsia="zh-CN"/>
        </w:rPr>
      </w:pPr>
      <w:r>
        <w:rPr>
          <w:rFonts w:hint="eastAsia" w:cs="宋体"/>
          <w:b/>
          <w:bCs w:val="0"/>
          <w:color w:val="auto"/>
          <w:kern w:val="0"/>
          <w:u w:val="single"/>
          <w:lang w:val="en-US" w:eastAsia="zh-CN"/>
        </w:rPr>
        <w:t>3）本项目</w:t>
      </w:r>
      <w:r>
        <w:rPr>
          <w:rFonts w:hint="eastAsia" w:cs="宋体"/>
          <w:b/>
          <w:bCs w:val="0"/>
          <w:color w:val="auto"/>
          <w:kern w:val="0"/>
          <w:u w:val="single"/>
          <w:lang w:eastAsia="zh-CN"/>
        </w:rPr>
        <w:t>与</w:t>
      </w:r>
      <w:r>
        <w:rPr>
          <w:rFonts w:hint="eastAsia" w:ascii="宋体" w:hAnsi="宋体" w:eastAsia="宋体" w:cs="宋体"/>
          <w:b/>
          <w:bCs w:val="0"/>
          <w:color w:val="auto"/>
          <w:sz w:val="24"/>
          <w:u w:val="single"/>
        </w:rPr>
        <w:t>永顺猛洞河地质公园</w:t>
      </w:r>
      <w:r>
        <w:rPr>
          <w:rFonts w:hint="eastAsia" w:eastAsia="宋体" w:cs="宋体"/>
          <w:b/>
          <w:bCs w:val="0"/>
          <w:color w:val="auto"/>
          <w:sz w:val="24"/>
          <w:u w:val="single"/>
          <w:lang w:eastAsia="zh-CN"/>
        </w:rPr>
        <w:t>位置关系</w:t>
      </w:r>
    </w:p>
    <w:p>
      <w:pPr>
        <w:widowControl/>
        <w:adjustRightInd w:val="0"/>
        <w:snapToGrid w:val="0"/>
        <w:spacing w:line="360" w:lineRule="auto"/>
        <w:jc w:val="left"/>
        <w:rPr>
          <w:rFonts w:hint="eastAsia" w:ascii="宋体" w:hAnsi="宋体" w:eastAsia="宋体" w:cs="宋体"/>
          <w:b/>
          <w:bCs/>
          <w:color w:val="auto"/>
          <w:spacing w:val="6"/>
          <w:u w:val="single"/>
        </w:rPr>
      </w:pPr>
      <w:r>
        <w:rPr>
          <w:rFonts w:hint="eastAsia" w:ascii="宋体" w:hAnsi="宋体" w:eastAsia="宋体" w:cs="宋体"/>
          <w:b/>
          <w:bCs/>
          <w:color w:val="auto"/>
          <w:spacing w:val="6"/>
          <w:u w:val="single"/>
          <w:lang w:eastAsia="zh-CN"/>
        </w:rPr>
        <w:t>①</w:t>
      </w:r>
      <w:r>
        <w:rPr>
          <w:rFonts w:hint="eastAsia" w:ascii="宋体" w:hAnsi="宋体" w:eastAsia="宋体" w:cs="宋体"/>
          <w:b/>
          <w:bCs/>
          <w:color w:val="auto"/>
          <w:spacing w:val="6"/>
          <w:u w:val="single"/>
        </w:rPr>
        <w:t>《永顺猛洞河地质公园总体规划》规划概况</w:t>
      </w:r>
    </w:p>
    <w:p>
      <w:pPr>
        <w:adjustRightInd w:val="0"/>
        <w:snapToGrid w:val="0"/>
        <w:spacing w:line="360" w:lineRule="auto"/>
        <w:ind w:firstLine="482" w:firstLineChars="200"/>
        <w:jc w:val="both"/>
        <w:rPr>
          <w:rFonts w:hint="default" w:ascii="Times New Roman" w:hAnsi="Times New Roman" w:eastAsia="宋体" w:cs="Times New Roman"/>
          <w:color w:val="auto"/>
          <w:u w:val="single"/>
        </w:rPr>
      </w:pPr>
      <w:r>
        <w:rPr>
          <w:rFonts w:hint="default" w:ascii="Times New Roman" w:hAnsi="Times New Roman" w:eastAsia="宋体" w:cs="Times New Roman"/>
          <w:b/>
          <w:color w:val="auto"/>
          <w:u w:val="single"/>
        </w:rPr>
        <w:t>规划时段：</w:t>
      </w:r>
      <w:r>
        <w:rPr>
          <w:rFonts w:hint="default" w:ascii="Times New Roman" w:hAnsi="Times New Roman" w:eastAsia="宋体" w:cs="Times New Roman"/>
          <w:color w:val="auto"/>
          <w:u w:val="single"/>
        </w:rPr>
        <w:t>近期 2014-2015年，中期 2016-2020年，远期 2021-2025年。</w:t>
      </w:r>
    </w:p>
    <w:p>
      <w:pPr>
        <w:adjustRightInd w:val="0"/>
        <w:snapToGrid w:val="0"/>
        <w:spacing w:line="360" w:lineRule="auto"/>
        <w:ind w:firstLine="482" w:firstLineChars="200"/>
        <w:jc w:val="both"/>
        <w:rPr>
          <w:rFonts w:hint="default" w:ascii="Times New Roman" w:hAnsi="Times New Roman" w:eastAsia="宋体" w:cs="Times New Roman"/>
          <w:color w:val="auto"/>
          <w:szCs w:val="28"/>
          <w:u w:val="single"/>
        </w:rPr>
      </w:pPr>
      <w:r>
        <w:rPr>
          <w:rFonts w:hint="default" w:ascii="Times New Roman" w:hAnsi="Times New Roman" w:eastAsia="宋体" w:cs="Times New Roman"/>
          <w:b/>
          <w:color w:val="auto"/>
          <w:u w:val="single"/>
        </w:rPr>
        <w:t>公园性质：</w:t>
      </w:r>
      <w:r>
        <w:rPr>
          <w:rFonts w:hint="default" w:ascii="Times New Roman" w:hAnsi="Times New Roman" w:eastAsia="宋体" w:cs="Times New Roman"/>
          <w:color w:val="auto"/>
          <w:u w:val="single"/>
        </w:rPr>
        <w:t>是一家以可溶岩地貌、构造形迹、地层剖面、流水侵蚀地貌景观及古无脊椎动物化石等地质遗迹景观为主，风景河段和瀑布景观为辅，集优美自然景观和丰富人文景观于一体的综合型地质公园</w:t>
      </w:r>
    </w:p>
    <w:p>
      <w:pPr>
        <w:snapToGrid w:val="0"/>
        <w:spacing w:line="360" w:lineRule="auto"/>
        <w:ind w:firstLine="480" w:firstLineChars="200"/>
        <w:jc w:val="both"/>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规划范围：西北至灵溪镇不二门、东北至吊井乡、南抵芙蓉镇观音阁、西至列夕乡龙溪，东至灵溪镇司城村洞泽水电站，面积146.8km</w:t>
      </w:r>
      <w:r>
        <w:rPr>
          <w:rFonts w:hint="default" w:ascii="Times New Roman" w:hAnsi="Times New Roman" w:eastAsia="宋体" w:cs="Times New Roman"/>
          <w:color w:val="auto"/>
          <w:u w:val="single"/>
          <w:vertAlign w:val="superscript"/>
        </w:rPr>
        <w:t>2</w:t>
      </w:r>
      <w:r>
        <w:rPr>
          <w:rFonts w:hint="default" w:ascii="Times New Roman" w:hAnsi="Times New Roman" w:eastAsia="宋体" w:cs="Times New Roman"/>
          <w:color w:val="auto"/>
          <w:u w:val="single"/>
        </w:rPr>
        <w:t>。</w:t>
      </w:r>
    </w:p>
    <w:p>
      <w:pPr>
        <w:snapToGrid w:val="0"/>
        <w:spacing w:line="360" w:lineRule="auto"/>
        <w:ind w:firstLine="482" w:firstLineChars="200"/>
        <w:jc w:val="both"/>
        <w:rPr>
          <w:rFonts w:hint="default" w:ascii="Times New Roman" w:hAnsi="Times New Roman" w:eastAsia="宋体" w:cs="Times New Roman"/>
          <w:color w:val="auto"/>
          <w:u w:val="single"/>
        </w:rPr>
      </w:pPr>
      <w:r>
        <w:rPr>
          <w:rFonts w:hint="default" w:ascii="Times New Roman" w:hAnsi="Times New Roman" w:eastAsia="宋体" w:cs="Times New Roman"/>
          <w:b/>
          <w:color w:val="auto"/>
          <w:u w:val="single"/>
        </w:rPr>
        <w:t>总体布局：</w:t>
      </w:r>
      <w:r>
        <w:rPr>
          <w:rFonts w:hint="default" w:ascii="Times New Roman" w:hAnsi="Times New Roman" w:eastAsia="宋体" w:cs="Times New Roman"/>
          <w:color w:val="auto"/>
          <w:u w:val="single"/>
        </w:rPr>
        <w:t>分为2园4区，2园即猛洞河园区和芙蓉镇园区2个园区，4景区即老司城景区、不二门景区、猴儿跳景区和芙蓉镇景区。</w:t>
      </w:r>
    </w:p>
    <w:p>
      <w:pPr>
        <w:snapToGrid w:val="0"/>
        <w:spacing w:line="360" w:lineRule="auto"/>
        <w:ind w:firstLine="482" w:firstLineChars="200"/>
        <w:jc w:val="both"/>
        <w:rPr>
          <w:rFonts w:hint="default" w:ascii="Times New Roman" w:hAnsi="Times New Roman" w:eastAsia="宋体" w:cs="Times New Roman"/>
          <w:color w:val="auto"/>
          <w:u w:val="single"/>
        </w:rPr>
      </w:pPr>
      <w:r>
        <w:rPr>
          <w:rFonts w:hint="default" w:ascii="Times New Roman" w:hAnsi="Times New Roman" w:eastAsia="宋体" w:cs="Times New Roman"/>
          <w:b/>
          <w:color w:val="auto"/>
          <w:u w:val="single"/>
        </w:rPr>
        <w:t>功能区划：</w:t>
      </w:r>
      <w:r>
        <w:rPr>
          <w:rFonts w:hint="default" w:ascii="Times New Roman" w:hAnsi="Times New Roman" w:eastAsia="宋体" w:cs="Times New Roman"/>
          <w:color w:val="auto"/>
          <w:u w:val="single"/>
        </w:rPr>
        <w:t>分为科普服务区、地质景观游览区、自然生态区和居民点保留区。</w:t>
      </w:r>
    </w:p>
    <w:p>
      <w:pPr>
        <w:snapToGrid w:val="0"/>
        <w:spacing w:line="360" w:lineRule="auto"/>
        <w:ind w:firstLine="482" w:firstLineChars="200"/>
        <w:jc w:val="both"/>
        <w:rPr>
          <w:rFonts w:hint="default" w:ascii="Times New Roman" w:hAnsi="Times New Roman" w:eastAsia="宋体" w:cs="Times New Roman"/>
          <w:color w:val="auto"/>
          <w:u w:val="single"/>
        </w:rPr>
      </w:pPr>
      <w:r>
        <w:rPr>
          <w:rFonts w:hint="default" w:ascii="Times New Roman" w:hAnsi="Times New Roman" w:eastAsia="宋体" w:cs="Times New Roman"/>
          <w:b/>
          <w:color w:val="auto"/>
          <w:u w:val="single"/>
        </w:rPr>
        <w:t>地质遗迹保护：</w:t>
      </w:r>
      <w:r>
        <w:rPr>
          <w:rFonts w:hint="default" w:ascii="Times New Roman" w:hAnsi="Times New Roman" w:eastAsia="宋体" w:cs="Times New Roman"/>
          <w:color w:val="auto"/>
          <w:u w:val="single"/>
        </w:rPr>
        <w:t>划分为一、二、三级保护区，面积58.77km</w:t>
      </w:r>
      <w:r>
        <w:rPr>
          <w:rFonts w:hint="default" w:ascii="Times New Roman" w:hAnsi="Times New Roman" w:eastAsia="宋体" w:cs="Times New Roman"/>
          <w:color w:val="auto"/>
          <w:u w:val="single"/>
          <w:vertAlign w:val="superscript"/>
        </w:rPr>
        <w:t>2</w:t>
      </w:r>
      <w:r>
        <w:rPr>
          <w:rFonts w:hint="default" w:ascii="Times New Roman" w:hAnsi="Times New Roman" w:eastAsia="宋体" w:cs="Times New Roman"/>
          <w:color w:val="auto"/>
          <w:u w:val="single"/>
        </w:rPr>
        <w:t>，占公园总面积的40.04%。各级保护区及控制要求与保护措施见表</w:t>
      </w:r>
      <w:r>
        <w:rPr>
          <w:rFonts w:hint="eastAsia" w:eastAsia="宋体" w:cs="Times New Roman"/>
          <w:color w:val="auto"/>
          <w:u w:val="single"/>
          <w:lang w:val="en-US" w:eastAsia="zh-CN"/>
        </w:rPr>
        <w:t>3-10</w:t>
      </w:r>
      <w:r>
        <w:rPr>
          <w:rFonts w:hint="default" w:ascii="Times New Roman" w:hAnsi="Times New Roman" w:eastAsia="宋体" w:cs="Times New Roman"/>
          <w:color w:val="auto"/>
          <w:u w:val="single"/>
        </w:rPr>
        <w:t>。</w:t>
      </w:r>
    </w:p>
    <w:p>
      <w:pPr>
        <w:pStyle w:val="124"/>
        <w:bidi w:val="0"/>
        <w:rPr>
          <w:rFonts w:hint="eastAsia"/>
        </w:rPr>
      </w:pPr>
      <w:r>
        <w:rPr>
          <w:rFonts w:hint="eastAsia"/>
        </w:rPr>
        <w:t>表</w:t>
      </w:r>
      <w:r>
        <w:rPr>
          <w:rFonts w:hint="eastAsia"/>
          <w:lang w:val="en-US" w:eastAsia="zh-CN"/>
        </w:rPr>
        <w:t>3-10</w:t>
      </w:r>
      <w:r>
        <w:rPr>
          <w:rFonts w:hint="eastAsia"/>
        </w:rPr>
        <w:t xml:space="preserve">  地质遗迹保保护范围以及控制要求</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52"/>
        <w:gridCol w:w="5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17" w:type="dxa"/>
            <w:noWrap w:val="0"/>
            <w:vAlign w:val="center"/>
          </w:tcPr>
          <w:p>
            <w:pPr>
              <w:pStyle w:val="113"/>
              <w:bidi w:val="0"/>
              <w:rPr>
                <w:rFonts w:hint="eastAsia"/>
                <w:color w:val="auto"/>
                <w:u w:val="single"/>
              </w:rPr>
            </w:pPr>
            <w:r>
              <w:rPr>
                <w:rFonts w:hint="eastAsia"/>
                <w:color w:val="auto"/>
                <w:u w:val="single"/>
              </w:rPr>
              <w:t>类别</w:t>
            </w:r>
          </w:p>
        </w:tc>
        <w:tc>
          <w:tcPr>
            <w:tcW w:w="2552" w:type="dxa"/>
            <w:noWrap w:val="0"/>
            <w:vAlign w:val="center"/>
          </w:tcPr>
          <w:p>
            <w:pPr>
              <w:pStyle w:val="113"/>
              <w:bidi w:val="0"/>
              <w:rPr>
                <w:rFonts w:hint="eastAsia"/>
                <w:color w:val="auto"/>
                <w:u w:val="single"/>
              </w:rPr>
            </w:pPr>
            <w:r>
              <w:rPr>
                <w:rFonts w:hint="eastAsia"/>
                <w:color w:val="auto"/>
                <w:u w:val="single"/>
              </w:rPr>
              <w:t>保护区域</w:t>
            </w:r>
          </w:p>
        </w:tc>
        <w:tc>
          <w:tcPr>
            <w:tcW w:w="5199" w:type="dxa"/>
            <w:noWrap w:val="0"/>
            <w:vAlign w:val="center"/>
          </w:tcPr>
          <w:p>
            <w:pPr>
              <w:pStyle w:val="113"/>
              <w:bidi w:val="0"/>
              <w:rPr>
                <w:rFonts w:hint="eastAsia"/>
                <w:color w:val="auto"/>
                <w:u w:val="single"/>
              </w:rPr>
            </w:pPr>
            <w:r>
              <w:rPr>
                <w:rFonts w:hint="eastAsia"/>
                <w:color w:val="auto"/>
                <w:u w:val="single"/>
              </w:rPr>
              <w:t>控制要求与保护措施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817" w:type="dxa"/>
            <w:noWrap w:val="0"/>
            <w:vAlign w:val="center"/>
          </w:tcPr>
          <w:p>
            <w:pPr>
              <w:pStyle w:val="113"/>
              <w:bidi w:val="0"/>
              <w:rPr>
                <w:rFonts w:hint="eastAsia"/>
                <w:color w:val="auto"/>
                <w:u w:val="single"/>
              </w:rPr>
            </w:pPr>
            <w:r>
              <w:rPr>
                <w:rFonts w:hint="eastAsia"/>
                <w:color w:val="auto"/>
                <w:u w:val="single"/>
              </w:rPr>
              <w:t>一级保护区</w:t>
            </w:r>
          </w:p>
        </w:tc>
        <w:tc>
          <w:tcPr>
            <w:tcW w:w="2552" w:type="dxa"/>
            <w:noWrap w:val="0"/>
            <w:vAlign w:val="center"/>
          </w:tcPr>
          <w:p>
            <w:pPr>
              <w:pStyle w:val="113"/>
              <w:bidi w:val="0"/>
              <w:rPr>
                <w:rFonts w:hint="eastAsia"/>
                <w:color w:val="auto"/>
                <w:u w:val="single"/>
              </w:rPr>
            </w:pPr>
            <w:r>
              <w:rPr>
                <w:rFonts w:hint="eastAsia"/>
                <w:color w:val="auto"/>
                <w:u w:val="single"/>
              </w:rPr>
              <w:t>3 处，为不二门、司河和三叶虫化石产地保护区，总面积 11.72km</w:t>
            </w:r>
            <w:r>
              <w:rPr>
                <w:rFonts w:hint="eastAsia"/>
                <w:color w:val="auto"/>
                <w:u w:val="single"/>
                <w:vertAlign w:val="superscript"/>
              </w:rPr>
              <w:t>2</w:t>
            </w:r>
            <w:r>
              <w:rPr>
                <w:rFonts w:hint="eastAsia"/>
                <w:color w:val="auto"/>
                <w:u w:val="single"/>
              </w:rPr>
              <w:t>，占保护区面积的 19.94%，占公园总面积的 7.98%。</w:t>
            </w:r>
          </w:p>
        </w:tc>
        <w:tc>
          <w:tcPr>
            <w:tcW w:w="5199" w:type="dxa"/>
            <w:noWrap w:val="0"/>
            <w:vAlign w:val="center"/>
          </w:tcPr>
          <w:p>
            <w:pPr>
              <w:pStyle w:val="113"/>
              <w:bidi w:val="0"/>
              <w:jc w:val="both"/>
              <w:rPr>
                <w:rFonts w:hint="eastAsia"/>
                <w:color w:val="auto"/>
                <w:u w:val="single"/>
              </w:rPr>
            </w:pPr>
            <w:r>
              <w:rPr>
                <w:rFonts w:hint="eastAsia"/>
                <w:color w:val="auto"/>
                <w:u w:val="single"/>
              </w:rPr>
              <w:t>控制要求：禁止挖山取石、禁止捕猎、禁止砍伐树木、禁止从事污染水土气环境的作业、禁止野外用火、禁止建设与地质遗迹保护无关的人工建筑。可以修建必要的游览步道和相关设施，但必须与景观协调，允许观光游客进入，严禁非必要的机动交通工具进入。</w:t>
            </w:r>
          </w:p>
          <w:p>
            <w:pPr>
              <w:pStyle w:val="113"/>
              <w:bidi w:val="0"/>
              <w:jc w:val="both"/>
              <w:rPr>
                <w:rFonts w:hint="eastAsia"/>
                <w:color w:val="auto"/>
                <w:u w:val="single"/>
              </w:rPr>
            </w:pPr>
            <w:r>
              <w:rPr>
                <w:rFonts w:hint="eastAsia"/>
                <w:color w:val="auto"/>
                <w:u w:val="single"/>
              </w:rPr>
              <w:t>保护措施：设立一级保护区界桩、保护警示牌、巡视监测人员。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17" w:type="dxa"/>
            <w:noWrap w:val="0"/>
            <w:vAlign w:val="center"/>
          </w:tcPr>
          <w:p>
            <w:pPr>
              <w:pStyle w:val="113"/>
              <w:bidi w:val="0"/>
              <w:rPr>
                <w:rFonts w:hint="eastAsia"/>
                <w:color w:val="auto"/>
                <w:u w:val="single"/>
              </w:rPr>
            </w:pPr>
            <w:r>
              <w:rPr>
                <w:rFonts w:hint="eastAsia"/>
                <w:color w:val="auto"/>
                <w:u w:val="single"/>
              </w:rPr>
              <w:t>二级保护区</w:t>
            </w:r>
          </w:p>
        </w:tc>
        <w:tc>
          <w:tcPr>
            <w:tcW w:w="2552" w:type="dxa"/>
            <w:noWrap w:val="0"/>
            <w:vAlign w:val="center"/>
          </w:tcPr>
          <w:p>
            <w:pPr>
              <w:pStyle w:val="113"/>
              <w:bidi w:val="0"/>
              <w:rPr>
                <w:rFonts w:hint="eastAsia"/>
                <w:color w:val="auto"/>
                <w:u w:val="single"/>
              </w:rPr>
            </w:pPr>
            <w:r>
              <w:rPr>
                <w:rFonts w:hint="eastAsia"/>
                <w:color w:val="auto"/>
                <w:u w:val="single"/>
              </w:rPr>
              <w:t>1 处，为老司城地质遗迹保护区，面积 4.66km</w:t>
            </w:r>
            <w:r>
              <w:rPr>
                <w:rFonts w:hint="eastAsia"/>
                <w:color w:val="auto"/>
                <w:u w:val="single"/>
                <w:vertAlign w:val="superscript"/>
              </w:rPr>
              <w:t>2</w:t>
            </w:r>
            <w:r>
              <w:rPr>
                <w:rFonts w:hint="eastAsia"/>
                <w:color w:val="auto"/>
                <w:u w:val="single"/>
              </w:rPr>
              <w:t>，占保护区面积的 7.93%，占公园总面积的 3.17%。</w:t>
            </w:r>
          </w:p>
        </w:tc>
        <w:tc>
          <w:tcPr>
            <w:tcW w:w="5199" w:type="dxa"/>
            <w:noWrap w:val="0"/>
            <w:vAlign w:val="center"/>
          </w:tcPr>
          <w:p>
            <w:pPr>
              <w:pStyle w:val="113"/>
              <w:bidi w:val="0"/>
              <w:jc w:val="both"/>
              <w:rPr>
                <w:rFonts w:hint="eastAsia"/>
                <w:color w:val="auto"/>
                <w:u w:val="single"/>
              </w:rPr>
            </w:pPr>
            <w:r>
              <w:rPr>
                <w:rFonts w:hint="eastAsia"/>
                <w:color w:val="auto"/>
                <w:u w:val="single"/>
              </w:rPr>
              <w:t>控制要求：禁止挖山取石、禁止捕猎、禁止砍伐树木、禁止从事污染水、土、气环境的作业、禁止野外用火、禁止建设与旅游发展无关的大型人工建筑。可以建设步行游览和安全防护设施。</w:t>
            </w:r>
          </w:p>
          <w:p>
            <w:pPr>
              <w:pStyle w:val="113"/>
              <w:bidi w:val="0"/>
              <w:jc w:val="both"/>
              <w:rPr>
                <w:rFonts w:hint="eastAsia"/>
                <w:color w:val="auto"/>
                <w:u w:val="single"/>
              </w:rPr>
            </w:pPr>
            <w:r>
              <w:rPr>
                <w:rFonts w:hint="eastAsia"/>
                <w:color w:val="auto"/>
                <w:u w:val="single"/>
              </w:rPr>
              <w:t>保护措施：保护生态环境，设立地质遗迹保护警示牌，定期巡视地质遗迹及地质遗迹保护设施。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817" w:type="dxa"/>
            <w:noWrap w:val="0"/>
            <w:vAlign w:val="center"/>
          </w:tcPr>
          <w:p>
            <w:pPr>
              <w:pStyle w:val="113"/>
              <w:bidi w:val="0"/>
              <w:rPr>
                <w:rFonts w:hint="eastAsia"/>
                <w:color w:val="auto"/>
                <w:u w:val="single"/>
              </w:rPr>
            </w:pPr>
            <w:r>
              <w:rPr>
                <w:rFonts w:hint="eastAsia"/>
                <w:color w:val="auto"/>
                <w:u w:val="single"/>
              </w:rPr>
              <w:t>三级保护区</w:t>
            </w:r>
          </w:p>
        </w:tc>
        <w:tc>
          <w:tcPr>
            <w:tcW w:w="2552" w:type="dxa"/>
            <w:noWrap w:val="0"/>
            <w:vAlign w:val="center"/>
          </w:tcPr>
          <w:p>
            <w:pPr>
              <w:pStyle w:val="113"/>
              <w:bidi w:val="0"/>
              <w:rPr>
                <w:rFonts w:hint="eastAsia"/>
                <w:color w:val="auto"/>
                <w:u w:val="single"/>
              </w:rPr>
            </w:pPr>
            <w:r>
              <w:rPr>
                <w:rFonts w:hint="eastAsia"/>
                <w:color w:val="auto"/>
                <w:u w:val="single"/>
              </w:rPr>
              <w:t>6 处，分别为猛洞河、海螺至二门峡、龙头峡至芙蓉镇、吊井、老司城至哈妮宫、王村寒武系剖面保护区。面积 42.39km</w:t>
            </w:r>
            <w:r>
              <w:rPr>
                <w:rFonts w:hint="eastAsia"/>
                <w:color w:val="auto"/>
                <w:u w:val="single"/>
                <w:vertAlign w:val="superscript"/>
              </w:rPr>
              <w:t>2</w:t>
            </w:r>
            <w:r>
              <w:rPr>
                <w:rFonts w:hint="eastAsia"/>
                <w:color w:val="auto"/>
                <w:u w:val="single"/>
              </w:rPr>
              <w:t>，占保护区面积的 72.13%，占公园总面积的 28.88%。</w:t>
            </w:r>
          </w:p>
        </w:tc>
        <w:tc>
          <w:tcPr>
            <w:tcW w:w="5199" w:type="dxa"/>
            <w:noWrap w:val="0"/>
            <w:vAlign w:val="center"/>
          </w:tcPr>
          <w:p>
            <w:pPr>
              <w:pStyle w:val="113"/>
              <w:bidi w:val="0"/>
              <w:jc w:val="both"/>
              <w:rPr>
                <w:rFonts w:hint="eastAsia"/>
                <w:color w:val="auto"/>
                <w:u w:val="single"/>
              </w:rPr>
            </w:pPr>
            <w:r>
              <w:rPr>
                <w:rFonts w:hint="eastAsia"/>
                <w:color w:val="auto"/>
                <w:u w:val="single"/>
              </w:rPr>
              <w:t>控制要求：禁止挖山取石、禁止捕猎、禁止从事污染水土气环境的作业、禁止野外用火、可以建设与旅游配套的人工建筑，保护区以科普和观光旅游活动为主，可以适当建设与之相关的设施，禁止设立与旅游活动无关的建筑和产业。</w:t>
            </w:r>
          </w:p>
          <w:p>
            <w:pPr>
              <w:pStyle w:val="113"/>
              <w:bidi w:val="0"/>
              <w:jc w:val="both"/>
              <w:rPr>
                <w:rFonts w:hint="eastAsia"/>
                <w:color w:val="auto"/>
                <w:u w:val="single"/>
              </w:rPr>
            </w:pPr>
            <w:r>
              <w:rPr>
                <w:rFonts w:hint="eastAsia"/>
                <w:color w:val="auto"/>
                <w:u w:val="single"/>
              </w:rPr>
              <w:t>保护措施：设立保护警示牌</w:t>
            </w:r>
          </w:p>
        </w:tc>
      </w:tr>
    </w:tbl>
    <w:p>
      <w:pPr>
        <w:pStyle w:val="3"/>
        <w:jc w:val="both"/>
        <w:rPr>
          <w:rFonts w:hint="eastAsia" w:ascii="宋体" w:hAnsi="宋体" w:eastAsia="宋体" w:cs="宋体"/>
          <w:b/>
          <w:bCs/>
          <w:color w:val="auto"/>
          <w:sz w:val="24"/>
          <w:u w:val="single"/>
          <w:lang w:eastAsia="zh-CN"/>
        </w:rPr>
      </w:pPr>
      <w:r>
        <w:rPr>
          <w:rFonts w:hint="eastAsia" w:eastAsia="宋体" w:cs="宋体"/>
          <w:b/>
          <w:bCs/>
          <w:color w:val="auto"/>
          <w:sz w:val="24"/>
          <w:u w:val="single"/>
          <w:lang w:eastAsia="zh-CN"/>
        </w:rPr>
        <w:t>②本项目与猛洞河地质公园总体规划的关系及协调性分析</w:t>
      </w:r>
    </w:p>
    <w:p>
      <w:pPr>
        <w:jc w:val="both"/>
        <w:rPr>
          <w:rFonts w:hint="eastAsia" w:ascii="宋体" w:hAnsi="宋体" w:eastAsia="宋体" w:cs="宋体"/>
          <w:color w:val="auto"/>
          <w:sz w:val="24"/>
          <w:u w:val="single"/>
          <w:lang w:eastAsia="zh-CN"/>
        </w:rPr>
      </w:pPr>
      <w:r>
        <w:rPr>
          <w:rFonts w:hint="eastAsia" w:ascii="宋体" w:hAnsi="宋体" w:eastAsia="宋体" w:cs="宋体"/>
          <w:color w:val="auto"/>
          <w:sz w:val="24"/>
          <w:u w:val="single"/>
          <w:lang w:eastAsia="zh-CN"/>
        </w:rPr>
        <w:t>本项目部分管</w:t>
      </w:r>
      <w:r>
        <w:rPr>
          <w:rFonts w:hint="default" w:ascii="Times New Roman" w:hAnsi="Times New Roman" w:eastAsia="宋体" w:cs="Times New Roman"/>
          <w:color w:val="auto"/>
          <w:sz w:val="24"/>
          <w:u w:val="single"/>
          <w:lang w:eastAsia="zh-CN"/>
        </w:rPr>
        <w:t>道</w:t>
      </w:r>
      <w:r>
        <w:rPr>
          <w:rFonts w:hint="default" w:ascii="Times New Roman" w:hAnsi="Times New Roman" w:cs="Times New Roman"/>
          <w:color w:val="auto"/>
          <w:sz w:val="24"/>
          <w:u w:val="single"/>
          <w:lang w:eastAsia="zh-CN"/>
        </w:rPr>
        <w:t>（约</w:t>
      </w:r>
      <w:r>
        <w:rPr>
          <w:rFonts w:hint="default" w:ascii="Times New Roman" w:hAnsi="Times New Roman" w:cs="Times New Roman"/>
          <w:color w:val="auto"/>
          <w:sz w:val="24"/>
          <w:u w:val="single"/>
          <w:lang w:val="en-US" w:eastAsia="zh-CN"/>
        </w:rPr>
        <w:t>560m</w:t>
      </w:r>
      <w:r>
        <w:rPr>
          <w:rFonts w:hint="default" w:ascii="Times New Roman" w:hAnsi="Times New Roman" w:cs="Times New Roman"/>
          <w:color w:val="auto"/>
          <w:sz w:val="24"/>
          <w:u w:val="single"/>
          <w:lang w:eastAsia="zh-CN"/>
        </w:rPr>
        <w:t>）</w:t>
      </w:r>
      <w:r>
        <w:rPr>
          <w:rFonts w:hint="default" w:ascii="Times New Roman" w:hAnsi="Times New Roman" w:eastAsia="宋体" w:cs="Times New Roman"/>
          <w:color w:val="auto"/>
          <w:sz w:val="24"/>
          <w:u w:val="single"/>
          <w:lang w:eastAsia="zh-CN"/>
        </w:rPr>
        <w:t>及排污口位于猛洞河地质公园地质遗迹三级保护区，根据《永顺猛洞河地质公园总体</w:t>
      </w:r>
      <w:r>
        <w:rPr>
          <w:rFonts w:hint="eastAsia" w:ascii="宋体" w:hAnsi="宋体" w:eastAsia="宋体" w:cs="宋体"/>
          <w:color w:val="auto"/>
          <w:sz w:val="24"/>
          <w:u w:val="single"/>
          <w:lang w:eastAsia="zh-CN"/>
        </w:rPr>
        <w:t>规划》本项目不属于永顺猛洞河地质公园禁止建设项目，本项目建成后</w:t>
      </w:r>
      <w:r>
        <w:rPr>
          <w:rFonts w:hint="eastAsia"/>
          <w:color w:val="auto"/>
          <w:kern w:val="0"/>
          <w:u w:val="single"/>
        </w:rPr>
        <w:t>接收</w:t>
      </w:r>
      <w:r>
        <w:rPr>
          <w:rFonts w:hint="eastAsia"/>
          <w:color w:val="auto"/>
          <w:kern w:val="0"/>
          <w:u w:val="single"/>
          <w:lang w:eastAsia="zh-CN"/>
        </w:rPr>
        <w:t>永顺经济开发区猛洞河产业园内企事业污水</w:t>
      </w:r>
      <w:r>
        <w:rPr>
          <w:rFonts w:hint="eastAsia"/>
          <w:color w:val="auto"/>
          <w:kern w:val="0"/>
          <w:u w:val="single"/>
          <w:lang w:val="en-US" w:eastAsia="zh-CN"/>
        </w:rPr>
        <w:t>处理达标后外排，防止产业园内污水随意外排至猛洞河，使猛洞河地质公园段水域呈趋好的方向发展。综上本项目符合</w:t>
      </w:r>
      <w:r>
        <w:rPr>
          <w:rFonts w:hint="eastAsia" w:ascii="宋体" w:hAnsi="宋体" w:eastAsia="宋体" w:cs="宋体"/>
          <w:color w:val="auto"/>
          <w:sz w:val="24"/>
          <w:u w:val="single"/>
          <w:lang w:eastAsia="zh-CN"/>
        </w:rPr>
        <w:t>《永顺猛洞河地质公园总体规划》中的管控要求。</w:t>
      </w:r>
    </w:p>
    <w:p>
      <w:pPr>
        <w:autoSpaceDE w:val="0"/>
        <w:autoSpaceDN w:val="0"/>
        <w:adjustRightInd w:val="0"/>
        <w:ind w:left="0" w:leftChars="0" w:firstLine="0" w:firstLineChars="0"/>
        <w:jc w:val="both"/>
        <w:rPr>
          <w:rFonts w:hint="eastAsia" w:cs="宋体"/>
          <w:b/>
          <w:color w:val="auto"/>
          <w:kern w:val="0"/>
          <w:u w:val="none"/>
        </w:rPr>
      </w:pPr>
      <w:r>
        <w:rPr>
          <w:rFonts w:hint="eastAsia" w:cs="宋体"/>
          <w:b/>
          <w:color w:val="auto"/>
          <w:kern w:val="0"/>
          <w:u w:val="none"/>
        </w:rPr>
        <w:t>（</w:t>
      </w:r>
      <w:r>
        <w:rPr>
          <w:rFonts w:hint="eastAsia" w:cs="宋体"/>
          <w:b/>
          <w:color w:val="auto"/>
          <w:kern w:val="0"/>
          <w:u w:val="none"/>
          <w:lang w:val="en-US" w:eastAsia="zh-CN"/>
        </w:rPr>
        <w:t>6</w:t>
      </w:r>
      <w:r>
        <w:rPr>
          <w:rFonts w:hint="eastAsia" w:cs="宋体"/>
          <w:b/>
          <w:color w:val="auto"/>
          <w:kern w:val="0"/>
          <w:u w:val="none"/>
        </w:rPr>
        <w:t>）厂址选择合理性分析</w:t>
      </w:r>
    </w:p>
    <w:p>
      <w:pPr>
        <w:ind w:firstLine="480"/>
        <w:jc w:val="both"/>
        <w:rPr>
          <w:color w:val="auto"/>
          <w:u w:val="none"/>
        </w:rPr>
      </w:pPr>
      <w:r>
        <w:rPr>
          <w:color w:val="auto"/>
          <w:u w:val="single"/>
        </w:rPr>
        <w:t>根据《室外排水设计规范》（GB50014-2006）2016版、《给水排水设计手册》第五册（城市排水）、《城市排水工程规划规范》（GB50318-2000）和《城镇给水排水技术规范》（GB50788-2012）等相关规范和设计手册可知，污水厂的选址应该符合城镇总体规划和排水工程专业规划的要求，并进行深入的调查研究和详尽的技术经济比较，再综合考虑下列因素确定：</w:t>
      </w:r>
    </w:p>
    <w:p>
      <w:pPr>
        <w:ind w:firstLine="480"/>
        <w:jc w:val="both"/>
        <w:rPr>
          <w:color w:val="auto"/>
          <w:u w:val="none"/>
        </w:rPr>
      </w:pPr>
      <w:r>
        <w:rPr>
          <w:color w:val="auto"/>
          <w:u w:val="none"/>
        </w:rPr>
        <w:t>1）符合城镇总体规划，充分考虑区内地形、功能分区、道路规划与防洪要求等因素；</w:t>
      </w:r>
    </w:p>
    <w:p>
      <w:pPr>
        <w:ind w:firstLine="480"/>
        <w:jc w:val="both"/>
        <w:rPr>
          <w:color w:val="auto"/>
          <w:u w:val="none"/>
        </w:rPr>
      </w:pPr>
      <w:r>
        <w:rPr>
          <w:color w:val="auto"/>
          <w:u w:val="none"/>
        </w:rPr>
        <w:t>2）厂址选择应尽量少占农田或不占良田，且应有扩建条件，为今后发展留有余地；</w:t>
      </w:r>
    </w:p>
    <w:p>
      <w:pPr>
        <w:ind w:firstLine="480"/>
        <w:jc w:val="both"/>
        <w:rPr>
          <w:color w:val="auto"/>
          <w:u w:val="none"/>
        </w:rPr>
      </w:pPr>
      <w:r>
        <w:rPr>
          <w:color w:val="auto"/>
          <w:u w:val="none"/>
        </w:rPr>
        <w:t>3）厂址必须位于给水水源下游至少500m，并应设在城镇、工厂厂区及生活区的下游和夏季城市主导风向的下风向，为保证卫生要求，厂址应与城镇、工业区、生活区及农村居民点保持一定的防护距离，有条件的最好保持300m以上的距离；</w:t>
      </w:r>
    </w:p>
    <w:p>
      <w:pPr>
        <w:ind w:firstLine="480"/>
        <w:jc w:val="both"/>
        <w:rPr>
          <w:color w:val="auto"/>
          <w:u w:val="none"/>
        </w:rPr>
      </w:pPr>
      <w:r>
        <w:rPr>
          <w:color w:val="auto"/>
          <w:u w:val="none"/>
        </w:rPr>
        <w:t>4）厂址应在工程地质条件较好的地方，在有抗震要求的地区，还应考虑地震、地质条件，目的是减少基础处理和排水费用，降低工程造价，并有利于施工。一般应选在地下水位较低，地基承载力较大，湿陷等级不高，岩石无断裂带，以及对工程抗震有利的地段；</w:t>
      </w:r>
    </w:p>
    <w:p>
      <w:pPr>
        <w:ind w:firstLine="480"/>
        <w:jc w:val="both"/>
        <w:rPr>
          <w:color w:val="auto"/>
          <w:u w:val="none"/>
        </w:rPr>
      </w:pPr>
      <w:r>
        <w:rPr>
          <w:color w:val="auto"/>
          <w:u w:val="none"/>
        </w:rPr>
        <w:t>5）厂址应尽量选择在交通方便的地方，以利于施工运输和运行管理；</w:t>
      </w:r>
    </w:p>
    <w:p>
      <w:pPr>
        <w:ind w:firstLine="480"/>
        <w:jc w:val="both"/>
        <w:rPr>
          <w:color w:val="auto"/>
          <w:u w:val="none"/>
        </w:rPr>
      </w:pPr>
      <w:r>
        <w:rPr>
          <w:rFonts w:hint="eastAsia"/>
          <w:color w:val="auto"/>
          <w:u w:val="none"/>
          <w:lang w:val="en-US" w:eastAsia="zh-CN"/>
        </w:rPr>
        <w:t>6</w:t>
      </w:r>
      <w:r>
        <w:rPr>
          <w:color w:val="auto"/>
          <w:u w:val="none"/>
        </w:rPr>
        <w:t>）</w:t>
      </w:r>
      <w:r>
        <w:rPr>
          <w:rFonts w:hint="eastAsia"/>
          <w:color w:val="auto"/>
          <w:u w:val="none"/>
        </w:rPr>
        <w:t>厂址应尽量靠近供电电源，以利于安全运行和降低输电线路费用</w:t>
      </w:r>
      <w:r>
        <w:rPr>
          <w:color w:val="auto"/>
          <w:u w:val="none"/>
        </w:rPr>
        <w:t>；</w:t>
      </w:r>
    </w:p>
    <w:p>
      <w:pPr>
        <w:ind w:firstLine="480"/>
        <w:jc w:val="both"/>
        <w:rPr>
          <w:color w:val="auto"/>
          <w:u w:val="none"/>
        </w:rPr>
      </w:pPr>
      <w:r>
        <w:rPr>
          <w:rFonts w:hint="eastAsia"/>
          <w:color w:val="auto"/>
          <w:u w:val="none"/>
          <w:lang w:val="en-US" w:eastAsia="zh-CN"/>
        </w:rPr>
        <w:t>7</w:t>
      </w:r>
      <w:r>
        <w:rPr>
          <w:color w:val="auto"/>
          <w:u w:val="none"/>
        </w:rPr>
        <w:t>）汛期不受洪水威胁；</w:t>
      </w:r>
    </w:p>
    <w:p>
      <w:pPr>
        <w:ind w:firstLine="480"/>
        <w:jc w:val="both"/>
        <w:rPr>
          <w:color w:val="auto"/>
          <w:u w:val="none"/>
        </w:rPr>
      </w:pPr>
      <w:r>
        <w:rPr>
          <w:rFonts w:hint="eastAsia"/>
          <w:color w:val="auto"/>
          <w:u w:val="none"/>
          <w:lang w:val="en-US" w:eastAsia="zh-CN"/>
        </w:rPr>
        <w:t>8</w:t>
      </w:r>
      <w:r>
        <w:rPr>
          <w:color w:val="auto"/>
          <w:u w:val="none"/>
        </w:rPr>
        <w:t>）便于处理后的出水回用和安全排放；</w:t>
      </w:r>
    </w:p>
    <w:p>
      <w:pPr>
        <w:ind w:firstLine="480"/>
        <w:jc w:val="both"/>
        <w:rPr>
          <w:rFonts w:hint="eastAsia"/>
          <w:color w:val="auto"/>
          <w:u w:val="none"/>
        </w:rPr>
      </w:pPr>
      <w:r>
        <w:rPr>
          <w:rFonts w:hint="eastAsia"/>
          <w:color w:val="auto"/>
          <w:u w:val="none"/>
          <w:lang w:val="en-US" w:eastAsia="zh-CN"/>
        </w:rPr>
        <w:t>9</w:t>
      </w:r>
      <w:r>
        <w:rPr>
          <w:color w:val="auto"/>
          <w:u w:val="none"/>
        </w:rPr>
        <w:t>）便于污泥集中处理和处置。</w:t>
      </w:r>
    </w:p>
    <w:p>
      <w:pPr>
        <w:ind w:firstLine="566" w:firstLineChars="236"/>
        <w:jc w:val="both"/>
        <w:rPr>
          <w:rFonts w:hint="eastAsia"/>
          <w:color w:val="auto"/>
          <w:kern w:val="0"/>
          <w:u w:val="none"/>
        </w:rPr>
      </w:pPr>
      <w:r>
        <w:rPr>
          <w:rFonts w:hint="eastAsia"/>
          <w:color w:val="auto"/>
          <w:kern w:val="0"/>
          <w:u w:val="single"/>
        </w:rPr>
        <w:t>本项目污水处理厂位于位于</w:t>
      </w:r>
      <w:r>
        <w:rPr>
          <w:rFonts w:hint="eastAsia" w:cs="宋体"/>
          <w:b w:val="0"/>
          <w:bCs/>
          <w:color w:val="auto"/>
          <w:kern w:val="0"/>
          <w:u w:val="single"/>
          <w:lang w:eastAsia="zh-CN"/>
        </w:rPr>
        <w:t>湘西州永顺县灵溪镇岔那村（猛洞河产业园内）</w:t>
      </w:r>
      <w:r>
        <w:rPr>
          <w:rFonts w:hint="eastAsia"/>
          <w:color w:val="auto"/>
          <w:spacing w:val="-3"/>
          <w:u w:val="single"/>
          <w:lang w:eastAsia="zh-CN"/>
        </w:rPr>
        <w:t>，项目纳污四至情况为：东至永顺县美天报废汽车回收拆解有限责任公司</w:t>
      </w:r>
      <w:r>
        <w:rPr>
          <w:rFonts w:hint="eastAsia"/>
          <w:u w:val="single"/>
          <w:lang w:eastAsia="zh-CN"/>
        </w:rPr>
        <w:t>，南至</w:t>
      </w:r>
      <w:r>
        <w:rPr>
          <w:rFonts w:hint="eastAsia"/>
          <w:u w:val="single"/>
          <w:lang w:val="en-US" w:eastAsia="zh-CN"/>
        </w:rPr>
        <w:t>厂界，西至兴成建材有限责任公司，北至永顺县明强建材有限公司；</w:t>
      </w:r>
      <w:r>
        <w:rPr>
          <w:rFonts w:hint="eastAsia"/>
          <w:color w:val="auto"/>
          <w:spacing w:val="-3"/>
          <w:u w:val="single"/>
          <w:lang w:eastAsia="zh-CN"/>
        </w:rPr>
        <w:t>项目位于</w:t>
      </w:r>
      <w:r>
        <w:rPr>
          <w:rFonts w:hint="eastAsia"/>
          <w:color w:val="auto"/>
          <w:kern w:val="0"/>
          <w:u w:val="single"/>
          <w:lang w:eastAsia="zh-CN"/>
        </w:rPr>
        <w:t>岔那</w:t>
      </w:r>
      <w:r>
        <w:rPr>
          <w:rFonts w:hint="eastAsia"/>
          <w:color w:val="auto"/>
          <w:kern w:val="0"/>
          <w:u w:val="single"/>
        </w:rPr>
        <w:t>大道</w:t>
      </w:r>
      <w:r>
        <w:rPr>
          <w:rFonts w:hint="eastAsia"/>
          <w:color w:val="auto"/>
          <w:kern w:val="0"/>
          <w:u w:val="single"/>
          <w:lang w:eastAsia="zh-CN"/>
        </w:rPr>
        <w:t>与东城新路交叉路口东侧，周边交通便利</w:t>
      </w:r>
      <w:r>
        <w:rPr>
          <w:rFonts w:hint="eastAsia"/>
          <w:color w:val="auto"/>
          <w:kern w:val="0"/>
          <w:u w:val="single"/>
        </w:rPr>
        <w:t>，</w:t>
      </w:r>
      <w:r>
        <w:rPr>
          <w:rFonts w:hint="eastAsia"/>
          <w:color w:val="auto"/>
          <w:kern w:val="0"/>
          <w:szCs w:val="21"/>
          <w:u w:val="single"/>
        </w:rPr>
        <w:t>目前场地已平整，为</w:t>
      </w:r>
      <w:r>
        <w:rPr>
          <w:color w:val="auto"/>
          <w:u w:val="single"/>
        </w:rPr>
        <w:t>碎石回填区</w:t>
      </w:r>
      <w:r>
        <w:rPr>
          <w:rFonts w:hint="eastAsia"/>
          <w:color w:val="auto"/>
          <w:kern w:val="0"/>
          <w:u w:val="single"/>
          <w:lang w:eastAsia="zh-CN"/>
        </w:rPr>
        <w:t>；项目排污口距离上游</w:t>
      </w:r>
      <w:r>
        <w:rPr>
          <w:rFonts w:hint="eastAsia" w:ascii="宋体" w:hAnsi="宋体" w:eastAsia="宋体" w:cs="宋体"/>
          <w:color w:val="auto"/>
          <w:u w:val="single"/>
        </w:rPr>
        <w:t>湘西自治州永顺县猛洞河饮用水水源保护区</w:t>
      </w:r>
      <w:r>
        <w:rPr>
          <w:rFonts w:hint="default" w:ascii="Times New Roman" w:hAnsi="Times New Roman" w:eastAsia="宋体" w:cs="Times New Roman"/>
          <w:color w:val="auto"/>
          <w:u w:val="single"/>
          <w:lang w:eastAsia="zh-CN"/>
        </w:rPr>
        <w:t>约</w:t>
      </w:r>
      <w:r>
        <w:rPr>
          <w:rFonts w:hint="default" w:ascii="Times New Roman" w:hAnsi="Times New Roman" w:eastAsia="宋体" w:cs="Times New Roman"/>
          <w:color w:val="auto"/>
          <w:u w:val="single"/>
          <w:lang w:val="en-US" w:eastAsia="zh-CN"/>
        </w:rPr>
        <w:t>9km，</w:t>
      </w:r>
      <w:r>
        <w:rPr>
          <w:rFonts w:hint="eastAsia" w:ascii="宋体" w:hAnsi="宋体" w:eastAsia="宋体" w:cs="宋体"/>
          <w:color w:val="auto"/>
          <w:u w:val="single"/>
          <w:lang w:val="en-US" w:eastAsia="zh-CN"/>
        </w:rPr>
        <w:t>故</w:t>
      </w:r>
      <w:r>
        <w:rPr>
          <w:rFonts w:hint="eastAsia"/>
          <w:color w:val="auto"/>
          <w:kern w:val="0"/>
          <w:u w:val="single"/>
        </w:rPr>
        <w:t>不会影响</w:t>
      </w:r>
      <w:r>
        <w:rPr>
          <w:rFonts w:hint="eastAsia" w:ascii="宋体" w:hAnsi="宋体" w:eastAsia="宋体" w:cs="宋体"/>
          <w:color w:val="auto"/>
          <w:u w:val="single"/>
        </w:rPr>
        <w:t>湘西自治州永顺县猛洞河饮用水水源保护区</w:t>
      </w:r>
      <w:r>
        <w:rPr>
          <w:rFonts w:hint="eastAsia" w:ascii="宋体" w:hAnsi="宋体" w:eastAsia="宋体" w:cs="宋体"/>
          <w:color w:val="auto"/>
          <w:u w:val="single"/>
          <w:lang w:eastAsia="zh-CN"/>
        </w:rPr>
        <w:t>；</w:t>
      </w:r>
      <w:r>
        <w:rPr>
          <w:rFonts w:hint="eastAsia"/>
          <w:color w:val="auto"/>
          <w:kern w:val="0"/>
          <w:u w:val="single"/>
        </w:rPr>
        <w:t>厂址</w:t>
      </w:r>
      <w:r>
        <w:rPr>
          <w:rFonts w:hint="eastAsia"/>
          <w:color w:val="auto"/>
          <w:kern w:val="0"/>
          <w:u w:val="single"/>
          <w:lang w:eastAsia="zh-CN"/>
        </w:rPr>
        <w:t>最近敏感点为西北侧</w:t>
      </w:r>
      <w:r>
        <w:rPr>
          <w:rFonts w:hint="eastAsia"/>
          <w:color w:val="auto"/>
          <w:kern w:val="0"/>
          <w:u w:val="single"/>
          <w:lang w:val="en-US" w:eastAsia="zh-CN"/>
        </w:rPr>
        <w:t>50m公租房，位于项目侧风向，故本项目对其影响较小；项目由永顺县电网统一供电，靠近供电点源；项目北侧距离猛洞河直线距离530m，高差10m，且有山体阻隔，结合本项目水保措施，故汛期洪水对本项目影响较小；</w:t>
      </w:r>
      <w:r>
        <w:rPr>
          <w:rFonts w:hint="eastAsia"/>
          <w:color w:val="auto"/>
          <w:kern w:val="0"/>
          <w:u w:val="single"/>
        </w:rPr>
        <w:t>项目建设</w:t>
      </w:r>
      <w:r>
        <w:rPr>
          <w:rFonts w:hint="eastAsia"/>
          <w:color w:val="auto"/>
          <w:kern w:val="0"/>
          <w:u w:val="single"/>
          <w:lang w:eastAsia="zh-CN"/>
        </w:rPr>
        <w:t>排水</w:t>
      </w:r>
      <w:r>
        <w:rPr>
          <w:rFonts w:hint="eastAsia"/>
          <w:color w:val="auto"/>
          <w:kern w:val="0"/>
          <w:u w:val="single"/>
        </w:rPr>
        <w:t>管网用于</w:t>
      </w:r>
      <w:r>
        <w:rPr>
          <w:rFonts w:hint="eastAsia"/>
          <w:color w:val="auto"/>
          <w:kern w:val="0"/>
          <w:u w:val="single"/>
          <w:lang w:eastAsia="zh-CN"/>
        </w:rPr>
        <w:t>排放处理后的</w:t>
      </w:r>
      <w:r>
        <w:rPr>
          <w:rFonts w:hint="eastAsia"/>
          <w:color w:val="auto"/>
          <w:kern w:val="0"/>
          <w:u w:val="single"/>
        </w:rPr>
        <w:t>污水，</w:t>
      </w:r>
      <w:r>
        <w:rPr>
          <w:rFonts w:hint="eastAsia"/>
          <w:color w:val="auto"/>
          <w:kern w:val="0"/>
          <w:u w:val="single"/>
          <w:lang w:eastAsia="zh-CN"/>
        </w:rPr>
        <w:t>猛洞河产业园内</w:t>
      </w:r>
      <w:r>
        <w:rPr>
          <w:rFonts w:hint="eastAsia"/>
          <w:color w:val="auto"/>
          <w:kern w:val="0"/>
          <w:u w:val="single"/>
        </w:rPr>
        <w:t>工业废水由企业预处理之后达到污水处理厂的接管标准后进入</w:t>
      </w:r>
      <w:r>
        <w:rPr>
          <w:rFonts w:hint="eastAsia"/>
          <w:color w:val="auto"/>
          <w:kern w:val="0"/>
          <w:u w:val="single"/>
          <w:lang w:eastAsia="zh-CN"/>
        </w:rPr>
        <w:t>本</w:t>
      </w:r>
      <w:r>
        <w:rPr>
          <w:rFonts w:hint="eastAsia"/>
          <w:color w:val="auto"/>
          <w:kern w:val="0"/>
          <w:u w:val="single"/>
        </w:rPr>
        <w:t>污水处理厂进一步处理</w:t>
      </w:r>
      <w:r>
        <w:rPr>
          <w:rFonts w:hint="eastAsia"/>
          <w:color w:val="auto"/>
          <w:kern w:val="0"/>
          <w:u w:val="single"/>
          <w:lang w:eastAsia="zh-CN"/>
        </w:rPr>
        <w:t>达《城市污水处理厂污染物排放标准》（GB18918-2002）一级标准的A标准</w:t>
      </w:r>
      <w:r>
        <w:rPr>
          <w:rFonts w:hint="eastAsia"/>
          <w:color w:val="auto"/>
          <w:kern w:val="0"/>
          <w:u w:val="single"/>
        </w:rPr>
        <w:t>排放至</w:t>
      </w:r>
      <w:r>
        <w:rPr>
          <w:rFonts w:hint="eastAsia"/>
          <w:color w:val="auto"/>
          <w:kern w:val="0"/>
          <w:u w:val="single"/>
          <w:lang w:eastAsia="zh-CN"/>
        </w:rPr>
        <w:t>猛洞</w:t>
      </w:r>
      <w:r>
        <w:rPr>
          <w:rFonts w:hint="eastAsia"/>
          <w:color w:val="auto"/>
          <w:kern w:val="0"/>
          <w:u w:val="single"/>
        </w:rPr>
        <w:t>河</w:t>
      </w:r>
      <w:r>
        <w:rPr>
          <w:rFonts w:hint="eastAsia"/>
          <w:color w:val="auto"/>
          <w:kern w:val="0"/>
          <w:u w:val="single"/>
          <w:lang w:eastAsia="zh-CN"/>
        </w:rPr>
        <w:t>，</w:t>
      </w:r>
      <w:r>
        <w:rPr>
          <w:rFonts w:hint="eastAsia"/>
          <w:color w:val="auto"/>
          <w:kern w:val="0"/>
          <w:u w:val="single"/>
          <w:lang w:val="en-US" w:eastAsia="zh-CN"/>
        </w:rPr>
        <w:t>项目建设地与排污口高差达到22m，便于处理后尾水的安全排放</w:t>
      </w:r>
      <w:r>
        <w:rPr>
          <w:rFonts w:hint="eastAsia"/>
          <w:color w:val="auto"/>
          <w:kern w:val="0"/>
          <w:u w:val="single"/>
        </w:rPr>
        <w:t>。</w:t>
      </w:r>
    </w:p>
    <w:p>
      <w:pPr>
        <w:ind w:firstLine="566" w:firstLineChars="236"/>
        <w:jc w:val="both"/>
        <w:rPr>
          <w:rFonts w:hint="eastAsia" w:eastAsia="宋体"/>
          <w:color w:val="auto"/>
          <w:kern w:val="0"/>
          <w:u w:val="single"/>
          <w:lang w:eastAsia="zh-CN"/>
        </w:rPr>
      </w:pPr>
      <w:r>
        <w:rPr>
          <w:rFonts w:hint="eastAsia"/>
          <w:color w:val="auto"/>
          <w:kern w:val="0"/>
          <w:u w:val="single"/>
          <w:lang w:eastAsia="zh-CN"/>
        </w:rPr>
        <w:t>根据《永顺县城总体规划—土地利用规划图（</w:t>
      </w:r>
      <w:r>
        <w:rPr>
          <w:rFonts w:hint="eastAsia"/>
          <w:color w:val="auto"/>
          <w:kern w:val="0"/>
          <w:u w:val="single"/>
          <w:lang w:val="en-US" w:eastAsia="zh-CN"/>
        </w:rPr>
        <w:t>2010-2020</w:t>
      </w:r>
      <w:r>
        <w:rPr>
          <w:rFonts w:hint="eastAsia"/>
          <w:color w:val="auto"/>
          <w:kern w:val="0"/>
          <w:u w:val="single"/>
          <w:lang w:eastAsia="zh-CN"/>
        </w:rPr>
        <w:t>）》及《湖南永顺经济开发区总体规划—土地利用规划图（</w:t>
      </w:r>
      <w:r>
        <w:rPr>
          <w:rFonts w:hint="eastAsia"/>
          <w:color w:val="auto"/>
          <w:kern w:val="0"/>
          <w:u w:val="single"/>
          <w:lang w:val="en-US" w:eastAsia="zh-CN"/>
        </w:rPr>
        <w:t>2015-2025</w:t>
      </w:r>
      <w:r>
        <w:rPr>
          <w:rFonts w:hint="eastAsia"/>
          <w:color w:val="auto"/>
          <w:kern w:val="0"/>
          <w:u w:val="single"/>
          <w:lang w:eastAsia="zh-CN"/>
        </w:rPr>
        <w:t>）》，本项目占地性质为一类工业用地，本项目为污水处理建设项目，因此本项目选址符合土地利用规划。</w:t>
      </w:r>
    </w:p>
    <w:p>
      <w:pPr>
        <w:ind w:firstLine="566" w:firstLineChars="236"/>
        <w:jc w:val="both"/>
        <w:rPr>
          <w:rFonts w:hint="eastAsia"/>
          <w:color w:val="auto"/>
          <w:u w:val="single"/>
          <w:lang w:val="zh-CN" w:bidi="zh-CN"/>
        </w:rPr>
      </w:pPr>
      <w:r>
        <w:rPr>
          <w:rFonts w:hint="eastAsia"/>
          <w:color w:val="auto"/>
          <w:kern w:val="0"/>
          <w:u w:val="single"/>
        </w:rPr>
        <w:t>综上所述，本工程选用的工艺成熟可靠、安全有效，能够达到预期的处理效果，处理过程中产生的二次污染经采取措施后能得到有效控制，对周边环境造成不利影响可以接受，项目选址可行。</w:t>
      </w:r>
    </w:p>
    <w:p>
      <w:pPr>
        <w:autoSpaceDE w:val="0"/>
        <w:autoSpaceDN w:val="0"/>
        <w:adjustRightInd w:val="0"/>
        <w:ind w:firstLine="482"/>
        <w:rPr>
          <w:rFonts w:cs="宋体"/>
          <w:b/>
          <w:color w:val="auto"/>
          <w:kern w:val="0"/>
          <w:u w:val="single"/>
        </w:rPr>
      </w:pPr>
      <w:r>
        <w:rPr>
          <w:rFonts w:hint="eastAsia" w:cs="宋体"/>
          <w:b/>
          <w:color w:val="auto"/>
          <w:kern w:val="0"/>
          <w:u w:val="single"/>
        </w:rPr>
        <w:t>（</w:t>
      </w:r>
      <w:r>
        <w:rPr>
          <w:rFonts w:hint="eastAsia" w:cs="宋体"/>
          <w:b/>
          <w:color w:val="auto"/>
          <w:kern w:val="0"/>
          <w:u w:val="single"/>
          <w:lang w:val="en-US" w:eastAsia="zh-CN"/>
        </w:rPr>
        <w:t>7</w:t>
      </w:r>
      <w:r>
        <w:rPr>
          <w:rFonts w:hint="eastAsia" w:cs="宋体"/>
          <w:b/>
          <w:color w:val="auto"/>
          <w:kern w:val="0"/>
          <w:u w:val="single"/>
        </w:rPr>
        <w:t>）平面布置合理性分析</w:t>
      </w:r>
    </w:p>
    <w:p>
      <w:pPr>
        <w:ind w:firstLine="464"/>
        <w:jc w:val="both"/>
        <w:rPr>
          <w:color w:val="auto"/>
          <w:u w:val="single"/>
          <w:lang w:val="zh-CN" w:bidi="zh-CN"/>
        </w:rPr>
      </w:pPr>
      <w:r>
        <w:rPr>
          <w:color w:val="auto"/>
          <w:spacing w:val="-4"/>
          <w:u w:val="single"/>
          <w:lang w:val="zh-CN" w:bidi="zh-CN"/>
        </w:rPr>
        <w:t>本工程的平面布置根据进水方向、排放水体、工艺流程特</w:t>
      </w:r>
      <w:r>
        <w:rPr>
          <w:color w:val="auto"/>
          <w:spacing w:val="-8"/>
          <w:u w:val="single"/>
          <w:lang w:val="zh-CN" w:bidi="zh-CN"/>
        </w:rPr>
        <w:t>点及站址地形、地质条件、原有设施等因素进行布置，在满足工艺、消防、安全、交通</w:t>
      </w:r>
      <w:r>
        <w:rPr>
          <w:color w:val="auto"/>
          <w:spacing w:val="-15"/>
          <w:u w:val="single"/>
          <w:lang w:val="zh-CN" w:bidi="zh-CN"/>
        </w:rPr>
        <w:t>方便，管线畅通等要求的情况下，力求使工艺设备布置集中，并使污水污泥流程流向短，</w:t>
      </w:r>
      <w:r>
        <w:rPr>
          <w:color w:val="auto"/>
          <w:u w:val="single"/>
          <w:lang w:val="zh-CN" w:bidi="zh-CN"/>
        </w:rPr>
        <w:t>节约用地，降低工程投资。另外，还将充分考虑建筑造型、厂区绿化及与周围环境相协调等因素，尽量做到布局合理，管理方便，经济适用。</w:t>
      </w:r>
    </w:p>
    <w:p>
      <w:pPr>
        <w:ind w:firstLine="480"/>
        <w:jc w:val="both"/>
        <w:rPr>
          <w:color w:val="auto"/>
          <w:u w:val="single"/>
          <w:lang w:val="zh-CN" w:bidi="zh-CN"/>
        </w:rPr>
      </w:pPr>
      <w:r>
        <w:rPr>
          <w:color w:val="auto"/>
          <w:u w:val="single"/>
          <w:lang w:val="zh-CN" w:bidi="zh-CN"/>
        </w:rPr>
        <w:t>本设计总平面布置根据污水处理工艺特点按功能分区，划分为主要处理单元</w:t>
      </w:r>
      <w:r>
        <w:rPr>
          <w:rFonts w:hint="eastAsia"/>
          <w:color w:val="auto"/>
          <w:u w:val="single"/>
          <w:lang w:val="zh-CN" w:bidi="zh-CN"/>
        </w:rPr>
        <w:t>和</w:t>
      </w:r>
      <w:r>
        <w:rPr>
          <w:color w:val="auto"/>
          <w:u w:val="single"/>
          <w:lang w:val="zh-CN" w:bidi="zh-CN"/>
        </w:rPr>
        <w:t>辅助处理单元。</w:t>
      </w:r>
    </w:p>
    <w:p>
      <w:pPr>
        <w:ind w:firstLine="480"/>
        <w:jc w:val="both"/>
        <w:rPr>
          <w:color w:val="auto"/>
          <w:u w:val="single"/>
          <w:lang w:val="zh-CN" w:bidi="zh-CN"/>
        </w:rPr>
      </w:pPr>
      <w:r>
        <w:rPr>
          <w:color w:val="auto"/>
          <w:u w:val="single"/>
          <w:lang w:val="zh-CN" w:bidi="zh-CN"/>
        </w:rPr>
        <w:t>主要处理单元包括：格栅渠、</w:t>
      </w:r>
      <w:r>
        <w:rPr>
          <w:rFonts w:hint="eastAsia"/>
          <w:color w:val="auto"/>
          <w:u w:val="single"/>
          <w:lang w:val="zh-CN" w:bidi="zh-CN"/>
        </w:rPr>
        <w:t>沉沙池</w:t>
      </w:r>
      <w:r>
        <w:rPr>
          <w:color w:val="auto"/>
          <w:u w:val="single"/>
          <w:lang w:val="zh-CN" w:bidi="zh-CN"/>
        </w:rPr>
        <w:t>、</w:t>
      </w:r>
      <w:r>
        <w:rPr>
          <w:rFonts w:hint="eastAsia"/>
          <w:color w:val="auto"/>
          <w:u w:val="single"/>
          <w:lang w:val="zh-CN" w:bidi="zh-CN"/>
        </w:rPr>
        <w:t>调节池</w:t>
      </w:r>
      <w:r>
        <w:rPr>
          <w:color w:val="auto"/>
          <w:u w:val="single"/>
          <w:lang w:val="zh-CN" w:bidi="zh-CN"/>
        </w:rPr>
        <w:t>、</w:t>
      </w:r>
      <w:r>
        <w:rPr>
          <w:rFonts w:hint="eastAsia"/>
          <w:color w:val="auto"/>
          <w:u w:val="single"/>
          <w:lang w:val="en-US" w:bidi="zh-CN"/>
        </w:rPr>
        <w:t>MBR一体化设备</w:t>
      </w:r>
      <w:r>
        <w:rPr>
          <w:color w:val="auto"/>
          <w:u w:val="single"/>
          <w:lang w:val="zh-CN" w:bidi="zh-CN"/>
        </w:rPr>
        <w:t>、污泥池、</w:t>
      </w:r>
      <w:r>
        <w:rPr>
          <w:rFonts w:hint="eastAsia"/>
          <w:color w:val="auto"/>
          <w:u w:val="single"/>
          <w:lang w:val="zh-CN" w:bidi="zh-CN"/>
        </w:rPr>
        <w:t>清水池</w:t>
      </w:r>
      <w:r>
        <w:rPr>
          <w:color w:val="auto"/>
          <w:u w:val="single"/>
          <w:lang w:val="zh-CN" w:bidi="zh-CN"/>
        </w:rPr>
        <w:t>、</w:t>
      </w:r>
      <w:r>
        <w:rPr>
          <w:rFonts w:hint="eastAsia"/>
          <w:color w:val="auto"/>
          <w:u w:val="single"/>
          <w:lang w:val="zh-CN" w:bidi="zh-CN"/>
        </w:rPr>
        <w:t>膜离线清洗</w:t>
      </w:r>
      <w:r>
        <w:rPr>
          <w:color w:val="auto"/>
          <w:u w:val="single"/>
          <w:lang w:val="zh-CN" w:bidi="zh-CN"/>
        </w:rPr>
        <w:t>池等。</w:t>
      </w:r>
    </w:p>
    <w:p>
      <w:pPr>
        <w:ind w:firstLine="480"/>
        <w:jc w:val="both"/>
        <w:rPr>
          <w:color w:val="auto"/>
          <w:u w:val="single"/>
          <w:lang w:val="zh-CN" w:bidi="zh-CN"/>
        </w:rPr>
      </w:pPr>
      <w:r>
        <w:rPr>
          <w:color w:val="auto"/>
          <w:u w:val="single"/>
          <w:lang w:val="zh-CN" w:bidi="zh-CN"/>
        </w:rPr>
        <w:t>辅助处理单元包括：加药间、污泥脱水机房、配电室等。</w:t>
      </w:r>
    </w:p>
    <w:p>
      <w:pPr>
        <w:ind w:firstLine="480"/>
        <w:jc w:val="both"/>
        <w:rPr>
          <w:color w:val="auto"/>
          <w:u w:val="single"/>
          <w:lang w:val="zh-CN" w:bidi="zh-CN"/>
        </w:rPr>
      </w:pPr>
      <w:r>
        <w:rPr>
          <w:rFonts w:hint="eastAsia"/>
          <w:color w:val="auto"/>
          <w:kern w:val="0"/>
          <w:u w:val="single"/>
        </w:rPr>
        <w:t>本区域主导风向是</w:t>
      </w:r>
      <w:r>
        <w:rPr>
          <w:rFonts w:hint="eastAsia"/>
          <w:color w:val="auto"/>
          <w:kern w:val="0"/>
          <w:u w:val="single"/>
          <w:lang w:eastAsia="zh-CN"/>
        </w:rPr>
        <w:t>西南</w:t>
      </w:r>
      <w:r>
        <w:rPr>
          <w:rFonts w:hint="eastAsia"/>
          <w:color w:val="auto"/>
          <w:kern w:val="0"/>
          <w:u w:val="single"/>
        </w:rPr>
        <w:t>风，</w:t>
      </w:r>
      <w:r>
        <w:rPr>
          <w:rFonts w:hint="eastAsia"/>
          <w:color w:val="auto"/>
          <w:u w:val="single"/>
          <w:lang w:eastAsia="zh-CN"/>
        </w:rPr>
        <w:t>不在场内设置办公区域</w:t>
      </w:r>
      <w:r>
        <w:rPr>
          <w:rFonts w:hint="eastAsia"/>
          <w:color w:val="auto"/>
          <w:u w:val="single"/>
        </w:rPr>
        <w:t>。设计上采用大量的绿地与生产区分隔，这样在满足使用功能的同时又可以降低厂区噪音的污染，同时便于管理。厂区大面积的绿化更为整个厂区赢得蓬勃生机，同时与道路两侧绿化和主干道绿化带相连，使整个厂区浑然天成。厂区</w:t>
      </w:r>
      <w:r>
        <w:rPr>
          <w:rFonts w:hint="eastAsia"/>
          <w:color w:val="auto"/>
          <w:u w:val="single"/>
          <w:lang w:eastAsia="zh-CN"/>
        </w:rPr>
        <w:t>南</w:t>
      </w:r>
      <w:r>
        <w:rPr>
          <w:rFonts w:hint="eastAsia"/>
          <w:color w:val="auto"/>
          <w:u w:val="single"/>
        </w:rPr>
        <w:t>侧设有主出入口，交通流线明确简捷，场区均有消防通道环绕整个场地，满足消防要求。</w:t>
      </w:r>
    </w:p>
    <w:p>
      <w:pPr>
        <w:ind w:firstLine="480"/>
        <w:jc w:val="both"/>
        <w:rPr>
          <w:rFonts w:hint="eastAsia"/>
          <w:color w:val="auto"/>
          <w:u w:val="single"/>
        </w:rPr>
      </w:pPr>
      <w:r>
        <w:rPr>
          <w:rFonts w:hint="eastAsia"/>
          <w:color w:val="auto"/>
          <w:u w:val="single"/>
        </w:rPr>
        <w:t>综上所述，本项目总图布置充分考虑了当地条件，布局紧凑合理、节约用地，对场内外环境影响较小，从环境角度上来看是合理的。</w:t>
      </w:r>
    </w:p>
    <w:p>
      <w:pPr>
        <w:autoSpaceDE w:val="0"/>
        <w:autoSpaceDN w:val="0"/>
        <w:adjustRightInd w:val="0"/>
        <w:ind w:firstLine="482"/>
        <w:rPr>
          <w:b/>
          <w:bCs/>
          <w:color w:val="auto"/>
          <w:u w:val="none"/>
        </w:rPr>
      </w:pPr>
      <w:r>
        <w:rPr>
          <w:rFonts w:hint="eastAsia"/>
          <w:b/>
          <w:bCs/>
          <w:color w:val="auto"/>
          <w:u w:val="none"/>
        </w:rPr>
        <w:t>（</w:t>
      </w:r>
      <w:r>
        <w:rPr>
          <w:rFonts w:hint="eastAsia"/>
          <w:b/>
          <w:bCs/>
          <w:color w:val="auto"/>
          <w:u w:val="none"/>
          <w:lang w:val="en-US" w:eastAsia="zh-CN"/>
        </w:rPr>
        <w:t>8</w:t>
      </w:r>
      <w:r>
        <w:rPr>
          <w:rFonts w:hint="eastAsia"/>
          <w:b/>
          <w:bCs/>
          <w:color w:val="auto"/>
          <w:u w:val="none"/>
        </w:rPr>
        <w:t>）</w:t>
      </w:r>
      <w:r>
        <w:rPr>
          <w:b/>
          <w:bCs/>
          <w:color w:val="auto"/>
          <w:u w:val="none"/>
        </w:rPr>
        <w:t>排污口设置的合理性分析</w:t>
      </w:r>
    </w:p>
    <w:p>
      <w:pPr>
        <w:autoSpaceDE w:val="0"/>
        <w:autoSpaceDN w:val="0"/>
        <w:adjustRightInd w:val="0"/>
        <w:ind w:firstLine="480"/>
        <w:jc w:val="both"/>
        <w:rPr>
          <w:rFonts w:hint="default" w:ascii="Times New Roman" w:hAnsi="Times New Roman" w:eastAsia="宋体" w:cs="Times New Roman"/>
          <w:color w:val="auto"/>
          <w:kern w:val="0"/>
          <w:u w:val="none"/>
          <w:lang w:eastAsia="zh-CN"/>
        </w:rPr>
      </w:pPr>
      <w:r>
        <w:rPr>
          <w:rFonts w:hint="default" w:ascii="Times New Roman" w:hAnsi="Times New Roman" w:cs="Times New Roman"/>
          <w:color w:val="auto"/>
          <w:u w:val="none"/>
        </w:rPr>
        <w:t>本项目污水处理厂位于</w:t>
      </w:r>
      <w:r>
        <w:rPr>
          <w:rFonts w:hint="eastAsia" w:cs="宋体"/>
          <w:b w:val="0"/>
          <w:bCs/>
          <w:color w:val="auto"/>
          <w:kern w:val="0"/>
          <w:u w:val="single"/>
          <w:lang w:eastAsia="zh-CN"/>
        </w:rPr>
        <w:t>湘西州永顺县灵溪镇岔那村（猛洞河产业园内）</w:t>
      </w:r>
      <w:r>
        <w:rPr>
          <w:rFonts w:hint="default" w:ascii="Times New Roman" w:hAnsi="Times New Roman" w:cs="Times New Roman"/>
          <w:color w:val="auto"/>
          <w:u w:val="none"/>
          <w:lang w:eastAsia="zh-CN"/>
        </w:rPr>
        <w:t>，最近地表水系为猛洞河，距离猛洞河最近</w:t>
      </w:r>
      <w:r>
        <w:rPr>
          <w:rFonts w:hint="default" w:ascii="Times New Roman" w:hAnsi="Times New Roman" w:cs="Times New Roman"/>
          <w:color w:val="auto"/>
          <w:u w:val="none"/>
          <w:lang w:val="en-US" w:eastAsia="zh-CN"/>
        </w:rPr>
        <w:t>810m</w:t>
      </w:r>
      <w:r>
        <w:rPr>
          <w:rFonts w:hint="default" w:ascii="Times New Roman" w:hAnsi="Times New Roman" w:cs="Times New Roman"/>
          <w:color w:val="auto"/>
          <w:u w:val="none"/>
          <w:lang w:eastAsia="zh-CN"/>
        </w:rPr>
        <w:t>，故将排污口设置于猛洞河，地理位置：</w:t>
      </w:r>
      <w:r>
        <w:rPr>
          <w:rFonts w:hint="default" w:ascii="Times New Roman" w:hAnsi="Times New Roman" w:cs="Times New Roman"/>
          <w:color w:val="auto"/>
          <w:u w:val="none"/>
          <w:lang w:val="en-US" w:eastAsia="zh-CN"/>
        </w:rPr>
        <w:t>E</w:t>
      </w:r>
      <w:r>
        <w:rPr>
          <w:rFonts w:hint="default" w:ascii="Times New Roman" w:hAnsi="Times New Roman" w:cs="Times New Roman"/>
          <w:color w:val="auto"/>
          <w:u w:val="none"/>
          <w:lang w:eastAsia="zh-CN"/>
        </w:rPr>
        <w:t>109°50′35.30277″</w:t>
      </w:r>
      <w:r>
        <w:rPr>
          <w:rFonts w:hint="eastAsia" w:cs="Times New Roman"/>
          <w:color w:val="auto"/>
          <w:u w:val="none"/>
          <w:lang w:eastAsia="zh-CN"/>
        </w:rPr>
        <w:t>，</w:t>
      </w:r>
      <w:r>
        <w:rPr>
          <w:rFonts w:hint="default" w:ascii="Times New Roman" w:hAnsi="Times New Roman" w:cs="Times New Roman"/>
          <w:color w:val="auto"/>
          <w:u w:val="none"/>
          <w:lang w:val="en-US" w:eastAsia="zh-CN"/>
        </w:rPr>
        <w:t>N</w:t>
      </w:r>
      <w:r>
        <w:rPr>
          <w:rFonts w:hint="default" w:ascii="Times New Roman" w:hAnsi="Times New Roman" w:cs="Times New Roman"/>
          <w:color w:val="auto"/>
          <w:u w:val="none"/>
          <w:lang w:eastAsia="zh-CN"/>
        </w:rPr>
        <w:t>28°58′3.53112″，排水管道长</w:t>
      </w:r>
      <w:r>
        <w:rPr>
          <w:rFonts w:hint="default" w:ascii="Times New Roman" w:hAnsi="Times New Roman" w:cs="Times New Roman"/>
          <w:color w:val="auto"/>
          <w:u w:val="none"/>
          <w:lang w:val="en-US" w:eastAsia="zh-CN"/>
        </w:rPr>
        <w:t>2050m，距离上游永顺县猛洞河饮用水水源保护区9km，</w:t>
      </w:r>
      <w:r>
        <w:rPr>
          <w:rFonts w:hint="default" w:ascii="Times New Roman" w:hAnsi="Times New Roman" w:cs="Times New Roman"/>
          <w:color w:val="auto"/>
          <w:kern w:val="0"/>
          <w:u w:val="none"/>
        </w:rPr>
        <w:t>不会影响到饮用水源保护区，</w:t>
      </w:r>
      <w:r>
        <w:rPr>
          <w:rFonts w:hint="default" w:ascii="Times New Roman" w:hAnsi="Times New Roman" w:cs="Times New Roman"/>
          <w:color w:val="auto"/>
          <w:kern w:val="0"/>
          <w:u w:val="none"/>
          <w:lang w:eastAsia="zh-CN"/>
        </w:rPr>
        <w:t>部分管道及排污口位于永顺猛洞河国家级风景名胜区外围保护区、不二门国家级森林公园官河保育区、猛洞河地质公园三级保护区，本项目虽然涉及保护区，但根据前文符合性分析结论，本项目的建设性质特点与保护区规划不冲突，</w:t>
      </w:r>
      <w:r>
        <w:rPr>
          <w:rFonts w:hint="default" w:ascii="Times New Roman" w:hAnsi="Times New Roman" w:cs="Times New Roman"/>
          <w:color w:val="auto"/>
          <w:kern w:val="0"/>
          <w:u w:val="none"/>
        </w:rPr>
        <w:t>故本项目排污口设置合理。</w:t>
      </w:r>
      <w:r>
        <w:rPr>
          <w:rFonts w:hint="default" w:ascii="Times New Roman" w:hAnsi="Times New Roman" w:cs="Times New Roman"/>
          <w:color w:val="auto"/>
          <w:kern w:val="0"/>
          <w:u w:val="none"/>
          <w:lang w:eastAsia="zh-CN"/>
        </w:rPr>
        <w:t>入河排污口论证详见第八章。</w:t>
      </w:r>
    </w:p>
    <w:p>
      <w:pPr>
        <w:autoSpaceDE w:val="0"/>
        <w:autoSpaceDN w:val="0"/>
        <w:adjustRightInd w:val="0"/>
        <w:ind w:firstLine="482"/>
        <w:jc w:val="both"/>
        <w:rPr>
          <w:rFonts w:hint="eastAsia" w:cs="宋体"/>
          <w:b/>
          <w:color w:val="auto"/>
          <w:kern w:val="0"/>
          <w:u w:val="single"/>
        </w:rPr>
      </w:pPr>
      <w:r>
        <w:rPr>
          <w:rFonts w:hint="eastAsia" w:cs="宋体"/>
          <w:b/>
          <w:color w:val="auto"/>
          <w:kern w:val="0"/>
          <w:u w:val="single"/>
        </w:rPr>
        <w:t>（</w:t>
      </w:r>
      <w:r>
        <w:rPr>
          <w:rFonts w:hint="eastAsia" w:cs="宋体"/>
          <w:b/>
          <w:color w:val="auto"/>
          <w:kern w:val="0"/>
          <w:u w:val="single"/>
          <w:lang w:val="en-US" w:eastAsia="zh-CN"/>
        </w:rPr>
        <w:t>9</w:t>
      </w:r>
      <w:r>
        <w:rPr>
          <w:rFonts w:hint="eastAsia" w:cs="宋体"/>
          <w:b/>
          <w:color w:val="auto"/>
          <w:kern w:val="0"/>
          <w:u w:val="single"/>
        </w:rPr>
        <w:t>）处理工艺达标可行性分析</w:t>
      </w:r>
    </w:p>
    <w:p>
      <w:pPr>
        <w:ind w:firstLine="480"/>
        <w:jc w:val="both"/>
        <w:rPr>
          <w:rFonts w:hint="eastAsia"/>
          <w:color w:val="auto"/>
          <w:kern w:val="0"/>
          <w:u w:val="single"/>
          <w:lang w:eastAsia="zh-CN"/>
        </w:rPr>
      </w:pPr>
      <w:r>
        <w:rPr>
          <w:rFonts w:hint="eastAsia"/>
          <w:color w:val="auto"/>
          <w:kern w:val="0"/>
          <w:u w:val="single"/>
        </w:rPr>
        <w:t>根据建设单位提供的资料，本项目</w:t>
      </w:r>
      <w:r>
        <w:rPr>
          <w:rFonts w:hint="eastAsia"/>
          <w:color w:val="auto"/>
          <w:kern w:val="0"/>
          <w:u w:val="single"/>
          <w:lang w:eastAsia="zh-CN"/>
        </w:rPr>
        <w:t>污水处理采用</w:t>
      </w:r>
      <w:r>
        <w:rPr>
          <w:rFonts w:hint="eastAsia"/>
          <w:color w:val="auto"/>
          <w:kern w:val="0"/>
          <w:u w:val="single"/>
          <w:lang w:val="en-US" w:eastAsia="zh-CN"/>
        </w:rPr>
        <w:t>MBR工艺</w:t>
      </w:r>
      <w:r>
        <w:rPr>
          <w:rFonts w:hint="eastAsia"/>
          <w:color w:val="auto"/>
          <w:kern w:val="0"/>
          <w:u w:val="single"/>
        </w:rPr>
        <w:t>，</w:t>
      </w:r>
      <w:r>
        <w:rPr>
          <w:rFonts w:hint="eastAsia"/>
          <w:color w:val="auto"/>
          <w:kern w:val="0"/>
          <w:u w:val="single"/>
          <w:lang w:eastAsia="zh-CN"/>
        </w:rPr>
        <w:t>具体工艺流程为“</w:t>
      </w:r>
      <w:r>
        <w:rPr>
          <w:rFonts w:hint="eastAsia"/>
          <w:color w:val="auto"/>
          <w:u w:val="single"/>
        </w:rPr>
        <w:t>格栅</w:t>
      </w:r>
      <w:r>
        <w:rPr>
          <w:rFonts w:hint="eastAsia"/>
          <w:color w:val="auto"/>
          <w:u w:val="single"/>
          <w:lang w:eastAsia="zh-CN"/>
        </w:rPr>
        <w:t>渠</w:t>
      </w:r>
      <w:r>
        <w:rPr>
          <w:rFonts w:hint="eastAsia"/>
          <w:color w:val="auto"/>
          <w:u w:val="single"/>
        </w:rPr>
        <w:t>→沉砂池→调节池→</w:t>
      </w:r>
      <w:r>
        <w:rPr>
          <w:rFonts w:hint="eastAsia"/>
          <w:color w:val="auto"/>
          <w:u w:val="single"/>
          <w:lang w:val="en-US" w:eastAsia="zh-CN"/>
        </w:rPr>
        <w:t>MBR一体化设备（缺氧池、好氧池、厌氧池、膜离线清洗设备）</w:t>
      </w:r>
      <w:r>
        <w:rPr>
          <w:rFonts w:hint="eastAsia"/>
          <w:color w:val="auto"/>
          <w:u w:val="single"/>
        </w:rPr>
        <w:t>→</w:t>
      </w:r>
      <w:r>
        <w:rPr>
          <w:rFonts w:hint="eastAsia"/>
          <w:color w:val="auto"/>
          <w:u w:val="single"/>
          <w:lang w:eastAsia="zh-CN"/>
        </w:rPr>
        <w:t>清水</w:t>
      </w:r>
      <w:r>
        <w:rPr>
          <w:rFonts w:hint="eastAsia"/>
          <w:color w:val="auto"/>
          <w:u w:val="single"/>
        </w:rPr>
        <w:t>池</w:t>
      </w:r>
      <w:r>
        <w:rPr>
          <w:rFonts w:hint="eastAsia"/>
          <w:color w:val="auto"/>
          <w:kern w:val="0"/>
          <w:u w:val="single"/>
          <w:lang w:eastAsia="zh-CN"/>
        </w:rPr>
        <w:t>”。</w:t>
      </w:r>
    </w:p>
    <w:p>
      <w:pPr>
        <w:ind w:firstLine="480"/>
        <w:jc w:val="both"/>
        <w:rPr>
          <w:rFonts w:hint="eastAsia"/>
          <w:color w:val="auto"/>
          <w:kern w:val="0"/>
          <w:u w:val="single"/>
          <w:lang w:eastAsia="zh-CN"/>
        </w:rPr>
      </w:pPr>
      <w:r>
        <w:rPr>
          <w:rFonts w:hint="eastAsia"/>
          <w:color w:val="auto"/>
          <w:kern w:val="0"/>
          <w:u w:val="single"/>
          <w:lang w:eastAsia="zh-CN"/>
        </w:rPr>
        <w:t>膜生物反应器（MBR）工艺是膜分离技术与生物技术有机结合的新型废水处理技术。它利用膜分离设备将生化反应池中的活性污泥和大分子有机物截留住，省掉二沉池。因此，活性污泥浓度可以大大提高，水力停留时间（HRT）和污泥停留时间（SRT）可以分别控制，而难降解的物质在反应器中不断反应和降解。因此，膜</w:t>
      </w:r>
      <w:r>
        <w:rPr>
          <w:rFonts w:hint="eastAsia"/>
          <w:color w:val="auto"/>
          <w:kern w:val="0"/>
          <w:u w:val="single"/>
          <w:lang w:val="en-US" w:eastAsia="zh-CN"/>
        </w:rPr>
        <w:t>-</w:t>
      </w:r>
      <w:r>
        <w:rPr>
          <w:rFonts w:hint="eastAsia"/>
          <w:color w:val="auto"/>
          <w:kern w:val="0"/>
          <w:u w:val="single"/>
          <w:lang w:eastAsia="zh-CN"/>
        </w:rPr>
        <w:t>生物反应器工艺通过膜的分离技术大大强化了生物反应器的功能。其工作原理如下：</w:t>
      </w:r>
    </w:p>
    <w:p>
      <w:pPr>
        <w:jc w:val="both"/>
        <w:rPr>
          <w:rFonts w:hint="default"/>
          <w:color w:val="auto"/>
          <w:kern w:val="0"/>
          <w:u w:val="single"/>
          <w:lang w:val="en-US" w:eastAsia="zh-CN"/>
        </w:rPr>
      </w:pPr>
      <w:r>
        <w:rPr>
          <w:rFonts w:hint="eastAsia"/>
          <w:color w:val="auto"/>
          <w:kern w:val="0"/>
          <w:u w:val="single"/>
          <w:lang w:eastAsia="zh-CN"/>
        </w:rPr>
        <w:t>格栅渠及沉砂池除去污水中多余垃圾杂物及大颗固体；调节池主要均衡污水水质水量、调节</w:t>
      </w:r>
      <w:r>
        <w:rPr>
          <w:rFonts w:hint="eastAsia"/>
          <w:color w:val="auto"/>
          <w:kern w:val="0"/>
          <w:u w:val="single"/>
          <w:lang w:val="en-US" w:eastAsia="zh-CN"/>
        </w:rPr>
        <w:t>pH；厌氧池主要将大分子有机物分解成小分子有机物，便于后续工艺处理，去除部分COD，同时起到除磷作用；缺氧池主要去除氨氮等含氮废水（缺氧区在反硝华菌的作用下进行如下化学反应：6NO</w:t>
      </w:r>
      <w:r>
        <w:rPr>
          <w:rFonts w:hint="eastAsia"/>
          <w:color w:val="auto"/>
          <w:kern w:val="0"/>
          <w:u w:val="single"/>
          <w:vertAlign w:val="subscript"/>
          <w:lang w:val="en-US" w:eastAsia="zh-CN"/>
        </w:rPr>
        <w:t>3</w:t>
      </w:r>
      <w:r>
        <w:rPr>
          <w:rFonts w:hint="eastAsia"/>
          <w:color w:val="auto"/>
          <w:kern w:val="0"/>
          <w:u w:val="single"/>
          <w:lang w:val="en-US" w:eastAsia="zh-CN"/>
        </w:rPr>
        <w:t>-+30</w:t>
      </w:r>
      <w:r>
        <w:rPr>
          <w:rFonts w:hint="eastAsia"/>
          <w:color w:val="auto"/>
          <w:kern w:val="0"/>
          <w:u w:val="single"/>
          <w:vertAlign w:val="subscript"/>
          <w:lang w:val="en-US" w:eastAsia="zh-CN"/>
        </w:rPr>
        <w:t>2</w:t>
      </w:r>
      <w:r>
        <w:rPr>
          <w:rFonts w:hint="eastAsia"/>
          <w:color w:val="auto"/>
          <w:kern w:val="0"/>
          <w:u w:val="single"/>
          <w:lang w:val="en-US" w:eastAsia="zh-CN"/>
        </w:rPr>
        <w:t xml:space="preserve"> → 6NO</w:t>
      </w:r>
      <w:r>
        <w:rPr>
          <w:rFonts w:hint="eastAsia"/>
          <w:color w:val="auto"/>
          <w:kern w:val="0"/>
          <w:u w:val="single"/>
          <w:vertAlign w:val="subscript"/>
          <w:lang w:val="en-US" w:eastAsia="zh-CN"/>
        </w:rPr>
        <w:t>2</w:t>
      </w:r>
      <w:r>
        <w:rPr>
          <w:rFonts w:hint="eastAsia"/>
          <w:color w:val="auto"/>
          <w:kern w:val="0"/>
          <w:u w:val="single"/>
          <w:lang w:val="en-US" w:eastAsia="zh-CN"/>
        </w:rPr>
        <w:t>- +2CO</w:t>
      </w:r>
      <w:r>
        <w:rPr>
          <w:rFonts w:hint="eastAsia"/>
          <w:color w:val="auto"/>
          <w:kern w:val="0"/>
          <w:u w:val="single"/>
          <w:vertAlign w:val="subscript"/>
          <w:lang w:val="en-US" w:eastAsia="zh-CN"/>
        </w:rPr>
        <w:t>2</w:t>
      </w:r>
      <w:r>
        <w:rPr>
          <w:rFonts w:hint="eastAsia"/>
          <w:color w:val="auto"/>
          <w:kern w:val="0"/>
          <w:u w:val="single"/>
          <w:lang w:val="en-US" w:eastAsia="zh-CN"/>
        </w:rPr>
        <w:t xml:space="preserve"> ↑ +4H</w:t>
      </w:r>
      <w:r>
        <w:rPr>
          <w:rFonts w:hint="eastAsia"/>
          <w:color w:val="auto"/>
          <w:kern w:val="0"/>
          <w:u w:val="single"/>
          <w:vertAlign w:val="subscript"/>
          <w:lang w:val="en-US" w:eastAsia="zh-CN"/>
        </w:rPr>
        <w:t>2</w:t>
      </w:r>
      <w:r>
        <w:rPr>
          <w:rFonts w:hint="eastAsia"/>
          <w:color w:val="auto"/>
          <w:kern w:val="0"/>
          <w:u w:val="single"/>
          <w:lang w:val="en-US" w:eastAsia="zh-CN"/>
        </w:rPr>
        <w:t>O 2NO</w:t>
      </w:r>
      <w:r>
        <w:rPr>
          <w:rFonts w:hint="eastAsia"/>
          <w:color w:val="auto"/>
          <w:kern w:val="0"/>
          <w:u w:val="single"/>
          <w:vertAlign w:val="subscript"/>
          <w:lang w:val="en-US" w:eastAsia="zh-CN"/>
        </w:rPr>
        <w:t>2</w:t>
      </w:r>
      <w:r>
        <w:rPr>
          <w:rFonts w:hint="eastAsia"/>
          <w:color w:val="auto"/>
          <w:kern w:val="0"/>
          <w:u w:val="single"/>
          <w:lang w:val="en-US" w:eastAsia="zh-CN"/>
        </w:rPr>
        <w:t>- +3CH</w:t>
      </w:r>
      <w:r>
        <w:rPr>
          <w:rFonts w:hint="eastAsia"/>
          <w:color w:val="auto"/>
          <w:kern w:val="0"/>
          <w:u w:val="single"/>
          <w:vertAlign w:val="subscript"/>
          <w:lang w:val="en-US" w:eastAsia="zh-CN"/>
        </w:rPr>
        <w:t>3</w:t>
      </w:r>
      <w:r>
        <w:rPr>
          <w:rFonts w:hint="eastAsia"/>
          <w:color w:val="auto"/>
          <w:kern w:val="0"/>
          <w:u w:val="single"/>
          <w:lang w:val="en-US" w:eastAsia="zh-CN"/>
        </w:rPr>
        <w:t>OH → 3N</w:t>
      </w:r>
      <w:r>
        <w:rPr>
          <w:rFonts w:hint="eastAsia"/>
          <w:color w:val="auto"/>
          <w:kern w:val="0"/>
          <w:u w:val="single"/>
          <w:vertAlign w:val="subscript"/>
          <w:lang w:val="en-US" w:eastAsia="zh-CN"/>
        </w:rPr>
        <w:t>2</w:t>
      </w:r>
      <w:r>
        <w:rPr>
          <w:rFonts w:hint="eastAsia"/>
          <w:color w:val="auto"/>
          <w:kern w:val="0"/>
          <w:u w:val="single"/>
          <w:lang w:val="en-US" w:eastAsia="zh-CN"/>
        </w:rPr>
        <w:t xml:space="preserve"> ↑ +6H</w:t>
      </w:r>
      <w:r>
        <w:rPr>
          <w:rFonts w:hint="eastAsia"/>
          <w:color w:val="auto"/>
          <w:kern w:val="0"/>
          <w:u w:val="single"/>
          <w:vertAlign w:val="subscript"/>
          <w:lang w:val="en-US" w:eastAsia="zh-CN"/>
        </w:rPr>
        <w:t>2</w:t>
      </w:r>
      <w:r>
        <w:rPr>
          <w:rFonts w:hint="eastAsia"/>
          <w:color w:val="auto"/>
          <w:kern w:val="0"/>
          <w:u w:val="single"/>
          <w:lang w:val="en-US" w:eastAsia="zh-CN"/>
        </w:rPr>
        <w:t>0+6OH-+3C0</w:t>
      </w:r>
      <w:r>
        <w:rPr>
          <w:rFonts w:hint="eastAsia"/>
          <w:color w:val="auto"/>
          <w:kern w:val="0"/>
          <w:u w:val="single"/>
          <w:vertAlign w:val="subscript"/>
          <w:lang w:val="en-US" w:eastAsia="zh-CN"/>
        </w:rPr>
        <w:t>2</w:t>
      </w:r>
      <w:r>
        <w:rPr>
          <w:rFonts w:hint="eastAsia"/>
          <w:color w:val="auto"/>
          <w:kern w:val="0"/>
          <w:u w:val="single"/>
          <w:lang w:val="en-US" w:eastAsia="zh-CN"/>
        </w:rPr>
        <w:t>。）；好氧池内经过降解后的有机物在曝气充氧的情况下，被池内的好氧微生物进一步降解为二氧化碳和水，彻底将有机物分解掉，同时释磷微生物超量吸收磷从而去除磷（好氧区内反硝华菌进行如下化学反应：2NH</w:t>
      </w:r>
      <w:r>
        <w:rPr>
          <w:rFonts w:hint="eastAsia"/>
          <w:color w:val="auto"/>
          <w:kern w:val="0"/>
          <w:u w:val="single"/>
          <w:vertAlign w:val="subscript"/>
          <w:lang w:val="en-US" w:eastAsia="zh-CN"/>
        </w:rPr>
        <w:t>4</w:t>
      </w:r>
      <w:r>
        <w:rPr>
          <w:rFonts w:hint="eastAsia"/>
          <w:color w:val="auto"/>
          <w:kern w:val="0"/>
          <w:u w:val="single"/>
          <w:lang w:val="en-US" w:eastAsia="zh-CN"/>
        </w:rPr>
        <w:t>++30</w:t>
      </w:r>
      <w:r>
        <w:rPr>
          <w:rFonts w:hint="eastAsia"/>
          <w:color w:val="auto"/>
          <w:kern w:val="0"/>
          <w:u w:val="single"/>
          <w:vertAlign w:val="subscript"/>
          <w:lang w:val="en-US" w:eastAsia="zh-CN"/>
        </w:rPr>
        <w:t>2</w:t>
      </w:r>
      <w:r>
        <w:rPr>
          <w:rFonts w:hint="eastAsia"/>
          <w:color w:val="auto"/>
          <w:kern w:val="0"/>
          <w:u w:val="single"/>
          <w:lang w:val="en-US" w:eastAsia="zh-CN"/>
        </w:rPr>
        <w:t xml:space="preserve"> → 2N0</w:t>
      </w:r>
      <w:r>
        <w:rPr>
          <w:rFonts w:hint="eastAsia"/>
          <w:color w:val="auto"/>
          <w:kern w:val="0"/>
          <w:u w:val="single"/>
          <w:vertAlign w:val="subscript"/>
          <w:lang w:val="en-US" w:eastAsia="zh-CN"/>
        </w:rPr>
        <w:t>2</w:t>
      </w:r>
      <w:r>
        <w:rPr>
          <w:rFonts w:hint="eastAsia"/>
          <w:color w:val="auto"/>
          <w:kern w:val="0"/>
          <w:u w:val="single"/>
          <w:lang w:val="en-US" w:eastAsia="zh-CN"/>
        </w:rPr>
        <w:t>-+4H++2H</w:t>
      </w:r>
      <w:r>
        <w:rPr>
          <w:rFonts w:hint="eastAsia"/>
          <w:color w:val="auto"/>
          <w:kern w:val="0"/>
          <w:u w:val="single"/>
          <w:vertAlign w:val="subscript"/>
          <w:lang w:val="en-US" w:eastAsia="zh-CN"/>
        </w:rPr>
        <w:t>2</w:t>
      </w:r>
      <w:r>
        <w:rPr>
          <w:rFonts w:hint="eastAsia"/>
          <w:color w:val="auto"/>
          <w:kern w:val="0"/>
          <w:u w:val="single"/>
          <w:lang w:val="en-US" w:eastAsia="zh-CN"/>
        </w:rPr>
        <w:t>0，2N0</w:t>
      </w:r>
      <w:r>
        <w:rPr>
          <w:rFonts w:hint="eastAsia"/>
          <w:color w:val="auto"/>
          <w:kern w:val="0"/>
          <w:u w:val="single"/>
          <w:vertAlign w:val="subscript"/>
          <w:lang w:val="en-US" w:eastAsia="zh-CN"/>
        </w:rPr>
        <w:t>2</w:t>
      </w:r>
      <w:r>
        <w:rPr>
          <w:rFonts w:hint="eastAsia"/>
          <w:color w:val="auto"/>
          <w:kern w:val="0"/>
          <w:u w:val="single"/>
          <w:lang w:val="en-US" w:eastAsia="zh-CN"/>
        </w:rPr>
        <w:t>- +0</w:t>
      </w:r>
      <w:r>
        <w:rPr>
          <w:rFonts w:hint="eastAsia"/>
          <w:color w:val="auto"/>
          <w:kern w:val="0"/>
          <w:u w:val="single"/>
          <w:vertAlign w:val="subscript"/>
          <w:lang w:val="en-US" w:eastAsia="zh-CN"/>
        </w:rPr>
        <w:t>2</w:t>
      </w:r>
      <w:r>
        <w:rPr>
          <w:rFonts w:hint="eastAsia"/>
          <w:color w:val="auto"/>
          <w:kern w:val="0"/>
          <w:u w:val="single"/>
          <w:lang w:val="en-US" w:eastAsia="zh-CN"/>
        </w:rPr>
        <w:t xml:space="preserve"> → 2N0</w:t>
      </w:r>
      <w:r>
        <w:rPr>
          <w:rFonts w:hint="eastAsia"/>
          <w:color w:val="auto"/>
          <w:kern w:val="0"/>
          <w:u w:val="single"/>
          <w:vertAlign w:val="subscript"/>
          <w:lang w:val="en-US" w:eastAsia="zh-CN"/>
        </w:rPr>
        <w:t>3</w:t>
      </w:r>
      <w:r>
        <w:rPr>
          <w:rFonts w:hint="eastAsia"/>
          <w:color w:val="auto"/>
          <w:kern w:val="0"/>
          <w:u w:val="single"/>
          <w:lang w:val="en-US" w:eastAsia="zh-CN"/>
        </w:rPr>
        <w:t>-）；污水经生化处理后进入MBR膜池后，利用MBR膜进行分离，进一步提高出水水质；最后MBR 膜池出水进入清水池调节水量后通过排水管道外排。</w:t>
      </w:r>
    </w:p>
    <w:p>
      <w:pPr>
        <w:ind w:firstLine="480"/>
        <w:jc w:val="both"/>
        <w:rPr>
          <w:rFonts w:hint="eastAsia"/>
          <w:color w:val="auto"/>
          <w:kern w:val="0"/>
          <w:u w:val="single"/>
          <w:lang w:val="en-US" w:eastAsia="zh-CN"/>
        </w:rPr>
      </w:pPr>
      <w:r>
        <w:rPr>
          <w:rFonts w:hint="eastAsia"/>
          <w:color w:val="auto"/>
          <w:kern w:val="0"/>
          <w:u w:val="single"/>
          <w:lang w:eastAsia="zh-CN"/>
        </w:rPr>
        <w:t>根据《[1]曾立夫,刘翌.膜生物反应器（MBR）工艺应用研究[J].资源节约与环保,2020(08):64-65》中长沙市某污水处理厂采用</w:t>
      </w:r>
      <w:r>
        <w:rPr>
          <w:rFonts w:hint="eastAsia"/>
          <w:color w:val="auto"/>
          <w:kern w:val="0"/>
          <w:u w:val="single"/>
          <w:lang w:val="en-US" w:eastAsia="zh-CN"/>
        </w:rPr>
        <w:t>MBR工艺改造后的处理效率：COD：90%、BOD</w:t>
      </w:r>
      <w:r>
        <w:rPr>
          <w:rFonts w:hint="eastAsia"/>
          <w:color w:val="auto"/>
          <w:kern w:val="0"/>
          <w:u w:val="single"/>
          <w:vertAlign w:val="subscript"/>
          <w:lang w:val="en-US" w:eastAsia="zh-CN"/>
        </w:rPr>
        <w:t>5</w:t>
      </w:r>
      <w:r>
        <w:rPr>
          <w:rFonts w:hint="eastAsia"/>
          <w:color w:val="auto"/>
          <w:kern w:val="0"/>
          <w:u w:val="single"/>
          <w:vertAlign w:val="baseline"/>
          <w:lang w:val="en-US" w:eastAsia="zh-CN"/>
        </w:rPr>
        <w:t>：</w:t>
      </w:r>
      <w:r>
        <w:rPr>
          <w:rFonts w:hint="eastAsia"/>
          <w:color w:val="auto"/>
          <w:kern w:val="0"/>
          <w:u w:val="single"/>
          <w:lang w:val="en-US" w:eastAsia="zh-CN"/>
        </w:rPr>
        <w:t>96.67%、NH</w:t>
      </w:r>
      <w:r>
        <w:rPr>
          <w:rFonts w:hint="eastAsia"/>
          <w:color w:val="auto"/>
          <w:kern w:val="0"/>
          <w:u w:val="single"/>
          <w:vertAlign w:val="subscript"/>
          <w:lang w:val="en-US" w:eastAsia="zh-CN"/>
        </w:rPr>
        <w:t>3</w:t>
      </w:r>
      <w:r>
        <w:rPr>
          <w:rFonts w:hint="eastAsia"/>
          <w:color w:val="auto"/>
          <w:kern w:val="0"/>
          <w:u w:val="single"/>
          <w:lang w:val="en-US" w:eastAsia="zh-CN"/>
        </w:rPr>
        <w:t>-N：80%、TN：66.67%、SS：97.5%、TP：90%、石油类：95%、动植物油：99%，由于本项目的处理工艺与其相同，均为“格栅</w:t>
      </w:r>
      <w:r>
        <w:rPr>
          <w:rFonts w:hint="default" w:ascii="Arial" w:hAnsi="Arial" w:cs="Arial"/>
          <w:color w:val="auto"/>
          <w:kern w:val="0"/>
          <w:u w:val="single"/>
          <w:lang w:val="en-US" w:eastAsia="zh-CN"/>
        </w:rPr>
        <w:t>→</w:t>
      </w:r>
      <w:r>
        <w:rPr>
          <w:rFonts w:hint="eastAsia"/>
          <w:color w:val="auto"/>
          <w:kern w:val="0"/>
          <w:u w:val="single"/>
          <w:lang w:val="en-US" w:eastAsia="zh-CN"/>
        </w:rPr>
        <w:t>沉沉砂池</w:t>
      </w:r>
      <w:r>
        <w:rPr>
          <w:rFonts w:hint="default" w:ascii="Arial" w:hAnsi="Arial" w:cs="Arial"/>
          <w:color w:val="auto"/>
          <w:kern w:val="0"/>
          <w:u w:val="single"/>
          <w:lang w:val="en-US" w:eastAsia="zh-CN"/>
        </w:rPr>
        <w:t>→</w:t>
      </w:r>
      <w:r>
        <w:rPr>
          <w:rFonts w:hint="eastAsia" w:ascii="Arial" w:hAnsi="Arial" w:cs="Arial"/>
          <w:color w:val="auto"/>
          <w:kern w:val="0"/>
          <w:u w:val="single"/>
          <w:lang w:val="en-US" w:eastAsia="zh-CN"/>
        </w:rPr>
        <w:t>厌氧池</w:t>
      </w:r>
      <w:r>
        <w:rPr>
          <w:rFonts w:hint="default" w:ascii="Arial" w:hAnsi="Arial" w:cs="Arial"/>
          <w:color w:val="auto"/>
          <w:kern w:val="0"/>
          <w:u w:val="single"/>
          <w:lang w:val="en-US" w:eastAsia="zh-CN"/>
        </w:rPr>
        <w:t>→</w:t>
      </w:r>
      <w:r>
        <w:rPr>
          <w:rFonts w:hint="eastAsia" w:ascii="Arial" w:hAnsi="Arial" w:cs="Arial"/>
          <w:color w:val="auto"/>
          <w:kern w:val="0"/>
          <w:u w:val="single"/>
          <w:lang w:val="en-US" w:eastAsia="zh-CN"/>
        </w:rPr>
        <w:t>缺氧池</w:t>
      </w:r>
      <w:r>
        <w:rPr>
          <w:rFonts w:hint="default" w:ascii="Arial" w:hAnsi="Arial" w:cs="Arial"/>
          <w:color w:val="auto"/>
          <w:kern w:val="0"/>
          <w:u w:val="single"/>
          <w:lang w:val="en-US" w:eastAsia="zh-CN"/>
        </w:rPr>
        <w:t>→</w:t>
      </w:r>
      <w:r>
        <w:rPr>
          <w:rFonts w:hint="eastAsia" w:ascii="Arial" w:hAnsi="Arial" w:cs="Arial"/>
          <w:color w:val="auto"/>
          <w:kern w:val="0"/>
          <w:u w:val="single"/>
          <w:lang w:val="en-US" w:eastAsia="zh-CN"/>
        </w:rPr>
        <w:t>好氧池</w:t>
      </w:r>
      <w:r>
        <w:rPr>
          <w:rFonts w:hint="default" w:ascii="Arial" w:hAnsi="Arial" w:cs="Arial"/>
          <w:color w:val="auto"/>
          <w:kern w:val="0"/>
          <w:u w:val="single"/>
          <w:lang w:val="en-US" w:eastAsia="zh-CN"/>
        </w:rPr>
        <w:t>→</w:t>
      </w:r>
      <w:r>
        <w:rPr>
          <w:rFonts w:hint="eastAsia" w:ascii="Arial" w:hAnsi="Arial" w:cs="Arial"/>
          <w:color w:val="auto"/>
          <w:kern w:val="0"/>
          <w:u w:val="single"/>
          <w:lang w:val="en-US" w:eastAsia="zh-CN"/>
        </w:rPr>
        <w:t>膜分离池</w:t>
      </w:r>
      <w:r>
        <w:rPr>
          <w:rFonts w:hint="default" w:ascii="Arial" w:hAnsi="Arial" w:cs="Arial"/>
          <w:color w:val="auto"/>
          <w:kern w:val="0"/>
          <w:u w:val="single"/>
          <w:lang w:val="en-US" w:eastAsia="zh-CN"/>
        </w:rPr>
        <w:t>→</w:t>
      </w:r>
      <w:r>
        <w:rPr>
          <w:rFonts w:hint="eastAsia" w:ascii="Arial" w:hAnsi="Arial" w:cs="Arial"/>
          <w:color w:val="auto"/>
          <w:kern w:val="0"/>
          <w:u w:val="single"/>
          <w:lang w:val="en-US" w:eastAsia="zh-CN"/>
        </w:rPr>
        <w:t>消毒池</w:t>
      </w:r>
      <w:r>
        <w:rPr>
          <w:rFonts w:hint="eastAsia"/>
          <w:color w:val="auto"/>
          <w:kern w:val="0"/>
          <w:u w:val="single"/>
          <w:lang w:val="en-US" w:eastAsia="zh-CN"/>
        </w:rPr>
        <w:t>”，故引用其污水处理效率。</w:t>
      </w:r>
    </w:p>
    <w:p>
      <w:pPr>
        <w:pStyle w:val="62"/>
        <w:rPr>
          <w:rFonts w:hint="eastAsia"/>
          <w:u w:val="single"/>
          <w:lang w:val="en-US" w:eastAsia="zh-CN"/>
        </w:rPr>
      </w:pPr>
      <w:r>
        <w:rPr>
          <w:rFonts w:hint="eastAsia"/>
          <w:color w:val="auto"/>
          <w:kern w:val="0"/>
          <w:u w:val="single"/>
          <w:lang w:val="en-US" w:eastAsia="zh-CN"/>
        </w:rPr>
        <w:t>本项目设计进水浓度为《污水综合排放标准</w:t>
      </w:r>
      <w:r>
        <w:rPr>
          <w:rFonts w:hint="default" w:ascii="Times New Roman" w:hAnsi="Times New Roman" w:cs="Times New Roman"/>
          <w:color w:val="auto"/>
          <w:kern w:val="0"/>
          <w:u w:val="single"/>
          <w:lang w:val="en-US" w:eastAsia="zh-CN"/>
        </w:rPr>
        <w:t>》（GB8978-1996）中</w:t>
      </w:r>
      <w:r>
        <w:rPr>
          <w:rFonts w:hint="eastAsia"/>
          <w:color w:val="auto"/>
          <w:kern w:val="0"/>
          <w:u w:val="single"/>
          <w:lang w:val="en-US" w:eastAsia="zh-CN"/>
        </w:rPr>
        <w:t>的</w:t>
      </w:r>
      <w:r>
        <w:rPr>
          <w:rFonts w:hint="default" w:ascii="Times New Roman" w:hAnsi="Times New Roman" w:cs="Times New Roman"/>
          <w:color w:val="auto"/>
          <w:kern w:val="0"/>
          <w:u w:val="single"/>
          <w:lang w:val="en-US" w:eastAsia="zh-CN"/>
        </w:rPr>
        <w:t>三级标准浓度</w:t>
      </w:r>
      <w:r>
        <w:rPr>
          <w:rFonts w:hint="eastAsia" w:ascii="Times New Roman" w:hAnsi="Times New Roman" w:cs="Times New Roman"/>
          <w:color w:val="auto"/>
          <w:kern w:val="0"/>
          <w:u w:val="single"/>
          <w:lang w:val="en-US" w:eastAsia="zh-CN"/>
        </w:rPr>
        <w:t>及《污水排入城镇下水道水质标准》（GB/T31962-2015）中C级标准</w:t>
      </w:r>
      <w:r>
        <w:rPr>
          <w:rFonts w:hint="default" w:ascii="Times New Roman" w:hAnsi="Times New Roman" w:cs="Times New Roman"/>
          <w:color w:val="auto"/>
          <w:kern w:val="0"/>
          <w:u w:val="single"/>
          <w:lang w:val="en-US" w:eastAsia="zh-CN"/>
        </w:rPr>
        <w:t>，即COD：</w:t>
      </w:r>
      <w:r>
        <w:rPr>
          <w:rFonts w:hint="eastAsia" w:ascii="Times New Roman" w:hAnsi="Times New Roman" w:cs="Times New Roman"/>
          <w:color w:val="auto"/>
          <w:kern w:val="0"/>
          <w:u w:val="single"/>
          <w:lang w:val="en-US" w:eastAsia="zh-CN"/>
        </w:rPr>
        <w:t>500mg/L</w:t>
      </w:r>
      <w:r>
        <w:rPr>
          <w:rFonts w:hint="default" w:ascii="Times New Roman" w:hAnsi="Times New Roman" w:cs="Times New Roman"/>
          <w:color w:val="auto"/>
          <w:kern w:val="0"/>
          <w:u w:val="single"/>
          <w:lang w:val="en-US" w:eastAsia="zh-CN"/>
        </w:rPr>
        <w:t>、BOD</w:t>
      </w:r>
      <w:r>
        <w:rPr>
          <w:rFonts w:hint="default" w:ascii="Times New Roman" w:hAnsi="Times New Roman" w:cs="Times New Roman"/>
          <w:color w:val="auto"/>
          <w:kern w:val="0"/>
          <w:u w:val="single"/>
          <w:vertAlign w:val="subscript"/>
          <w:lang w:val="en-US" w:eastAsia="zh-CN"/>
        </w:rPr>
        <w:t>5</w:t>
      </w:r>
      <w:r>
        <w:rPr>
          <w:rFonts w:hint="default" w:ascii="Times New Roman" w:hAnsi="Times New Roman" w:cs="Times New Roman"/>
          <w:color w:val="auto"/>
          <w:kern w:val="0"/>
          <w:u w:val="single"/>
          <w:vertAlign w:val="baseline"/>
          <w:lang w:val="en-US" w:eastAsia="zh-CN"/>
        </w:rPr>
        <w:t>：</w:t>
      </w:r>
      <w:r>
        <w:rPr>
          <w:rFonts w:hint="eastAsia" w:ascii="Times New Roman" w:hAnsi="Times New Roman" w:cs="Times New Roman"/>
          <w:color w:val="auto"/>
          <w:kern w:val="0"/>
          <w:u w:val="single"/>
          <w:lang w:val="en-US" w:eastAsia="zh-CN"/>
        </w:rPr>
        <w:t>300mg/L</w:t>
      </w:r>
      <w:r>
        <w:rPr>
          <w:rFonts w:hint="default" w:ascii="Times New Roman" w:hAnsi="Times New Roman" w:cs="Times New Roman"/>
          <w:color w:val="auto"/>
          <w:kern w:val="0"/>
          <w:u w:val="single"/>
          <w:lang w:val="en-US" w:eastAsia="zh-CN"/>
        </w:rPr>
        <w:t>、NH</w:t>
      </w:r>
      <w:r>
        <w:rPr>
          <w:rFonts w:hint="default" w:ascii="Times New Roman" w:hAnsi="Times New Roman" w:cs="Times New Roman"/>
          <w:color w:val="auto"/>
          <w:kern w:val="0"/>
          <w:u w:val="single"/>
          <w:vertAlign w:val="subscript"/>
          <w:lang w:val="en-US" w:eastAsia="zh-CN"/>
        </w:rPr>
        <w:t>3</w:t>
      </w:r>
      <w:r>
        <w:rPr>
          <w:rFonts w:hint="default" w:ascii="Times New Roman" w:hAnsi="Times New Roman" w:cs="Times New Roman"/>
          <w:color w:val="auto"/>
          <w:kern w:val="0"/>
          <w:u w:val="single"/>
          <w:lang w:val="en-US" w:eastAsia="zh-CN"/>
        </w:rPr>
        <w:t>-N：</w:t>
      </w:r>
      <w:r>
        <w:rPr>
          <w:rFonts w:hint="eastAsia" w:ascii="Times New Roman" w:hAnsi="Times New Roman" w:cs="Times New Roman"/>
          <w:color w:val="auto"/>
          <w:kern w:val="0"/>
          <w:u w:val="single"/>
          <w:lang w:val="en-US" w:eastAsia="zh-CN"/>
        </w:rPr>
        <w:t>25mg/L</w:t>
      </w:r>
      <w:r>
        <w:rPr>
          <w:rFonts w:hint="default" w:ascii="Times New Roman" w:hAnsi="Times New Roman" w:cs="Times New Roman"/>
          <w:color w:val="auto"/>
          <w:kern w:val="0"/>
          <w:u w:val="single"/>
          <w:lang w:val="en-US" w:eastAsia="zh-CN"/>
        </w:rPr>
        <w:t>、TN：</w:t>
      </w:r>
      <w:r>
        <w:rPr>
          <w:rFonts w:hint="eastAsia" w:ascii="Times New Roman" w:hAnsi="Times New Roman" w:cs="Times New Roman"/>
          <w:color w:val="auto"/>
          <w:kern w:val="0"/>
          <w:u w:val="single"/>
          <w:lang w:val="en-US" w:eastAsia="zh-CN"/>
        </w:rPr>
        <w:t>45mg/L</w:t>
      </w:r>
      <w:r>
        <w:rPr>
          <w:rFonts w:hint="default" w:ascii="Times New Roman" w:hAnsi="Times New Roman" w:cs="Times New Roman"/>
          <w:color w:val="auto"/>
          <w:kern w:val="0"/>
          <w:u w:val="single"/>
          <w:lang w:val="en-US" w:eastAsia="zh-CN"/>
        </w:rPr>
        <w:t>、SS：</w:t>
      </w:r>
      <w:r>
        <w:rPr>
          <w:rFonts w:hint="eastAsia" w:ascii="Times New Roman" w:hAnsi="Times New Roman" w:cs="Times New Roman"/>
          <w:color w:val="auto"/>
          <w:kern w:val="0"/>
          <w:u w:val="single"/>
          <w:lang w:val="en-US" w:eastAsia="zh-CN"/>
        </w:rPr>
        <w:t>400mg/L</w:t>
      </w:r>
      <w:r>
        <w:rPr>
          <w:rFonts w:hint="default" w:ascii="Times New Roman" w:hAnsi="Times New Roman" w:cs="Times New Roman"/>
          <w:color w:val="auto"/>
          <w:kern w:val="0"/>
          <w:u w:val="single"/>
          <w:lang w:val="en-US" w:eastAsia="zh-CN"/>
        </w:rPr>
        <w:t>、TP：</w:t>
      </w:r>
      <w:r>
        <w:rPr>
          <w:rFonts w:hint="eastAsia" w:ascii="Times New Roman" w:hAnsi="Times New Roman" w:cs="Times New Roman"/>
          <w:color w:val="auto"/>
          <w:kern w:val="0"/>
          <w:u w:val="single"/>
          <w:lang w:val="en-US" w:eastAsia="zh-CN"/>
        </w:rPr>
        <w:t>5mg/L、石油类</w:t>
      </w:r>
      <w:r>
        <w:rPr>
          <w:rFonts w:hint="default" w:ascii="Times New Roman" w:hAnsi="Times New Roman" w:cs="Times New Roman"/>
          <w:color w:val="auto"/>
          <w:kern w:val="0"/>
          <w:u w:val="single"/>
          <w:lang w:val="en-US" w:eastAsia="zh-CN"/>
        </w:rPr>
        <w:t>：</w:t>
      </w:r>
      <w:r>
        <w:rPr>
          <w:rFonts w:hint="eastAsia" w:ascii="Times New Roman" w:hAnsi="Times New Roman" w:cs="Times New Roman"/>
          <w:color w:val="auto"/>
          <w:kern w:val="0"/>
          <w:u w:val="single"/>
          <w:lang w:val="en-US" w:eastAsia="zh-CN"/>
        </w:rPr>
        <w:t>20mg/L</w:t>
      </w:r>
      <w:r>
        <w:rPr>
          <w:rFonts w:hint="eastAsia" w:ascii="Times New Roman" w:hAnsi="Times New Roman" w:cs="Times New Roman"/>
          <w:color w:val="auto"/>
          <w:kern w:val="0"/>
          <w:u w:val="single"/>
          <w:lang w:val="en-US" w:eastAsia="zh-CN"/>
        </w:rPr>
        <w:t>、动植物油</w:t>
      </w:r>
      <w:r>
        <w:rPr>
          <w:rFonts w:hint="default" w:ascii="Times New Roman" w:hAnsi="Times New Roman" w:cs="Times New Roman"/>
          <w:color w:val="auto"/>
          <w:kern w:val="0"/>
          <w:u w:val="single"/>
          <w:lang w:val="en-US" w:eastAsia="zh-CN"/>
        </w:rPr>
        <w:t>：</w:t>
      </w:r>
      <w:r>
        <w:rPr>
          <w:rFonts w:hint="eastAsia" w:ascii="Times New Roman" w:hAnsi="Times New Roman" w:cs="Times New Roman"/>
          <w:color w:val="auto"/>
          <w:kern w:val="0"/>
          <w:u w:val="single"/>
          <w:lang w:val="en-US" w:eastAsia="zh-CN"/>
        </w:rPr>
        <w:t>100mg/L</w:t>
      </w:r>
      <w:r>
        <w:rPr>
          <w:rFonts w:hint="eastAsia"/>
          <w:u w:val="single"/>
          <w:lang w:val="en-US" w:eastAsia="zh-CN"/>
        </w:rPr>
        <w:t>,经本项目污水处理厂处理后，废水的产排污情况如下表</w:t>
      </w:r>
    </w:p>
    <w:p>
      <w:pPr>
        <w:pStyle w:val="124"/>
        <w:bidi w:val="0"/>
        <w:rPr>
          <w:rFonts w:hint="eastAsia"/>
          <w:u w:val="single"/>
          <w:lang w:val="en-US" w:eastAsia="zh-CN"/>
        </w:rPr>
      </w:pPr>
      <w:r>
        <w:rPr>
          <w:rFonts w:hint="eastAsia"/>
          <w:u w:val="single"/>
          <w:lang w:val="en-US" w:eastAsia="zh-CN"/>
        </w:rPr>
        <w:t>表3-11 本项目污水产排污情况</w:t>
      </w:r>
    </w:p>
    <w:tbl>
      <w:tblPr>
        <w:tblStyle w:val="36"/>
        <w:tblW w:w="53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904"/>
        <w:gridCol w:w="892"/>
        <w:gridCol w:w="948"/>
        <w:gridCol w:w="835"/>
        <w:gridCol w:w="845"/>
        <w:gridCol w:w="960"/>
        <w:gridCol w:w="960"/>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936"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pStyle w:val="73"/>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 xml:space="preserve">     </w:t>
            </w:r>
            <w:r>
              <w:rPr>
                <w:rFonts w:hint="default" w:ascii="Times New Roman" w:hAnsi="Times New Roman" w:cs="Times New Roman"/>
                <w:color w:val="auto"/>
                <w:sz w:val="21"/>
                <w:szCs w:val="21"/>
                <w:u w:val="single"/>
                <w:lang w:val="en-US" w:eastAsia="zh-CN"/>
              </w:rPr>
              <w:t xml:space="preserve">     </w:t>
            </w:r>
            <w:r>
              <w:rPr>
                <w:rFonts w:hint="default" w:ascii="Times New Roman" w:hAnsi="Times New Roman" w:cs="Times New Roman"/>
                <w:color w:val="auto"/>
                <w:sz w:val="21"/>
                <w:szCs w:val="21"/>
                <w:u w:val="single"/>
              </w:rPr>
              <w:t>因子</w:t>
            </w:r>
          </w:p>
          <w:p>
            <w:pPr>
              <w:pStyle w:val="73"/>
              <w:ind w:firstLine="420" w:firstLineChars="200"/>
              <w:jc w:val="left"/>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标准值</w:t>
            </w:r>
          </w:p>
        </w:tc>
        <w:tc>
          <w:tcPr>
            <w:tcW w:w="49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COD</w:t>
            </w:r>
          </w:p>
        </w:tc>
        <w:tc>
          <w:tcPr>
            <w:tcW w:w="48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BOD</w:t>
            </w:r>
            <w:r>
              <w:rPr>
                <w:rFonts w:hint="default" w:ascii="Times New Roman" w:hAnsi="Times New Roman" w:cs="Times New Roman"/>
                <w:color w:val="auto"/>
                <w:sz w:val="21"/>
                <w:szCs w:val="21"/>
                <w:u w:val="single"/>
                <w:vertAlign w:val="subscript"/>
              </w:rPr>
              <w:t>5</w:t>
            </w:r>
          </w:p>
        </w:tc>
        <w:tc>
          <w:tcPr>
            <w:tcW w:w="519"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SS</w:t>
            </w:r>
          </w:p>
        </w:tc>
        <w:tc>
          <w:tcPr>
            <w:tcW w:w="457"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rPr>
              <w:t>总</w:t>
            </w:r>
            <w:r>
              <w:rPr>
                <w:rFonts w:hint="default" w:ascii="Times New Roman" w:hAnsi="Times New Roman" w:cs="Times New Roman"/>
                <w:color w:val="auto"/>
                <w:sz w:val="21"/>
                <w:szCs w:val="21"/>
                <w:u w:val="single"/>
                <w:lang w:eastAsia="zh-CN"/>
              </w:rPr>
              <w:t>氮</w:t>
            </w:r>
          </w:p>
        </w:tc>
        <w:tc>
          <w:tcPr>
            <w:tcW w:w="462"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rPr>
              <w:t>总</w:t>
            </w:r>
            <w:r>
              <w:rPr>
                <w:rFonts w:hint="default" w:ascii="Times New Roman" w:hAnsi="Times New Roman" w:cs="Times New Roman"/>
                <w:color w:val="auto"/>
                <w:sz w:val="21"/>
                <w:szCs w:val="21"/>
                <w:u w:val="single"/>
                <w:lang w:eastAsia="zh-CN"/>
              </w:rPr>
              <w:t>磷</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氨氮</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eastAsia="zh-CN"/>
              </w:rPr>
            </w:pPr>
            <w:r>
              <w:rPr>
                <w:rFonts w:hint="eastAsia" w:cs="Times New Roman"/>
                <w:color w:val="auto"/>
                <w:sz w:val="21"/>
                <w:szCs w:val="21"/>
                <w:u w:val="single"/>
                <w:lang w:eastAsia="zh-CN"/>
              </w:rPr>
              <w:t>石油类</w:t>
            </w:r>
          </w:p>
        </w:tc>
        <w:tc>
          <w:tcPr>
            <w:tcW w:w="589"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eastAsia="zh-CN"/>
              </w:rPr>
            </w:pPr>
            <w:r>
              <w:rPr>
                <w:rFonts w:hint="eastAsia" w:cs="Times New Roman"/>
                <w:color w:val="auto"/>
                <w:sz w:val="21"/>
                <w:szCs w:val="21"/>
                <w:u w:val="single"/>
                <w:lang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设计进水标准</w:t>
            </w:r>
            <w:r>
              <w:rPr>
                <w:rFonts w:hint="default" w:ascii="Times New Roman" w:hAnsi="Times New Roman" w:cs="Times New Roman"/>
                <w:color w:val="auto"/>
                <w:sz w:val="21"/>
                <w:szCs w:val="21"/>
                <w:u w:val="single"/>
                <w:lang w:val="en-US" w:eastAsia="zh-CN"/>
              </w:rPr>
              <w:t>mg/L</w:t>
            </w:r>
          </w:p>
        </w:tc>
        <w:tc>
          <w:tcPr>
            <w:tcW w:w="49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rPr>
              <w:t>≤</w:t>
            </w:r>
            <w:r>
              <w:rPr>
                <w:rFonts w:hint="default" w:ascii="Times New Roman" w:hAnsi="Times New Roman" w:cs="Times New Roman"/>
                <w:color w:val="auto"/>
                <w:sz w:val="21"/>
                <w:szCs w:val="21"/>
                <w:u w:val="single"/>
                <w:lang w:val="en-US" w:eastAsia="zh-CN"/>
              </w:rPr>
              <w:t>500</w:t>
            </w:r>
          </w:p>
        </w:tc>
        <w:tc>
          <w:tcPr>
            <w:tcW w:w="48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rPr>
              <w:t>≤</w:t>
            </w:r>
            <w:r>
              <w:rPr>
                <w:rFonts w:hint="default" w:ascii="Times New Roman" w:hAnsi="Times New Roman" w:cs="Times New Roman"/>
                <w:color w:val="auto"/>
                <w:sz w:val="21"/>
                <w:szCs w:val="21"/>
                <w:u w:val="single"/>
                <w:lang w:val="en-US" w:eastAsia="zh-CN"/>
              </w:rPr>
              <w:t>300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rPr>
              <w:t>≤</w:t>
            </w:r>
            <w:r>
              <w:rPr>
                <w:rFonts w:hint="default" w:ascii="Times New Roman" w:hAnsi="Times New Roman" w:cs="Times New Roman"/>
                <w:color w:val="auto"/>
                <w:sz w:val="21"/>
                <w:szCs w:val="21"/>
                <w:u w:val="single"/>
                <w:lang w:val="en-US" w:eastAsia="zh-CN"/>
              </w:rPr>
              <w:t>400</w:t>
            </w:r>
          </w:p>
        </w:tc>
        <w:tc>
          <w:tcPr>
            <w:tcW w:w="457"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rPr>
              <w:t>≤</w:t>
            </w:r>
            <w:r>
              <w:rPr>
                <w:rFonts w:hint="default" w:ascii="Times New Roman" w:hAnsi="Times New Roman" w:cs="Times New Roman"/>
                <w:color w:val="auto"/>
                <w:sz w:val="21"/>
                <w:szCs w:val="21"/>
                <w:u w:val="single"/>
                <w:lang w:val="en-US" w:eastAsia="zh-CN"/>
              </w:rPr>
              <w:t>45</w:t>
            </w:r>
          </w:p>
        </w:tc>
        <w:tc>
          <w:tcPr>
            <w:tcW w:w="462"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rPr>
              <w:t>≤</w:t>
            </w:r>
            <w:r>
              <w:rPr>
                <w:rFonts w:hint="default" w:ascii="Times New Roman" w:hAnsi="Times New Roman" w:cs="Times New Roman"/>
                <w:color w:val="auto"/>
                <w:sz w:val="21"/>
                <w:szCs w:val="21"/>
                <w:u w:val="single"/>
                <w:lang w:val="en-US" w:eastAsia="zh-CN"/>
              </w:rPr>
              <w:t>5</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rPr>
              <w:t>≤</w:t>
            </w:r>
            <w:r>
              <w:rPr>
                <w:rFonts w:hint="default" w:ascii="Times New Roman" w:hAnsi="Times New Roman" w:cs="Times New Roman"/>
                <w:color w:val="auto"/>
                <w:sz w:val="21"/>
                <w:szCs w:val="21"/>
                <w:u w:val="single"/>
                <w:lang w:val="en-US" w:eastAsia="zh-CN"/>
              </w:rPr>
              <w:t>25</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val="en-US"/>
              </w:rPr>
            </w:pPr>
            <w:r>
              <w:rPr>
                <w:rFonts w:hint="default" w:ascii="Times New Roman" w:hAnsi="Times New Roman" w:cs="Times New Roman"/>
                <w:color w:val="auto"/>
                <w:sz w:val="21"/>
                <w:szCs w:val="21"/>
                <w:u w:val="single"/>
              </w:rPr>
              <w:t>≤</w:t>
            </w:r>
            <w:r>
              <w:rPr>
                <w:rFonts w:hint="eastAsia" w:ascii="Times New Roman" w:hAnsi="Times New Roman" w:cs="Times New Roman"/>
                <w:color w:val="auto"/>
                <w:sz w:val="21"/>
                <w:szCs w:val="21"/>
                <w:u w:val="single"/>
                <w:lang w:val="en-US" w:eastAsia="zh-CN"/>
              </w:rPr>
              <w:t>20</w:t>
            </w:r>
          </w:p>
        </w:tc>
        <w:tc>
          <w:tcPr>
            <w:tcW w:w="589"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val="en-US"/>
              </w:rPr>
            </w:pPr>
            <w:r>
              <w:rPr>
                <w:rFonts w:hint="default" w:ascii="Times New Roman" w:hAnsi="Times New Roman" w:cs="Times New Roman"/>
                <w:color w:val="auto"/>
                <w:sz w:val="21"/>
                <w:szCs w:val="21"/>
                <w:u w:val="single"/>
              </w:rPr>
              <w:t>≤</w:t>
            </w:r>
            <w:r>
              <w:rPr>
                <w:rFonts w:hint="eastAsia" w:ascii="Times New Roman" w:hAnsi="Times New Roman" w:cs="Times New Roman"/>
                <w:color w:val="auto"/>
                <w:sz w:val="21"/>
                <w:szCs w:val="21"/>
                <w:u w:val="singl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处理效率</w:t>
            </w:r>
            <w:r>
              <w:rPr>
                <w:rFonts w:hint="default" w:ascii="Times New Roman" w:hAnsi="Times New Roman" w:cs="Times New Roman"/>
                <w:color w:val="auto"/>
                <w:sz w:val="21"/>
                <w:szCs w:val="21"/>
                <w:u w:val="single"/>
                <w:lang w:val="en-US" w:eastAsia="zh-CN"/>
              </w:rPr>
              <w:t>%</w:t>
            </w:r>
          </w:p>
        </w:tc>
        <w:tc>
          <w:tcPr>
            <w:tcW w:w="49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val="en-US"/>
              </w:rPr>
            </w:pPr>
            <w:r>
              <w:rPr>
                <w:rFonts w:hint="eastAsia" w:cs="Times New Roman"/>
                <w:color w:val="auto"/>
                <w:kern w:val="0"/>
                <w:u w:val="single"/>
                <w:lang w:val="en-US" w:eastAsia="zh-CN"/>
              </w:rPr>
              <w:t>90</w:t>
            </w:r>
          </w:p>
        </w:tc>
        <w:tc>
          <w:tcPr>
            <w:tcW w:w="48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val="en-US"/>
              </w:rPr>
            </w:pPr>
            <w:r>
              <w:rPr>
                <w:rFonts w:hint="eastAsia" w:cs="Times New Roman"/>
                <w:color w:val="auto"/>
                <w:kern w:val="0"/>
                <w:u w:val="single"/>
                <w:lang w:val="en-US" w:eastAsia="zh-CN"/>
              </w:rPr>
              <w:t>96.67</w:t>
            </w:r>
          </w:p>
        </w:tc>
        <w:tc>
          <w:tcPr>
            <w:tcW w:w="519"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val="en-US"/>
              </w:rPr>
            </w:pPr>
            <w:r>
              <w:rPr>
                <w:rFonts w:hint="eastAsia" w:cs="Times New Roman"/>
                <w:color w:val="auto"/>
                <w:kern w:val="0"/>
                <w:u w:val="single"/>
                <w:lang w:val="en-US" w:eastAsia="zh-CN"/>
              </w:rPr>
              <w:t>97.5</w:t>
            </w:r>
          </w:p>
        </w:tc>
        <w:tc>
          <w:tcPr>
            <w:tcW w:w="457"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val="en-US"/>
              </w:rPr>
            </w:pPr>
            <w:r>
              <w:rPr>
                <w:rFonts w:hint="eastAsia" w:cs="Times New Roman"/>
                <w:color w:val="auto"/>
                <w:kern w:val="0"/>
                <w:u w:val="single"/>
                <w:lang w:val="en-US" w:eastAsia="zh-CN"/>
              </w:rPr>
              <w:t>66.67</w:t>
            </w:r>
          </w:p>
        </w:tc>
        <w:tc>
          <w:tcPr>
            <w:tcW w:w="462"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val="en-US"/>
              </w:rPr>
            </w:pPr>
            <w:r>
              <w:rPr>
                <w:rFonts w:hint="eastAsia" w:cs="Times New Roman"/>
                <w:color w:val="auto"/>
                <w:kern w:val="0"/>
                <w:u w:val="single"/>
                <w:lang w:val="en-US" w:eastAsia="zh-CN"/>
              </w:rPr>
              <w:t>90</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val="en-US"/>
              </w:rPr>
            </w:pPr>
            <w:r>
              <w:rPr>
                <w:rFonts w:hint="eastAsia" w:cs="Times New Roman"/>
                <w:color w:val="auto"/>
                <w:kern w:val="0"/>
                <w:u w:val="single"/>
                <w:lang w:val="en-US" w:eastAsia="zh-CN"/>
              </w:rPr>
              <w:t>80</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eastAsia" w:cs="Times New Roman"/>
                <w:color w:val="auto"/>
                <w:kern w:val="0"/>
                <w:u w:val="single"/>
                <w:lang w:val="en-US" w:eastAsia="zh-CN"/>
              </w:rPr>
              <w:t>95</w:t>
            </w:r>
          </w:p>
        </w:tc>
        <w:tc>
          <w:tcPr>
            <w:tcW w:w="589"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eastAsia" w:cs="Times New Roman"/>
                <w:color w:val="auto"/>
                <w:kern w:val="0"/>
                <w:u w:val="single"/>
                <w:lang w:val="en-US" w:eastAsia="zh-CN"/>
              </w:rPr>
              <w:t>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处理后浓度</w:t>
            </w:r>
          </w:p>
        </w:tc>
        <w:tc>
          <w:tcPr>
            <w:tcW w:w="495" w:type="pct"/>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50</w:t>
            </w:r>
          </w:p>
        </w:tc>
        <w:tc>
          <w:tcPr>
            <w:tcW w:w="488" w:type="pct"/>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10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10</w:t>
            </w:r>
          </w:p>
        </w:tc>
        <w:tc>
          <w:tcPr>
            <w:tcW w:w="457" w:type="pct"/>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15</w:t>
            </w:r>
          </w:p>
        </w:tc>
        <w:tc>
          <w:tcPr>
            <w:tcW w:w="462" w:type="pct"/>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0.5</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5</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default" w:ascii="Times New Roman" w:hAnsi="Times New Roman" w:cs="Times New Roman"/>
                <w:color w:val="auto"/>
                <w:kern w:val="0"/>
                <w:u w:val="single"/>
                <w:lang w:val="en-US" w:eastAsia="zh-CN"/>
              </w:rPr>
            </w:pPr>
            <w:r>
              <w:rPr>
                <w:rFonts w:hint="eastAsia" w:ascii="Times New Roman" w:hAnsi="Times New Roman" w:cs="Times New Roman"/>
                <w:color w:val="auto"/>
                <w:kern w:val="0"/>
                <w:u w:val="single"/>
                <w:lang w:val="en-US" w:eastAsia="zh-CN"/>
              </w:rPr>
              <w:t>1</w:t>
            </w:r>
          </w:p>
        </w:tc>
        <w:tc>
          <w:tcPr>
            <w:tcW w:w="589" w:type="pct"/>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default" w:ascii="Times New Roman" w:hAnsi="Times New Roman" w:cs="Times New Roman"/>
                <w:color w:val="auto"/>
                <w:kern w:val="0"/>
                <w:u w:val="single"/>
                <w:lang w:val="en-US" w:eastAsia="zh-CN"/>
              </w:rPr>
            </w:pPr>
            <w:r>
              <w:rPr>
                <w:rFonts w:hint="eastAsia" w:ascii="Times New Roman" w:hAnsi="Times New Roman" w:cs="Times New Roman"/>
                <w:color w:val="auto"/>
                <w:kern w:val="0"/>
                <w:u w:val="singl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《城市污水处理厂污染物排放标准》（GB18918-2002）一级标准的A标准</w:t>
            </w:r>
          </w:p>
        </w:tc>
        <w:tc>
          <w:tcPr>
            <w:tcW w:w="49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50</w:t>
            </w:r>
          </w:p>
        </w:tc>
        <w:tc>
          <w:tcPr>
            <w:tcW w:w="48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10</w:t>
            </w:r>
          </w:p>
        </w:tc>
        <w:tc>
          <w:tcPr>
            <w:tcW w:w="519"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10</w:t>
            </w:r>
          </w:p>
        </w:tc>
        <w:tc>
          <w:tcPr>
            <w:tcW w:w="457"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15</w:t>
            </w:r>
          </w:p>
        </w:tc>
        <w:tc>
          <w:tcPr>
            <w:tcW w:w="462"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0.5</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5</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eastAsia" w:cs="Times New Roman"/>
                <w:color w:val="auto"/>
                <w:kern w:val="0"/>
                <w:u w:val="single"/>
                <w:lang w:val="en-US" w:eastAsia="zh-CN"/>
              </w:rPr>
              <w:t>1</w:t>
            </w:r>
          </w:p>
        </w:tc>
        <w:tc>
          <w:tcPr>
            <w:tcW w:w="589"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eastAsia" w:cs="Times New Roman"/>
                <w:color w:val="auto"/>
                <w:kern w:val="0"/>
                <w:u w:val="singl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是否达标</w:t>
            </w:r>
          </w:p>
        </w:tc>
        <w:tc>
          <w:tcPr>
            <w:tcW w:w="49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是</w:t>
            </w:r>
          </w:p>
        </w:tc>
        <w:tc>
          <w:tcPr>
            <w:tcW w:w="48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是</w:t>
            </w:r>
          </w:p>
        </w:tc>
        <w:tc>
          <w:tcPr>
            <w:tcW w:w="519"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是</w:t>
            </w:r>
          </w:p>
        </w:tc>
        <w:tc>
          <w:tcPr>
            <w:tcW w:w="457"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是</w:t>
            </w:r>
          </w:p>
        </w:tc>
        <w:tc>
          <w:tcPr>
            <w:tcW w:w="462"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是</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kern w:val="0"/>
                <w:u w:val="single"/>
                <w:lang w:val="en-US" w:eastAsia="zh-CN"/>
              </w:rPr>
            </w:pPr>
            <w:r>
              <w:rPr>
                <w:rFonts w:hint="default" w:ascii="Times New Roman" w:hAnsi="Times New Roman" w:cs="Times New Roman"/>
                <w:color w:val="auto"/>
                <w:kern w:val="0"/>
                <w:u w:val="single"/>
                <w:lang w:val="en-US" w:eastAsia="zh-CN"/>
              </w:rPr>
              <w:t>是</w:t>
            </w:r>
          </w:p>
        </w:tc>
        <w:tc>
          <w:tcPr>
            <w:tcW w:w="525" w:type="pct"/>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default" w:ascii="Times New Roman" w:hAnsi="Times New Roman" w:eastAsia="宋体" w:cs="Times New Roman"/>
                <w:b w:val="0"/>
                <w:color w:val="auto"/>
                <w:kern w:val="0"/>
                <w:sz w:val="21"/>
                <w:szCs w:val="21"/>
                <w:u w:val="single"/>
                <w:lang w:val="en-US" w:eastAsia="zh-CN" w:bidi="ar-SA"/>
              </w:rPr>
            </w:pPr>
            <w:r>
              <w:rPr>
                <w:rFonts w:hint="default" w:ascii="Times New Roman" w:hAnsi="Times New Roman" w:cs="Times New Roman"/>
                <w:color w:val="auto"/>
                <w:kern w:val="0"/>
                <w:u w:val="single"/>
                <w:lang w:val="en-US" w:eastAsia="zh-CN"/>
              </w:rPr>
              <w:t>是</w:t>
            </w:r>
          </w:p>
        </w:tc>
        <w:tc>
          <w:tcPr>
            <w:tcW w:w="589" w:type="pct"/>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default" w:ascii="Times New Roman" w:hAnsi="Times New Roman" w:eastAsia="宋体" w:cs="Times New Roman"/>
                <w:b w:val="0"/>
                <w:color w:val="auto"/>
                <w:kern w:val="0"/>
                <w:sz w:val="21"/>
                <w:szCs w:val="21"/>
                <w:u w:val="single"/>
                <w:lang w:val="en-US" w:eastAsia="zh-CN" w:bidi="ar-SA"/>
              </w:rPr>
            </w:pPr>
            <w:r>
              <w:rPr>
                <w:rFonts w:hint="default" w:ascii="Times New Roman" w:hAnsi="Times New Roman" w:cs="Times New Roman"/>
                <w:color w:val="auto"/>
                <w:kern w:val="0"/>
                <w:u w:val="single"/>
                <w:lang w:val="en-US" w:eastAsia="zh-CN"/>
              </w:rPr>
              <w:t>是</w:t>
            </w:r>
          </w:p>
        </w:tc>
      </w:tr>
    </w:tbl>
    <w:p>
      <w:pPr>
        <w:pStyle w:val="124"/>
        <w:bidi w:val="0"/>
        <w:jc w:val="both"/>
        <w:rPr>
          <w:rFonts w:hint="default"/>
          <w:lang w:val="en-US" w:eastAsia="zh-CN"/>
        </w:rPr>
      </w:pPr>
      <w:r>
        <w:rPr>
          <w:rFonts w:hint="eastAsia"/>
          <w:lang w:val="en-US" w:eastAsia="zh-CN"/>
        </w:rPr>
        <w:t>注：氨氮、总氮、总磷进水浓度执行《污水排入城镇下水道水质标准》（GB/T31962-2015）中C级标准</w:t>
      </w:r>
    </w:p>
    <w:p>
      <w:pPr>
        <w:bidi w:val="0"/>
        <w:jc w:val="both"/>
        <w:rPr>
          <w:rFonts w:hint="eastAsia"/>
          <w:sz w:val="24"/>
          <w:szCs w:val="24"/>
          <w:u w:val="single"/>
          <w:lang w:val="en-US" w:eastAsia="zh-CN"/>
        </w:rPr>
      </w:pPr>
      <w:r>
        <w:rPr>
          <w:rFonts w:hint="eastAsia"/>
          <w:u w:val="single"/>
          <w:lang w:val="en-US" w:eastAsia="zh-CN"/>
        </w:rPr>
        <w:t>综上，猛洞河产业园内的污水经本项目处理后能够达到</w:t>
      </w:r>
      <w:r>
        <w:rPr>
          <w:rFonts w:hint="eastAsia" w:cs="Times New Roman"/>
          <w:color w:val="auto"/>
          <w:sz w:val="24"/>
          <w:szCs w:val="24"/>
          <w:u w:val="single"/>
          <w:lang w:eastAsia="zh-CN"/>
        </w:rPr>
        <w:t>《城市污水处理厂污染物排放标准》（GB18918-2002）一级标准的A标准，能够满足出水标准达标排放。</w:t>
      </w:r>
    </w:p>
    <w:p>
      <w:pPr>
        <w:autoSpaceDE w:val="0"/>
        <w:autoSpaceDN w:val="0"/>
        <w:adjustRightInd w:val="0"/>
        <w:ind w:firstLine="482"/>
        <w:rPr>
          <w:rFonts w:cs="宋体"/>
          <w:b/>
          <w:color w:val="auto"/>
          <w:kern w:val="0"/>
          <w:u w:val="none"/>
        </w:rPr>
      </w:pPr>
      <w:r>
        <w:rPr>
          <w:rFonts w:hint="eastAsia" w:cs="宋体"/>
          <w:b/>
          <w:color w:val="auto"/>
          <w:kern w:val="0"/>
          <w:u w:val="none"/>
        </w:rPr>
        <w:t>（</w:t>
      </w:r>
      <w:r>
        <w:rPr>
          <w:rFonts w:hint="eastAsia" w:cs="宋体"/>
          <w:b/>
          <w:color w:val="auto"/>
          <w:kern w:val="0"/>
          <w:u w:val="none"/>
          <w:lang w:val="en-US" w:eastAsia="zh-CN"/>
        </w:rPr>
        <w:t>10</w:t>
      </w:r>
      <w:r>
        <w:rPr>
          <w:rFonts w:hint="eastAsia" w:cs="宋体"/>
          <w:b/>
          <w:color w:val="auto"/>
          <w:kern w:val="0"/>
          <w:u w:val="none"/>
        </w:rPr>
        <w:t>）工程建设必要性分析</w:t>
      </w:r>
    </w:p>
    <w:p>
      <w:pPr>
        <w:jc w:val="both"/>
        <w:rPr>
          <w:rFonts w:hint="eastAsia"/>
          <w:color w:val="auto"/>
          <w:szCs w:val="22"/>
          <w:u w:val="single"/>
          <w:lang w:eastAsia="zh-CN"/>
        </w:rPr>
      </w:pPr>
      <w:r>
        <w:rPr>
          <w:rFonts w:hint="eastAsia"/>
          <w:color w:val="auto"/>
          <w:kern w:val="0"/>
          <w:u w:val="single"/>
          <w:lang w:eastAsia="zh-CN"/>
        </w:rPr>
        <w:t>猛洞河产业园</w:t>
      </w:r>
      <w:r>
        <w:rPr>
          <w:color w:val="auto"/>
          <w:szCs w:val="22"/>
          <w:u w:val="single"/>
        </w:rPr>
        <w:t>规划建设一个</w:t>
      </w:r>
      <w:r>
        <w:rPr>
          <w:rFonts w:hint="eastAsia" w:ascii="宋体" w:hAnsi="宋体" w:eastAsia="宋体" w:cs="宋体"/>
          <w:bCs/>
          <w:color w:val="auto"/>
          <w:kern w:val="44"/>
          <w:u w:val="single"/>
          <w:lang w:eastAsia="zh-CN"/>
        </w:rPr>
        <w:t>以电子信息、特色食品加工、新型材料加工产业为主导，配套电子商务、现代物流业</w:t>
      </w:r>
      <w:r>
        <w:rPr>
          <w:color w:val="auto"/>
          <w:szCs w:val="22"/>
          <w:u w:val="single"/>
        </w:rPr>
        <w:t>的湖南现代科技</w:t>
      </w:r>
      <w:r>
        <w:rPr>
          <w:rFonts w:hint="eastAsia"/>
          <w:color w:val="auto"/>
          <w:szCs w:val="22"/>
          <w:u w:val="single"/>
          <w:lang w:eastAsia="zh-CN"/>
        </w:rPr>
        <w:t>化产业</w:t>
      </w:r>
      <w:r>
        <w:rPr>
          <w:color w:val="auto"/>
          <w:szCs w:val="22"/>
          <w:u w:val="single"/>
        </w:rPr>
        <w:t>园区</w:t>
      </w:r>
      <w:r>
        <w:rPr>
          <w:rFonts w:hint="eastAsia"/>
          <w:color w:val="auto"/>
          <w:szCs w:val="22"/>
          <w:u w:val="single"/>
          <w:lang w:eastAsia="zh-CN"/>
        </w:rPr>
        <w:t>。</w:t>
      </w:r>
    </w:p>
    <w:p>
      <w:pPr>
        <w:jc w:val="both"/>
        <w:rPr>
          <w:rFonts w:hint="eastAsia"/>
          <w:color w:val="auto"/>
          <w:u w:val="single"/>
          <w:lang w:eastAsia="zh-CN"/>
        </w:rPr>
      </w:pPr>
      <w:r>
        <w:rPr>
          <w:color w:val="auto"/>
          <w:u w:val="single"/>
        </w:rPr>
        <w:t>目前</w:t>
      </w:r>
      <w:r>
        <w:rPr>
          <w:rFonts w:hint="eastAsia"/>
          <w:color w:val="auto"/>
          <w:u w:val="single"/>
          <w:lang w:eastAsia="zh-CN"/>
        </w:rPr>
        <w:t>永顺经济开发区猛洞河产业园未修建污水处理厂，且永顺县污水处理厂纳污范围未包含猛洞河产业园在内，猛洞河产业园内</w:t>
      </w:r>
      <w:r>
        <w:rPr>
          <w:rFonts w:hint="eastAsia"/>
          <w:color w:val="auto"/>
          <w:u w:val="single"/>
          <w:lang w:val="en-US" w:eastAsia="zh-CN"/>
        </w:rPr>
        <w:t>16</w:t>
      </w:r>
      <w:r>
        <w:rPr>
          <w:rFonts w:hint="eastAsia"/>
          <w:color w:val="auto"/>
          <w:u w:val="single"/>
          <w:lang w:eastAsia="zh-CN"/>
        </w:rPr>
        <w:t>家企业及园区管委会的生产废水和生活污水未得到妥善处置，目前猛洞河产业园内</w:t>
      </w:r>
      <w:r>
        <w:rPr>
          <w:rFonts w:hint="eastAsia" w:ascii="宋体" w:hAnsi="宋体" w:eastAsia="宋体" w:cs="宋体"/>
          <w:color w:val="auto"/>
          <w:u w:val="single"/>
          <w:lang w:eastAsia="zh-CN"/>
        </w:rPr>
        <w:t>企业生产废水均回用，生活污水</w:t>
      </w:r>
      <w:r>
        <w:rPr>
          <w:rFonts w:hint="eastAsia" w:ascii="宋体" w:hAnsi="宋体" w:eastAsia="宋体" w:cs="宋体"/>
          <w:color w:val="auto"/>
          <w:u w:val="single"/>
        </w:rPr>
        <w:t>仅经化粪池处理后直接</w:t>
      </w:r>
      <w:r>
        <w:rPr>
          <w:rFonts w:hint="eastAsia" w:ascii="宋体" w:hAnsi="宋体" w:eastAsia="宋体" w:cs="宋体"/>
          <w:color w:val="auto"/>
          <w:u w:val="single"/>
          <w:lang w:eastAsia="zh-CN"/>
        </w:rPr>
        <w:t>用于农灌，由于农灌面积满不了园区企业要求，部分生活污水溢流至猛洞河</w:t>
      </w:r>
      <w:r>
        <w:rPr>
          <w:rFonts w:hint="eastAsia"/>
          <w:color w:val="auto"/>
          <w:u w:val="single"/>
        </w:rPr>
        <w:t>，因此废水的排放</w:t>
      </w:r>
      <w:r>
        <w:rPr>
          <w:color w:val="auto"/>
          <w:u w:val="single"/>
        </w:rPr>
        <w:t>对</w:t>
      </w:r>
      <w:r>
        <w:rPr>
          <w:rFonts w:hint="eastAsia"/>
          <w:color w:val="auto"/>
          <w:u w:val="single"/>
          <w:lang w:eastAsia="zh-CN"/>
        </w:rPr>
        <w:t>猛洞河</w:t>
      </w:r>
      <w:r>
        <w:rPr>
          <w:color w:val="auto"/>
          <w:u w:val="single"/>
        </w:rPr>
        <w:t>水质产生了不利影响。长此以往，随着生物吸附作用，有机物污染对</w:t>
      </w:r>
      <w:r>
        <w:rPr>
          <w:rFonts w:hint="eastAsia"/>
          <w:color w:val="auto"/>
          <w:u w:val="single"/>
          <w:lang w:eastAsia="zh-CN"/>
        </w:rPr>
        <w:t>猛洞</w:t>
      </w:r>
      <w:r>
        <w:rPr>
          <w:color w:val="auto"/>
          <w:u w:val="single"/>
        </w:rPr>
        <w:t>河等水质及生态环境质量产生持久、内在的污染。</w:t>
      </w:r>
      <w:r>
        <w:rPr>
          <w:rFonts w:hint="eastAsia"/>
          <w:color w:val="auto"/>
          <w:u w:val="single"/>
          <w:lang w:eastAsia="zh-CN"/>
        </w:rPr>
        <w:t>且项目东侧存在多个自然保护区，包括不二门国家级森林公园、猛洞河地质公园、永顺县湿地保护区、猛洞河国家级风景名胜区，产业园废水的溢流外排对周边自然保护地的生态环境造成极大影响。</w:t>
      </w:r>
    </w:p>
    <w:p>
      <w:pPr>
        <w:bidi w:val="0"/>
        <w:jc w:val="both"/>
        <w:rPr>
          <w:rFonts w:hint="eastAsia"/>
          <w:color w:val="auto"/>
        </w:rPr>
      </w:pPr>
      <w:r>
        <w:rPr>
          <w:rFonts w:hint="eastAsia"/>
          <w:color w:val="auto"/>
          <w:u w:val="single"/>
          <w:lang w:eastAsia="zh-CN"/>
        </w:rPr>
        <w:t>综上，</w:t>
      </w:r>
      <w:r>
        <w:rPr>
          <w:rFonts w:hint="eastAsia"/>
          <w:color w:val="auto"/>
          <w:kern w:val="0"/>
          <w:u w:val="single"/>
          <w:lang w:eastAsia="zh-CN"/>
        </w:rPr>
        <w:t>湖南永顺经济开发区猛洞河产业园污水处理厂建设项目</w:t>
      </w:r>
      <w:r>
        <w:rPr>
          <w:color w:val="auto"/>
          <w:kern w:val="0"/>
          <w:u w:val="single"/>
        </w:rPr>
        <w:t>的建设不仅有利于</w:t>
      </w:r>
      <w:r>
        <w:rPr>
          <w:rFonts w:hint="eastAsia"/>
          <w:color w:val="auto"/>
          <w:kern w:val="0"/>
          <w:u w:val="single"/>
          <w:lang w:eastAsia="zh-CN"/>
        </w:rPr>
        <w:t>永顺</w:t>
      </w:r>
      <w:r>
        <w:rPr>
          <w:color w:val="auto"/>
          <w:kern w:val="0"/>
          <w:u w:val="single"/>
        </w:rPr>
        <w:t>水系水质的提高，也有利于城市环境质量的保持和改善，对于保护</w:t>
      </w:r>
      <w:r>
        <w:rPr>
          <w:rFonts w:hint="eastAsia"/>
          <w:color w:val="auto"/>
          <w:kern w:val="0"/>
          <w:u w:val="single"/>
          <w:lang w:eastAsia="zh-CN"/>
        </w:rPr>
        <w:t>猛洞河</w:t>
      </w:r>
      <w:r>
        <w:rPr>
          <w:color w:val="auto"/>
          <w:kern w:val="0"/>
          <w:u w:val="single"/>
        </w:rPr>
        <w:t>及下游沿江群众的饮用水源及人群健康，保护</w:t>
      </w:r>
      <w:r>
        <w:rPr>
          <w:rFonts w:hint="eastAsia"/>
          <w:color w:val="auto"/>
          <w:kern w:val="0"/>
          <w:u w:val="single"/>
          <w:lang w:eastAsia="zh-CN"/>
        </w:rPr>
        <w:t>永顺县</w:t>
      </w:r>
      <w:r>
        <w:rPr>
          <w:color w:val="auto"/>
          <w:kern w:val="0"/>
          <w:u w:val="single"/>
        </w:rPr>
        <w:t>人民生活的周边环境都有重要意义，</w:t>
      </w:r>
      <w:r>
        <w:rPr>
          <w:rFonts w:hint="eastAsia"/>
          <w:color w:val="auto"/>
          <w:kern w:val="0"/>
          <w:u w:val="single"/>
          <w:lang w:eastAsia="zh-CN"/>
        </w:rPr>
        <w:t>因此启动湖南永顺经济开发区猛洞河产业园污水处理厂建设项目刻不容缓</w:t>
      </w:r>
      <w:r>
        <w:rPr>
          <w:rFonts w:hint="eastAsia"/>
          <w:color w:val="auto"/>
        </w:rPr>
        <w:t>。</w:t>
      </w:r>
    </w:p>
    <w:p>
      <w:pPr>
        <w:pStyle w:val="76"/>
        <w:spacing w:before="163" w:after="163"/>
        <w:rPr>
          <w:rFonts w:hint="eastAsia"/>
          <w:color w:val="auto"/>
          <w:kern w:val="0"/>
          <w:u w:val="none"/>
        </w:rPr>
      </w:pPr>
      <w:bookmarkStart w:id="14" w:name="_Toc8378"/>
      <w:r>
        <w:rPr>
          <w:rFonts w:hint="eastAsia"/>
          <w:color w:val="auto"/>
          <w:kern w:val="0"/>
          <w:u w:val="none"/>
        </w:rPr>
        <w:t>4、关注的主要环境问题及环境影响</w:t>
      </w:r>
      <w:bookmarkEnd w:id="14"/>
    </w:p>
    <w:p>
      <w:pPr>
        <w:pStyle w:val="3"/>
        <w:ind w:left="0" w:right="108" w:firstLine="480" w:firstLineChars="200"/>
        <w:jc w:val="both"/>
        <w:rPr>
          <w:rFonts w:hint="eastAsia" w:ascii="Times New Roman" w:hAnsi="Times New Roman"/>
          <w:b/>
          <w:color w:val="auto"/>
          <w:u w:val="none"/>
          <w:lang w:eastAsia="zh-CN"/>
        </w:rPr>
      </w:pPr>
      <w:r>
        <w:rPr>
          <w:rFonts w:hint="eastAsia" w:ascii="Times New Roman" w:hAnsi="Times New Roman"/>
          <w:color w:val="auto"/>
          <w:u w:val="none"/>
          <w:lang w:eastAsia="zh-CN"/>
        </w:rPr>
        <w:t>本项目关注的主要环境问题如下：</w:t>
      </w:r>
    </w:p>
    <w:p>
      <w:pPr>
        <w:ind w:firstLine="480"/>
        <w:rPr>
          <w:rFonts w:hint="eastAsia"/>
          <w:color w:val="auto"/>
          <w:kern w:val="0"/>
          <w:u w:val="none"/>
        </w:rPr>
      </w:pPr>
      <w:r>
        <w:rPr>
          <w:color w:val="auto"/>
          <w:kern w:val="0"/>
          <w:u w:val="none"/>
        </w:rPr>
        <w:t>（1</w:t>
      </w:r>
      <w:r>
        <w:rPr>
          <w:rFonts w:hint="eastAsia"/>
          <w:color w:val="auto"/>
          <w:kern w:val="0"/>
          <w:u w:val="none"/>
        </w:rPr>
        <w:t>）工程建设阶段，破坏地表植被，占用土地和部分自然资源，并对拟建空气环境质量、地表水体和声环境质量产生短期影响。</w:t>
      </w:r>
    </w:p>
    <w:p>
      <w:pPr>
        <w:ind w:firstLine="480"/>
        <w:rPr>
          <w:rFonts w:hint="eastAsia"/>
          <w:color w:val="auto"/>
          <w:kern w:val="0"/>
          <w:u w:val="none"/>
        </w:rPr>
      </w:pPr>
      <w:r>
        <w:rPr>
          <w:rFonts w:hint="eastAsia"/>
          <w:color w:val="auto"/>
          <w:kern w:val="0"/>
          <w:u w:val="none"/>
        </w:rPr>
        <w:t>（2）工程运营期间尾水排放以及设备噪声将对评价区域环境质量产生长期影响。</w:t>
      </w:r>
    </w:p>
    <w:p>
      <w:pPr>
        <w:ind w:firstLine="480"/>
        <w:rPr>
          <w:rFonts w:hint="eastAsia"/>
          <w:color w:val="auto"/>
          <w:kern w:val="0"/>
          <w:u w:val="none"/>
        </w:rPr>
      </w:pPr>
      <w:r>
        <w:rPr>
          <w:rFonts w:hint="eastAsia"/>
          <w:color w:val="auto"/>
          <w:kern w:val="0"/>
          <w:u w:val="none"/>
        </w:rPr>
        <w:t>（3）本工程在运营过程中出现风险事故时，将对评价区自然资源和人民生活环境造成短期不利影响。</w:t>
      </w:r>
    </w:p>
    <w:p>
      <w:pPr>
        <w:ind w:firstLine="480"/>
        <w:rPr>
          <w:color w:val="auto"/>
          <w:kern w:val="0"/>
          <w:u w:val="none"/>
        </w:rPr>
      </w:pPr>
      <w:r>
        <w:rPr>
          <w:rFonts w:hint="eastAsia"/>
          <w:color w:val="auto"/>
          <w:kern w:val="0"/>
          <w:u w:val="none"/>
        </w:rPr>
        <w:t>（</w:t>
      </w:r>
      <w:r>
        <w:rPr>
          <w:rFonts w:hint="eastAsia"/>
          <w:color w:val="auto"/>
          <w:kern w:val="0"/>
          <w:u w:val="none"/>
          <w:lang w:val="en-US" w:eastAsia="zh-CN"/>
        </w:rPr>
        <w:t>4</w:t>
      </w:r>
      <w:r>
        <w:rPr>
          <w:rFonts w:hint="eastAsia"/>
          <w:color w:val="auto"/>
          <w:kern w:val="0"/>
          <w:u w:val="none"/>
        </w:rPr>
        <w:t>）</w:t>
      </w:r>
      <w:r>
        <w:rPr>
          <w:rFonts w:hint="eastAsia"/>
          <w:color w:val="auto"/>
        </w:rPr>
        <w:t>污水厂产生的恶臭对周边敏感点的影响</w:t>
      </w:r>
      <w:r>
        <w:rPr>
          <w:rFonts w:hint="eastAsia"/>
          <w:color w:val="auto"/>
          <w:kern w:val="0"/>
          <w:u w:val="none"/>
        </w:rPr>
        <w:t>；</w:t>
      </w:r>
    </w:p>
    <w:p>
      <w:pPr>
        <w:ind w:firstLine="480"/>
        <w:rPr>
          <w:rFonts w:hint="eastAsia"/>
          <w:color w:val="auto"/>
          <w:kern w:val="0"/>
          <w:u w:val="none"/>
        </w:rPr>
      </w:pPr>
      <w:r>
        <w:rPr>
          <w:rFonts w:hint="eastAsia"/>
          <w:color w:val="auto"/>
          <w:kern w:val="0"/>
          <w:u w:val="none"/>
        </w:rPr>
        <w:t>（</w:t>
      </w:r>
      <w:r>
        <w:rPr>
          <w:rFonts w:hint="eastAsia"/>
          <w:color w:val="auto"/>
          <w:kern w:val="0"/>
          <w:u w:val="none"/>
          <w:lang w:val="en-US" w:eastAsia="zh-CN"/>
        </w:rPr>
        <w:t>5</w:t>
      </w:r>
      <w:r>
        <w:rPr>
          <w:rFonts w:hint="eastAsia"/>
          <w:color w:val="auto"/>
          <w:kern w:val="0"/>
          <w:u w:val="none"/>
        </w:rPr>
        <w:t>）相对而言，工程中对环境影响较大的因素主要是营运中尾水事故排放的影响。</w:t>
      </w:r>
    </w:p>
    <w:p>
      <w:pPr>
        <w:pStyle w:val="76"/>
        <w:spacing w:before="163" w:after="163"/>
        <w:rPr>
          <w:rFonts w:hint="eastAsia"/>
          <w:color w:val="auto"/>
          <w:kern w:val="0"/>
          <w:u w:val="none"/>
        </w:rPr>
      </w:pPr>
      <w:bookmarkStart w:id="15" w:name="_Toc9369"/>
      <w:r>
        <w:rPr>
          <w:rFonts w:hint="eastAsia"/>
          <w:color w:val="auto"/>
          <w:kern w:val="0"/>
          <w:u w:val="none"/>
        </w:rPr>
        <w:t>5、环境影响评价的主要结论</w:t>
      </w:r>
      <w:bookmarkEnd w:id="15"/>
    </w:p>
    <w:p>
      <w:pPr>
        <w:ind w:firstLine="480"/>
        <w:rPr>
          <w:rFonts w:hint="eastAsia"/>
          <w:color w:val="auto"/>
          <w:kern w:val="0"/>
          <w:u w:val="none"/>
        </w:rPr>
      </w:pPr>
      <w:r>
        <w:rPr>
          <w:rFonts w:hint="eastAsia"/>
          <w:color w:val="auto"/>
          <w:kern w:val="0"/>
          <w:u w:val="none"/>
          <w:lang w:eastAsia="zh-CN"/>
        </w:rPr>
        <w:t>湖南永顺经济开发区猛洞河产业园污水处理厂建设项目</w:t>
      </w:r>
      <w:r>
        <w:rPr>
          <w:rFonts w:hint="eastAsia"/>
          <w:color w:val="auto"/>
          <w:kern w:val="0"/>
          <w:u w:val="none"/>
        </w:rPr>
        <w:t>符合国家产业政策，符合城市总体规划的要求，满足当地环境功能区划的要求，项目选址可行。本项目在认真落实报告书提出的各项环保措施及风险防范措施的前提下，废气、废水、噪声可做到达标排放，固废可得到安全处置，环境风险可得到较好的控制，项目建设及运营对周边环境的影响较小。因此，</w:t>
      </w:r>
      <w:r>
        <w:rPr>
          <w:rFonts w:hint="eastAsia"/>
          <w:color w:val="auto"/>
          <w:kern w:val="0"/>
          <w:u w:val="none"/>
          <w:lang w:eastAsia="zh-CN"/>
        </w:rPr>
        <w:t>湖南永顺经济开发区猛洞河产业园污水处理厂建设项目</w:t>
      </w:r>
      <w:r>
        <w:rPr>
          <w:rFonts w:hint="eastAsia"/>
          <w:color w:val="auto"/>
          <w:kern w:val="0"/>
          <w:u w:val="none"/>
        </w:rPr>
        <w:t>的建设从环保来说是可行的。</w:t>
      </w:r>
    </w:p>
    <w:p>
      <w:pPr>
        <w:pStyle w:val="4"/>
        <w:ind w:firstLine="643"/>
        <w:rPr>
          <w:color w:val="auto"/>
          <w:kern w:val="0"/>
          <w:szCs w:val="32"/>
          <w:u w:val="none"/>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26" w:charSpace="0"/>
        </w:sectPr>
      </w:pPr>
    </w:p>
    <w:p>
      <w:pPr>
        <w:pStyle w:val="4"/>
        <w:ind w:firstLine="0" w:firstLineChars="0"/>
        <w:rPr>
          <w:color w:val="auto"/>
          <w:kern w:val="0"/>
          <w:szCs w:val="32"/>
          <w:u w:val="none"/>
        </w:rPr>
      </w:pPr>
      <w:bookmarkStart w:id="16" w:name="_Toc7421"/>
      <w:r>
        <w:rPr>
          <w:rFonts w:hint="eastAsia"/>
          <w:color w:val="auto"/>
          <w:kern w:val="0"/>
          <w:szCs w:val="32"/>
          <w:u w:val="none"/>
        </w:rPr>
        <w:t>第1章  总</w:t>
      </w:r>
      <w:bookmarkEnd w:id="10"/>
      <w:bookmarkEnd w:id="11"/>
      <w:bookmarkEnd w:id="12"/>
      <w:r>
        <w:rPr>
          <w:rFonts w:hint="eastAsia"/>
          <w:color w:val="auto"/>
          <w:kern w:val="0"/>
          <w:szCs w:val="32"/>
          <w:u w:val="none"/>
        </w:rPr>
        <w:t>则</w:t>
      </w:r>
      <w:bookmarkEnd w:id="16"/>
    </w:p>
    <w:p>
      <w:pPr>
        <w:pStyle w:val="76"/>
        <w:spacing w:before="163" w:after="163"/>
        <w:rPr>
          <w:rFonts w:hint="eastAsia"/>
          <w:color w:val="auto"/>
          <w:kern w:val="0"/>
          <w:u w:val="none"/>
        </w:rPr>
      </w:pPr>
      <w:bookmarkStart w:id="17" w:name="_Toc489349331"/>
      <w:bookmarkStart w:id="18" w:name="_Toc20924"/>
      <w:bookmarkStart w:id="19" w:name="_Toc489350099"/>
      <w:r>
        <w:rPr>
          <w:rFonts w:hint="eastAsia"/>
          <w:color w:val="auto"/>
          <w:kern w:val="0"/>
          <w:u w:val="none"/>
        </w:rPr>
        <w:t>1.1编制依据</w:t>
      </w:r>
      <w:bookmarkEnd w:id="17"/>
      <w:bookmarkEnd w:id="18"/>
      <w:bookmarkEnd w:id="19"/>
    </w:p>
    <w:p>
      <w:pPr>
        <w:pStyle w:val="6"/>
        <w:bidi w:val="0"/>
        <w:rPr>
          <w:rFonts w:hint="eastAsia"/>
        </w:rPr>
      </w:pPr>
      <w:bookmarkStart w:id="20" w:name="_Toc489349948"/>
      <w:bookmarkStart w:id="21" w:name="_Toc489350100"/>
      <w:bookmarkStart w:id="22" w:name="_Toc489349332"/>
      <w:bookmarkStart w:id="23" w:name="_Toc489350201"/>
      <w:bookmarkStart w:id="24" w:name="_Toc489350203"/>
      <w:bookmarkStart w:id="25" w:name="_Toc489349950"/>
      <w:bookmarkStart w:id="26" w:name="_Toc489350102"/>
      <w:bookmarkStart w:id="27" w:name="_Toc489349334"/>
      <w:r>
        <w:rPr>
          <w:rFonts w:hint="eastAsia"/>
        </w:rPr>
        <w:t>1.1.1法律法规</w:t>
      </w:r>
      <w:bookmarkEnd w:id="20"/>
      <w:bookmarkEnd w:id="21"/>
      <w:bookmarkEnd w:id="22"/>
      <w:bookmarkEnd w:id="23"/>
    </w:p>
    <w:p>
      <w:pPr>
        <w:ind w:firstLine="480"/>
        <w:jc w:val="both"/>
        <w:rPr>
          <w:color w:val="auto"/>
          <w:kern w:val="0"/>
          <w:szCs w:val="21"/>
          <w:u w:val="none"/>
        </w:rPr>
      </w:pPr>
      <w:bookmarkStart w:id="28" w:name="_Toc489350202"/>
      <w:bookmarkStart w:id="29" w:name="_Toc489349949"/>
      <w:bookmarkStart w:id="30" w:name="_Toc489349333"/>
      <w:bookmarkStart w:id="31" w:name="_Toc489350101"/>
      <w:r>
        <w:rPr>
          <w:color w:val="auto"/>
          <w:kern w:val="0"/>
          <w:szCs w:val="21"/>
          <w:u w:val="none"/>
        </w:rPr>
        <w:t>（1）</w:t>
      </w:r>
      <w:bookmarkStart w:id="32" w:name="_Hlk26036208"/>
      <w:r>
        <w:rPr>
          <w:color w:val="auto"/>
          <w:kern w:val="0"/>
          <w:szCs w:val="21"/>
          <w:u w:val="none"/>
        </w:rPr>
        <w:t>《中华人民共和国环境保护法</w:t>
      </w:r>
      <w:r>
        <w:rPr>
          <w:rFonts w:hint="eastAsia"/>
          <w:color w:val="auto"/>
          <w:kern w:val="0"/>
          <w:szCs w:val="21"/>
          <w:u w:val="none"/>
        </w:rPr>
        <w:t>（修订）</w:t>
      </w:r>
      <w:r>
        <w:rPr>
          <w:color w:val="auto"/>
          <w:kern w:val="0"/>
          <w:szCs w:val="21"/>
          <w:u w:val="none"/>
        </w:rPr>
        <w:t>》，2014.4.24；</w:t>
      </w:r>
    </w:p>
    <w:bookmarkEnd w:id="32"/>
    <w:p>
      <w:pPr>
        <w:ind w:firstLine="480"/>
        <w:jc w:val="both"/>
        <w:rPr>
          <w:color w:val="auto"/>
          <w:kern w:val="0"/>
          <w:szCs w:val="21"/>
          <w:u w:val="none"/>
        </w:rPr>
      </w:pPr>
      <w:r>
        <w:rPr>
          <w:color w:val="auto"/>
          <w:kern w:val="0"/>
          <w:szCs w:val="21"/>
          <w:u w:val="none"/>
        </w:rPr>
        <w:t>（2）《中华人民共和国环境影响评价法（修订）》，2018.12.29；</w:t>
      </w:r>
    </w:p>
    <w:p>
      <w:pPr>
        <w:ind w:firstLine="480"/>
        <w:jc w:val="both"/>
        <w:rPr>
          <w:color w:val="auto"/>
          <w:kern w:val="0"/>
          <w:szCs w:val="21"/>
          <w:u w:val="none"/>
        </w:rPr>
      </w:pPr>
      <w:r>
        <w:rPr>
          <w:color w:val="auto"/>
          <w:kern w:val="0"/>
          <w:szCs w:val="21"/>
          <w:u w:val="none"/>
        </w:rPr>
        <w:t>（3）《中华人民共和国环境噪声污染防治法（修订）》，</w:t>
      </w:r>
      <w:r>
        <w:rPr>
          <w:rFonts w:hint="eastAsia"/>
          <w:color w:val="auto"/>
          <w:kern w:val="0"/>
          <w:szCs w:val="21"/>
          <w:u w:val="none"/>
          <w:lang w:val="en-US" w:eastAsia="zh-CN"/>
        </w:rPr>
        <w:t>2022.06.05</w:t>
      </w:r>
      <w:r>
        <w:rPr>
          <w:color w:val="auto"/>
          <w:kern w:val="0"/>
          <w:szCs w:val="21"/>
          <w:u w:val="none"/>
        </w:rPr>
        <w:t>；</w:t>
      </w:r>
    </w:p>
    <w:p>
      <w:pPr>
        <w:ind w:firstLine="480"/>
        <w:jc w:val="both"/>
        <w:rPr>
          <w:color w:val="auto"/>
          <w:kern w:val="0"/>
          <w:szCs w:val="21"/>
          <w:u w:val="none"/>
        </w:rPr>
      </w:pPr>
      <w:r>
        <w:rPr>
          <w:color w:val="auto"/>
          <w:kern w:val="0"/>
          <w:szCs w:val="21"/>
          <w:u w:val="none"/>
        </w:rPr>
        <w:t>（4）《中华人民共和国固体废物污染环境防治法（修订）》，</w:t>
      </w:r>
      <w:r>
        <w:rPr>
          <w:rFonts w:hint="eastAsia"/>
          <w:color w:val="auto"/>
          <w:kern w:val="0"/>
          <w:szCs w:val="21"/>
          <w:u w:val="none"/>
          <w:lang w:val="en-US" w:eastAsia="zh-CN"/>
        </w:rPr>
        <w:t>2020.04.29</w:t>
      </w:r>
      <w:r>
        <w:rPr>
          <w:color w:val="auto"/>
          <w:kern w:val="0"/>
          <w:szCs w:val="21"/>
          <w:u w:val="none"/>
        </w:rPr>
        <w:t>；</w:t>
      </w:r>
    </w:p>
    <w:p>
      <w:pPr>
        <w:ind w:firstLine="480"/>
        <w:jc w:val="both"/>
        <w:rPr>
          <w:color w:val="auto"/>
          <w:kern w:val="0"/>
          <w:szCs w:val="21"/>
          <w:u w:val="none"/>
        </w:rPr>
      </w:pPr>
      <w:r>
        <w:rPr>
          <w:color w:val="auto"/>
          <w:kern w:val="0"/>
          <w:szCs w:val="21"/>
          <w:u w:val="none"/>
        </w:rPr>
        <w:t>（5）《中华人民共和国水污染防治法（修订）》，2018.1.1；</w:t>
      </w:r>
    </w:p>
    <w:p>
      <w:pPr>
        <w:ind w:firstLine="480"/>
        <w:jc w:val="both"/>
        <w:rPr>
          <w:color w:val="auto"/>
          <w:kern w:val="0"/>
          <w:szCs w:val="21"/>
          <w:u w:val="none"/>
        </w:rPr>
      </w:pPr>
      <w:r>
        <w:rPr>
          <w:color w:val="auto"/>
          <w:kern w:val="0"/>
          <w:szCs w:val="21"/>
          <w:u w:val="none"/>
        </w:rPr>
        <w:t>（6）《中华人民共和国大气污染防治法</w:t>
      </w:r>
      <w:r>
        <w:rPr>
          <w:rFonts w:hint="eastAsia"/>
          <w:color w:val="auto"/>
          <w:kern w:val="0"/>
          <w:szCs w:val="21"/>
          <w:u w:val="none"/>
        </w:rPr>
        <w:t>（修订）</w:t>
      </w:r>
      <w:r>
        <w:rPr>
          <w:color w:val="auto"/>
          <w:kern w:val="0"/>
          <w:szCs w:val="21"/>
          <w:u w:val="none"/>
        </w:rPr>
        <w:t>》，</w:t>
      </w:r>
      <w:r>
        <w:rPr>
          <w:rFonts w:hint="eastAsia"/>
          <w:color w:val="auto"/>
          <w:kern w:val="0"/>
          <w:szCs w:val="21"/>
          <w:u w:val="none"/>
        </w:rPr>
        <w:t>2018.10.26</w:t>
      </w:r>
      <w:r>
        <w:rPr>
          <w:color w:val="auto"/>
          <w:kern w:val="0"/>
          <w:szCs w:val="21"/>
          <w:u w:val="none"/>
        </w:rPr>
        <w:t xml:space="preserve">； </w:t>
      </w:r>
    </w:p>
    <w:p>
      <w:pPr>
        <w:ind w:firstLine="480"/>
        <w:jc w:val="both"/>
        <w:rPr>
          <w:color w:val="auto"/>
          <w:kern w:val="0"/>
          <w:szCs w:val="21"/>
          <w:u w:val="none"/>
        </w:rPr>
      </w:pPr>
      <w:r>
        <w:rPr>
          <w:color w:val="auto"/>
          <w:kern w:val="0"/>
          <w:szCs w:val="21"/>
          <w:u w:val="none"/>
        </w:rPr>
        <w:t>（7）《中华人民共和国土地管理法</w:t>
      </w:r>
      <w:r>
        <w:rPr>
          <w:rFonts w:hint="eastAsia"/>
          <w:color w:val="auto"/>
          <w:kern w:val="0"/>
          <w:szCs w:val="21"/>
          <w:u w:val="none"/>
        </w:rPr>
        <w:t>（修订）</w:t>
      </w:r>
      <w:r>
        <w:rPr>
          <w:color w:val="auto"/>
          <w:kern w:val="0"/>
          <w:szCs w:val="21"/>
          <w:u w:val="none"/>
        </w:rPr>
        <w:t>》，</w:t>
      </w:r>
      <w:r>
        <w:rPr>
          <w:rFonts w:hint="eastAsia"/>
          <w:color w:val="auto"/>
          <w:kern w:val="0"/>
          <w:szCs w:val="21"/>
          <w:u w:val="none"/>
        </w:rPr>
        <w:t>2019.8.26，2020年1月1日起施行</w:t>
      </w:r>
      <w:r>
        <w:rPr>
          <w:color w:val="auto"/>
          <w:kern w:val="0"/>
          <w:szCs w:val="21"/>
          <w:u w:val="none"/>
        </w:rPr>
        <w:t>；</w:t>
      </w:r>
    </w:p>
    <w:p>
      <w:pPr>
        <w:ind w:firstLine="480"/>
        <w:jc w:val="both"/>
        <w:rPr>
          <w:color w:val="auto"/>
          <w:kern w:val="0"/>
          <w:szCs w:val="21"/>
          <w:u w:val="none"/>
        </w:rPr>
      </w:pPr>
      <w:r>
        <w:rPr>
          <w:color w:val="auto"/>
          <w:kern w:val="0"/>
          <w:szCs w:val="21"/>
          <w:u w:val="none"/>
        </w:rPr>
        <w:t>（8）《中华人民共和国水土保持法》，2010.12.25；</w:t>
      </w:r>
    </w:p>
    <w:p>
      <w:pPr>
        <w:ind w:firstLine="480"/>
        <w:jc w:val="both"/>
        <w:rPr>
          <w:color w:val="auto"/>
          <w:kern w:val="0"/>
          <w:szCs w:val="21"/>
          <w:u w:val="none"/>
        </w:rPr>
      </w:pPr>
      <w:r>
        <w:rPr>
          <w:color w:val="auto"/>
          <w:kern w:val="0"/>
          <w:szCs w:val="21"/>
          <w:u w:val="none"/>
        </w:rPr>
        <w:t>（9）《中华人民共和国水法》</w:t>
      </w:r>
      <w:r>
        <w:rPr>
          <w:rFonts w:hint="eastAsia"/>
          <w:color w:val="auto"/>
          <w:kern w:val="0"/>
          <w:szCs w:val="21"/>
          <w:u w:val="none"/>
        </w:rPr>
        <w:t>，</w:t>
      </w:r>
      <w:r>
        <w:rPr>
          <w:color w:val="auto"/>
          <w:kern w:val="0"/>
          <w:szCs w:val="21"/>
          <w:u w:val="none"/>
        </w:rPr>
        <w:t>2016.7.2；</w:t>
      </w:r>
    </w:p>
    <w:p>
      <w:pPr>
        <w:ind w:firstLine="480"/>
        <w:jc w:val="both"/>
        <w:rPr>
          <w:color w:val="auto"/>
          <w:kern w:val="0"/>
          <w:szCs w:val="21"/>
          <w:u w:val="none"/>
        </w:rPr>
      </w:pPr>
      <w:r>
        <w:rPr>
          <w:color w:val="auto"/>
          <w:kern w:val="0"/>
          <w:szCs w:val="21"/>
          <w:u w:val="none"/>
        </w:rPr>
        <w:t>（10）</w:t>
      </w:r>
      <w:r>
        <w:rPr>
          <w:color w:val="auto"/>
          <w:kern w:val="0"/>
          <w:szCs w:val="21"/>
          <w:u w:val="none"/>
          <w:lang w:val="zh-CN"/>
        </w:rPr>
        <w:t>《建设项目环境保护管理条例》</w:t>
      </w:r>
      <w:r>
        <w:rPr>
          <w:rFonts w:hint="eastAsia"/>
          <w:color w:val="auto"/>
          <w:kern w:val="0"/>
          <w:szCs w:val="21"/>
          <w:u w:val="none"/>
          <w:lang w:val="zh-CN"/>
        </w:rPr>
        <w:t>，</w:t>
      </w:r>
      <w:r>
        <w:rPr>
          <w:color w:val="auto"/>
          <w:kern w:val="0"/>
          <w:szCs w:val="21"/>
          <w:u w:val="none"/>
          <w:lang w:val="zh-CN"/>
        </w:rPr>
        <w:t>[国务院令第682号]（</w:t>
      </w:r>
      <w:r>
        <w:rPr>
          <w:color w:val="auto"/>
          <w:kern w:val="0"/>
          <w:szCs w:val="21"/>
          <w:u w:val="none"/>
        </w:rPr>
        <w:t>2017</w:t>
      </w:r>
      <w:r>
        <w:rPr>
          <w:color w:val="auto"/>
          <w:kern w:val="0"/>
          <w:szCs w:val="21"/>
          <w:u w:val="none"/>
          <w:lang w:val="zh-CN"/>
        </w:rPr>
        <w:t>年</w:t>
      </w:r>
      <w:r>
        <w:rPr>
          <w:color w:val="auto"/>
          <w:kern w:val="0"/>
          <w:szCs w:val="21"/>
          <w:u w:val="none"/>
        </w:rPr>
        <w:t>10</w:t>
      </w:r>
      <w:r>
        <w:rPr>
          <w:color w:val="auto"/>
          <w:kern w:val="0"/>
          <w:szCs w:val="21"/>
          <w:u w:val="none"/>
          <w:lang w:val="zh-CN"/>
        </w:rPr>
        <w:t>月</w:t>
      </w:r>
      <w:r>
        <w:rPr>
          <w:color w:val="auto"/>
          <w:kern w:val="0"/>
          <w:szCs w:val="21"/>
          <w:u w:val="none"/>
        </w:rPr>
        <w:t>1</w:t>
      </w:r>
      <w:r>
        <w:rPr>
          <w:color w:val="auto"/>
          <w:kern w:val="0"/>
          <w:szCs w:val="21"/>
          <w:u w:val="none"/>
          <w:lang w:val="zh-CN"/>
        </w:rPr>
        <w:t>日起施行）；</w:t>
      </w:r>
    </w:p>
    <w:p>
      <w:pPr>
        <w:ind w:firstLine="480"/>
        <w:jc w:val="both"/>
        <w:rPr>
          <w:rFonts w:hint="eastAsia"/>
          <w:color w:val="auto"/>
          <w:kern w:val="0"/>
          <w:szCs w:val="21"/>
          <w:u w:val="none"/>
        </w:rPr>
      </w:pPr>
      <w:r>
        <w:rPr>
          <w:color w:val="auto"/>
          <w:kern w:val="0"/>
          <w:szCs w:val="21"/>
          <w:u w:val="none"/>
          <w:lang w:val="zh-CN"/>
        </w:rPr>
        <w:t>（</w:t>
      </w:r>
      <w:r>
        <w:rPr>
          <w:color w:val="auto"/>
          <w:kern w:val="0"/>
          <w:szCs w:val="21"/>
          <w:u w:val="none"/>
        </w:rPr>
        <w:t>11）《中华人民共和国土壤污染防治法》，2018.8.31</w:t>
      </w:r>
      <w:r>
        <w:rPr>
          <w:rFonts w:hint="eastAsia"/>
          <w:color w:val="auto"/>
          <w:kern w:val="0"/>
          <w:szCs w:val="21"/>
          <w:u w:val="none"/>
        </w:rPr>
        <w:t>。</w:t>
      </w:r>
    </w:p>
    <w:p>
      <w:pPr>
        <w:pStyle w:val="6"/>
        <w:bidi w:val="0"/>
      </w:pPr>
      <w:r>
        <w:rPr>
          <w:rFonts w:hint="eastAsia"/>
        </w:rPr>
        <w:t>1.1.2行政规章及规范性文件</w:t>
      </w:r>
      <w:bookmarkEnd w:id="28"/>
      <w:bookmarkEnd w:id="29"/>
      <w:bookmarkEnd w:id="30"/>
      <w:bookmarkEnd w:id="31"/>
    </w:p>
    <w:p>
      <w:pPr>
        <w:ind w:firstLine="480"/>
        <w:jc w:val="both"/>
        <w:rPr>
          <w:color w:val="auto"/>
          <w:kern w:val="0"/>
          <w:szCs w:val="21"/>
          <w:u w:val="none"/>
          <w:lang w:val="zh-CN"/>
        </w:rPr>
      </w:pPr>
      <w:r>
        <w:rPr>
          <w:color w:val="auto"/>
          <w:kern w:val="0"/>
          <w:szCs w:val="21"/>
          <w:u w:val="none"/>
          <w:lang w:val="zh-CN"/>
        </w:rPr>
        <w:t>（</w:t>
      </w:r>
      <w:r>
        <w:rPr>
          <w:color w:val="auto"/>
          <w:kern w:val="0"/>
          <w:szCs w:val="21"/>
          <w:u w:val="none"/>
        </w:rPr>
        <w:t>1</w:t>
      </w:r>
      <w:r>
        <w:rPr>
          <w:color w:val="auto"/>
          <w:kern w:val="0"/>
          <w:szCs w:val="21"/>
          <w:u w:val="none"/>
          <w:lang w:val="zh-CN"/>
        </w:rPr>
        <w:t>）</w:t>
      </w:r>
      <w:r>
        <w:rPr>
          <w:color w:val="auto"/>
          <w:kern w:val="0"/>
          <w:szCs w:val="22"/>
          <w:u w:val="none"/>
        </w:rPr>
        <w:t>《建设项目环境影响评价分类管理名录》</w:t>
      </w:r>
      <w:r>
        <w:rPr>
          <w:rFonts w:hint="eastAsia"/>
          <w:color w:val="auto"/>
          <w:kern w:val="0"/>
          <w:szCs w:val="22"/>
          <w:u w:val="none"/>
        </w:rPr>
        <w:t>，</w:t>
      </w:r>
      <w:r>
        <w:rPr>
          <w:color w:val="auto"/>
          <w:kern w:val="0"/>
          <w:szCs w:val="22"/>
          <w:u w:val="none"/>
        </w:rPr>
        <w:t>中华人民共和国生态环境部部令第</w:t>
      </w:r>
      <w:r>
        <w:rPr>
          <w:rFonts w:hint="eastAsia"/>
          <w:color w:val="auto"/>
          <w:kern w:val="0"/>
          <w:szCs w:val="22"/>
          <w:u w:val="none"/>
          <w:lang w:val="en-US" w:eastAsia="zh-CN"/>
        </w:rPr>
        <w:t>16</w:t>
      </w:r>
      <w:r>
        <w:rPr>
          <w:color w:val="auto"/>
          <w:kern w:val="0"/>
          <w:szCs w:val="22"/>
          <w:u w:val="none"/>
        </w:rPr>
        <w:t>号，（</w:t>
      </w:r>
      <w:r>
        <w:rPr>
          <w:rFonts w:hint="eastAsia"/>
          <w:color w:val="auto"/>
          <w:kern w:val="0"/>
          <w:szCs w:val="22"/>
        </w:rPr>
        <w:t>2021年1月1日起施行</w:t>
      </w:r>
      <w:r>
        <w:rPr>
          <w:color w:val="auto"/>
          <w:kern w:val="0"/>
          <w:szCs w:val="22"/>
          <w:u w:val="none"/>
        </w:rPr>
        <w:t>）；</w:t>
      </w:r>
    </w:p>
    <w:p>
      <w:pPr>
        <w:ind w:firstLine="480"/>
        <w:jc w:val="both"/>
        <w:rPr>
          <w:color w:val="auto"/>
          <w:kern w:val="0"/>
          <w:szCs w:val="22"/>
          <w:u w:val="none"/>
          <w:lang w:val="zh-CN"/>
        </w:rPr>
      </w:pPr>
      <w:r>
        <w:rPr>
          <w:color w:val="auto"/>
          <w:kern w:val="0"/>
          <w:szCs w:val="22"/>
          <w:u w:val="none"/>
          <w:lang w:val="zh-CN"/>
        </w:rPr>
        <w:t>（</w:t>
      </w:r>
      <w:r>
        <w:rPr>
          <w:color w:val="auto"/>
          <w:kern w:val="0"/>
          <w:szCs w:val="22"/>
          <w:u w:val="none"/>
        </w:rPr>
        <w:t>2</w:t>
      </w:r>
      <w:r>
        <w:rPr>
          <w:color w:val="auto"/>
          <w:kern w:val="0"/>
          <w:szCs w:val="22"/>
          <w:u w:val="none"/>
          <w:lang w:val="zh-CN"/>
        </w:rPr>
        <w:t>）</w:t>
      </w:r>
      <w:r>
        <w:rPr>
          <w:color w:val="auto"/>
          <w:kern w:val="0"/>
          <w:u w:val="none"/>
          <w:lang w:val="zh-CN"/>
        </w:rPr>
        <w:t>《环境影响评价公众参与办法》</w:t>
      </w:r>
      <w:r>
        <w:rPr>
          <w:rFonts w:hint="eastAsia"/>
          <w:color w:val="auto"/>
          <w:kern w:val="0"/>
          <w:u w:val="none"/>
          <w:lang w:val="zh-CN"/>
        </w:rPr>
        <w:t>，</w:t>
      </w:r>
      <w:r>
        <w:rPr>
          <w:color w:val="auto"/>
          <w:kern w:val="0"/>
          <w:u w:val="none"/>
        </w:rPr>
        <w:t>2019.01.01</w:t>
      </w:r>
      <w:r>
        <w:rPr>
          <w:rFonts w:hint="eastAsia"/>
          <w:color w:val="auto"/>
          <w:kern w:val="0"/>
          <w:u w:val="none"/>
        </w:rPr>
        <w:t>施行</w:t>
      </w:r>
      <w:r>
        <w:rPr>
          <w:color w:val="auto"/>
          <w:kern w:val="0"/>
          <w:u w:val="none"/>
        </w:rPr>
        <w:t>；</w:t>
      </w:r>
    </w:p>
    <w:p>
      <w:pPr>
        <w:ind w:firstLine="480"/>
        <w:jc w:val="both"/>
        <w:rPr>
          <w:color w:val="auto"/>
          <w:kern w:val="0"/>
          <w:szCs w:val="22"/>
          <w:u w:val="none"/>
        </w:rPr>
      </w:pPr>
      <w:r>
        <w:rPr>
          <w:color w:val="auto"/>
          <w:kern w:val="0"/>
          <w:szCs w:val="22"/>
          <w:u w:val="none"/>
          <w:lang w:val="zh-CN"/>
        </w:rPr>
        <w:t>（</w:t>
      </w:r>
      <w:r>
        <w:rPr>
          <w:color w:val="auto"/>
          <w:kern w:val="0"/>
          <w:szCs w:val="22"/>
          <w:u w:val="none"/>
        </w:rPr>
        <w:t>3</w:t>
      </w:r>
      <w:r>
        <w:rPr>
          <w:color w:val="auto"/>
          <w:kern w:val="0"/>
          <w:u w:val="none"/>
          <w:lang w:val="zh-CN"/>
        </w:rPr>
        <w:t>）</w:t>
      </w:r>
      <w:r>
        <w:rPr>
          <w:rFonts w:hint="eastAsia"/>
          <w:color w:val="auto"/>
          <w:kern w:val="0"/>
          <w:u w:val="none"/>
          <w:lang w:val="zh-CN"/>
        </w:rPr>
        <w:t>《产业结构调整指导目录（201</w:t>
      </w:r>
      <w:r>
        <w:rPr>
          <w:color w:val="auto"/>
          <w:kern w:val="0"/>
          <w:u w:val="none"/>
          <w:lang w:val="zh-CN"/>
        </w:rPr>
        <w:t>9</w:t>
      </w:r>
      <w:r>
        <w:rPr>
          <w:rFonts w:hint="eastAsia"/>
          <w:color w:val="auto"/>
          <w:kern w:val="0"/>
          <w:u w:val="none"/>
          <w:lang w:val="zh-CN"/>
        </w:rPr>
        <w:t>年本）》，中华人民共和国国家发展和改革委员会令 第29号</w:t>
      </w:r>
      <w:r>
        <w:rPr>
          <w:color w:val="auto"/>
          <w:kern w:val="0"/>
          <w:u w:val="none"/>
          <w:lang w:val="zh-CN"/>
        </w:rPr>
        <w:t>；</w:t>
      </w:r>
    </w:p>
    <w:p>
      <w:pPr>
        <w:ind w:firstLine="480"/>
        <w:jc w:val="both"/>
        <w:rPr>
          <w:color w:val="auto"/>
          <w:kern w:val="0"/>
          <w:u w:val="none"/>
          <w:lang w:val="zh-CN"/>
        </w:rPr>
      </w:pPr>
      <w:r>
        <w:rPr>
          <w:color w:val="auto"/>
          <w:kern w:val="0"/>
          <w:u w:val="none"/>
          <w:lang w:val="zh-CN"/>
        </w:rPr>
        <w:t>（</w:t>
      </w:r>
      <w:r>
        <w:rPr>
          <w:color w:val="auto"/>
          <w:kern w:val="0"/>
          <w:u w:val="none"/>
        </w:rPr>
        <w:t>4</w:t>
      </w:r>
      <w:r>
        <w:rPr>
          <w:color w:val="auto"/>
          <w:kern w:val="0"/>
          <w:u w:val="none"/>
          <w:lang w:val="zh-CN"/>
        </w:rPr>
        <w:t>）</w:t>
      </w:r>
      <w:r>
        <w:rPr>
          <w:color w:val="auto"/>
          <w:kern w:val="0"/>
          <w:u w:val="none"/>
        </w:rPr>
        <w:t>《建设项目环境影响评价文件分级审批规定》</w:t>
      </w:r>
      <w:r>
        <w:rPr>
          <w:rFonts w:hint="eastAsia"/>
          <w:color w:val="auto"/>
          <w:kern w:val="0"/>
          <w:u w:val="none"/>
        </w:rPr>
        <w:t>，</w:t>
      </w:r>
      <w:r>
        <w:rPr>
          <w:color w:val="auto"/>
          <w:kern w:val="0"/>
          <w:u w:val="none"/>
        </w:rPr>
        <w:t>（环保部令第5号）；</w:t>
      </w:r>
    </w:p>
    <w:p>
      <w:pPr>
        <w:ind w:firstLine="480"/>
        <w:jc w:val="both"/>
        <w:rPr>
          <w:color w:val="auto"/>
          <w:kern w:val="0"/>
          <w:u w:val="none"/>
        </w:rPr>
      </w:pPr>
      <w:r>
        <w:rPr>
          <w:color w:val="auto"/>
          <w:kern w:val="0"/>
          <w:u w:val="none"/>
        </w:rPr>
        <w:t>（5）</w:t>
      </w:r>
      <w:r>
        <w:rPr>
          <w:color w:val="auto"/>
          <w:kern w:val="0"/>
          <w:szCs w:val="22"/>
          <w:u w:val="none"/>
          <w:lang w:val="zh-CN"/>
        </w:rPr>
        <w:t>《国务院关于加强环境保护重点工作的意见》</w:t>
      </w:r>
      <w:r>
        <w:rPr>
          <w:rFonts w:hint="eastAsia"/>
          <w:color w:val="auto"/>
          <w:kern w:val="0"/>
          <w:szCs w:val="22"/>
          <w:u w:val="none"/>
          <w:lang w:val="zh-CN"/>
        </w:rPr>
        <w:t>，</w:t>
      </w:r>
      <w:r>
        <w:rPr>
          <w:color w:val="auto"/>
          <w:kern w:val="0"/>
          <w:szCs w:val="22"/>
          <w:u w:val="none"/>
          <w:lang w:val="zh-CN"/>
        </w:rPr>
        <w:t>国发[2011]35 号；</w:t>
      </w:r>
    </w:p>
    <w:p>
      <w:pPr>
        <w:ind w:firstLine="480"/>
        <w:jc w:val="both"/>
        <w:rPr>
          <w:color w:val="auto"/>
          <w:kern w:val="0"/>
          <w:szCs w:val="22"/>
          <w:u w:val="none"/>
          <w:lang w:val="zh-CN"/>
        </w:rPr>
      </w:pPr>
      <w:r>
        <w:rPr>
          <w:color w:val="auto"/>
          <w:kern w:val="0"/>
          <w:szCs w:val="22"/>
          <w:u w:val="none"/>
          <w:lang w:val="zh-CN"/>
        </w:rPr>
        <w:t>（</w:t>
      </w:r>
      <w:r>
        <w:rPr>
          <w:color w:val="auto"/>
          <w:kern w:val="0"/>
          <w:szCs w:val="22"/>
          <w:u w:val="none"/>
        </w:rPr>
        <w:t>6</w:t>
      </w:r>
      <w:r>
        <w:rPr>
          <w:color w:val="auto"/>
          <w:kern w:val="0"/>
          <w:szCs w:val="22"/>
          <w:u w:val="none"/>
          <w:lang w:val="zh-CN"/>
        </w:rPr>
        <w:t>）</w:t>
      </w:r>
      <w:r>
        <w:rPr>
          <w:rFonts w:hint="eastAsia"/>
          <w:color w:val="000000"/>
          <w:kern w:val="0"/>
          <w:szCs w:val="22"/>
          <w:lang w:val="zh-CN"/>
        </w:rPr>
        <w:t>《中华人民共和国国民经济和社会发展第十四个五年规划和2035年远景目标纲要》</w:t>
      </w:r>
    </w:p>
    <w:p>
      <w:pPr>
        <w:ind w:firstLine="480"/>
        <w:jc w:val="both"/>
        <w:rPr>
          <w:color w:val="000000"/>
        </w:rPr>
      </w:pPr>
      <w:r>
        <w:rPr>
          <w:color w:val="000000"/>
          <w:kern w:val="0"/>
          <w:szCs w:val="21"/>
          <w:lang w:val="zh-CN"/>
        </w:rPr>
        <w:t>（</w:t>
      </w:r>
      <w:r>
        <w:rPr>
          <w:rFonts w:hint="eastAsia"/>
          <w:color w:val="000000"/>
          <w:kern w:val="0"/>
          <w:szCs w:val="21"/>
          <w:lang w:val="en-US" w:eastAsia="zh-CN"/>
        </w:rPr>
        <w:t>7</w:t>
      </w:r>
      <w:r>
        <w:rPr>
          <w:color w:val="000000"/>
          <w:kern w:val="0"/>
          <w:szCs w:val="21"/>
          <w:lang w:val="zh-CN"/>
        </w:rPr>
        <w:t>）</w:t>
      </w:r>
      <w:r>
        <w:rPr>
          <w:rFonts w:hint="eastAsia"/>
          <w:color w:val="000000"/>
          <w:kern w:val="0"/>
          <w:szCs w:val="22"/>
        </w:rPr>
        <w:t>《关于以改善环境质量为核心加强环境影响评价管理的通知》，环境保护部环环评[2016]150号</w:t>
      </w:r>
      <w:r>
        <w:rPr>
          <w:rFonts w:hint="eastAsia"/>
          <w:color w:val="000000"/>
          <w:kern w:val="0"/>
        </w:rPr>
        <w:t>；</w:t>
      </w:r>
    </w:p>
    <w:p>
      <w:pPr>
        <w:ind w:firstLine="480"/>
        <w:jc w:val="both"/>
        <w:rPr>
          <w:rFonts w:hint="eastAsia"/>
          <w:color w:val="000000"/>
          <w:kern w:val="0"/>
          <w:szCs w:val="21"/>
          <w:lang w:val="zh-CN"/>
        </w:rPr>
      </w:pPr>
      <w:r>
        <w:rPr>
          <w:rFonts w:hint="eastAsia"/>
          <w:color w:val="000000"/>
          <w:kern w:val="0"/>
          <w:szCs w:val="21"/>
          <w:lang w:val="zh-CN"/>
        </w:rPr>
        <w:t>（</w:t>
      </w:r>
      <w:r>
        <w:rPr>
          <w:rFonts w:hint="eastAsia"/>
          <w:color w:val="000000"/>
          <w:kern w:val="0"/>
          <w:szCs w:val="21"/>
          <w:lang w:val="en-US" w:eastAsia="zh-CN"/>
        </w:rPr>
        <w:t>8</w:t>
      </w:r>
      <w:r>
        <w:rPr>
          <w:rFonts w:hint="eastAsia"/>
          <w:color w:val="000000"/>
          <w:kern w:val="0"/>
          <w:szCs w:val="21"/>
          <w:lang w:val="zh-CN"/>
        </w:rPr>
        <w:t>）《国务院关于印发土壤污染防治行动计划的通知》，国发〔2016〕31 号；</w:t>
      </w:r>
    </w:p>
    <w:p>
      <w:pPr>
        <w:tabs>
          <w:tab w:val="left" w:pos="8820"/>
          <w:tab w:val="left" w:pos="9000"/>
        </w:tabs>
        <w:adjustRightInd w:val="0"/>
        <w:ind w:firstLine="480"/>
        <w:jc w:val="both"/>
        <w:rPr>
          <w:color w:val="000000"/>
          <w:kern w:val="0"/>
          <w:szCs w:val="22"/>
        </w:rPr>
      </w:pPr>
      <w:r>
        <w:rPr>
          <w:color w:val="000000"/>
          <w:kern w:val="0"/>
          <w:szCs w:val="21"/>
        </w:rPr>
        <w:t>（</w:t>
      </w:r>
      <w:r>
        <w:rPr>
          <w:rFonts w:hint="eastAsia"/>
          <w:color w:val="000000"/>
          <w:kern w:val="0"/>
          <w:szCs w:val="21"/>
          <w:lang w:val="en-US" w:eastAsia="zh-CN"/>
        </w:rPr>
        <w:t>9</w:t>
      </w:r>
      <w:r>
        <w:rPr>
          <w:color w:val="000000"/>
          <w:kern w:val="0"/>
          <w:szCs w:val="21"/>
        </w:rPr>
        <w:t>）</w:t>
      </w:r>
      <w:r>
        <w:rPr>
          <w:color w:val="000000"/>
          <w:kern w:val="0"/>
        </w:rPr>
        <w:t>《国务院关于印发水污染防治行动计划的通知》</w:t>
      </w:r>
      <w:r>
        <w:rPr>
          <w:rFonts w:hint="eastAsia"/>
          <w:color w:val="000000"/>
          <w:kern w:val="0"/>
        </w:rPr>
        <w:t>，</w:t>
      </w:r>
      <w:r>
        <w:rPr>
          <w:color w:val="000000"/>
          <w:kern w:val="0"/>
        </w:rPr>
        <w:t>（国发〔2015〕17号）</w:t>
      </w:r>
      <w:r>
        <w:rPr>
          <w:rFonts w:hint="eastAsia"/>
          <w:color w:val="000000"/>
          <w:kern w:val="0"/>
          <w:szCs w:val="22"/>
        </w:rPr>
        <w:t>；</w:t>
      </w:r>
    </w:p>
    <w:p>
      <w:pPr>
        <w:adjustRightInd w:val="0"/>
        <w:snapToGrid w:val="0"/>
        <w:ind w:firstLine="480"/>
        <w:jc w:val="both"/>
        <w:rPr>
          <w:color w:val="000000"/>
          <w:kern w:val="0"/>
        </w:rPr>
      </w:pPr>
      <w:r>
        <w:rPr>
          <w:rFonts w:hint="eastAsia"/>
          <w:color w:val="000000"/>
          <w:kern w:val="0"/>
          <w:szCs w:val="21"/>
        </w:rPr>
        <w:t>（</w:t>
      </w:r>
      <w:r>
        <w:rPr>
          <w:rFonts w:hint="eastAsia"/>
          <w:color w:val="000000"/>
          <w:kern w:val="0"/>
          <w:szCs w:val="21"/>
          <w:lang w:val="en-US" w:eastAsia="zh-CN"/>
        </w:rPr>
        <w:t>10</w:t>
      </w:r>
      <w:r>
        <w:rPr>
          <w:rFonts w:hint="eastAsia"/>
          <w:color w:val="000000"/>
          <w:kern w:val="0"/>
          <w:szCs w:val="21"/>
        </w:rPr>
        <w:t>）</w:t>
      </w:r>
      <w:r>
        <w:rPr>
          <w:color w:val="000000"/>
          <w:kern w:val="0"/>
        </w:rPr>
        <w:t>《城市污水处理及污染防治技术政策》</w:t>
      </w:r>
      <w:r>
        <w:rPr>
          <w:rFonts w:hint="eastAsia"/>
          <w:color w:val="000000"/>
          <w:kern w:val="0"/>
        </w:rPr>
        <w:t>，</w:t>
      </w:r>
      <w:r>
        <w:rPr>
          <w:color w:val="000000"/>
          <w:kern w:val="0"/>
        </w:rPr>
        <w:t>建城</w:t>
      </w:r>
      <w:r>
        <w:rPr>
          <w:rFonts w:hint="eastAsia"/>
          <w:color w:val="000000"/>
          <w:kern w:val="0"/>
        </w:rPr>
        <w:t>﹝2000﹞</w:t>
      </w:r>
      <w:r>
        <w:rPr>
          <w:color w:val="000000"/>
          <w:kern w:val="0"/>
        </w:rPr>
        <w:t>124号；</w:t>
      </w:r>
    </w:p>
    <w:p>
      <w:pPr>
        <w:tabs>
          <w:tab w:val="left" w:pos="3138"/>
        </w:tabs>
        <w:ind w:firstLine="480"/>
        <w:jc w:val="both"/>
        <w:rPr>
          <w:color w:val="000000"/>
          <w:kern w:val="0"/>
        </w:rPr>
      </w:pPr>
      <w:r>
        <w:rPr>
          <w:color w:val="000000"/>
          <w:kern w:val="0"/>
        </w:rPr>
        <w:t>（</w:t>
      </w:r>
      <w:r>
        <w:rPr>
          <w:rFonts w:hint="eastAsia"/>
          <w:color w:val="000000"/>
          <w:kern w:val="0"/>
          <w:lang w:val="en-US" w:eastAsia="zh-CN"/>
        </w:rPr>
        <w:t>11</w:t>
      </w:r>
      <w:r>
        <w:rPr>
          <w:color w:val="000000"/>
          <w:kern w:val="0"/>
        </w:rPr>
        <w:t>）《国务院关于加快发展循环经济的若干意见》</w:t>
      </w:r>
      <w:r>
        <w:rPr>
          <w:rFonts w:hint="eastAsia"/>
          <w:color w:val="000000"/>
          <w:kern w:val="0"/>
        </w:rPr>
        <w:t>，</w:t>
      </w:r>
      <w:r>
        <w:rPr>
          <w:color w:val="000000"/>
          <w:kern w:val="0"/>
        </w:rPr>
        <w:t>国发（2005）22号；</w:t>
      </w:r>
    </w:p>
    <w:p>
      <w:pPr>
        <w:tabs>
          <w:tab w:val="left" w:pos="3138"/>
        </w:tabs>
        <w:ind w:firstLine="480"/>
        <w:jc w:val="both"/>
        <w:rPr>
          <w:color w:val="000000"/>
          <w:kern w:val="0"/>
          <w:highlight w:val="none"/>
          <w:u w:val="single"/>
        </w:rPr>
      </w:pPr>
      <w:r>
        <w:rPr>
          <w:rFonts w:hint="eastAsia"/>
          <w:color w:val="000000"/>
          <w:kern w:val="0"/>
          <w:highlight w:val="none"/>
          <w:u w:val="single"/>
        </w:rPr>
        <w:t>（</w:t>
      </w:r>
      <w:r>
        <w:rPr>
          <w:rFonts w:hint="eastAsia"/>
          <w:color w:val="000000"/>
          <w:kern w:val="0"/>
          <w:highlight w:val="none"/>
          <w:u w:val="single"/>
          <w:lang w:val="en-US" w:eastAsia="zh-CN"/>
        </w:rPr>
        <w:t>12</w:t>
      </w:r>
      <w:r>
        <w:rPr>
          <w:color w:val="000000"/>
          <w:kern w:val="0"/>
          <w:highlight w:val="none"/>
          <w:u w:val="single"/>
        </w:rPr>
        <w:t>）</w:t>
      </w:r>
      <w:r>
        <w:rPr>
          <w:rFonts w:hint="eastAsia"/>
          <w:color w:val="000000"/>
          <w:kern w:val="0"/>
          <w:highlight w:val="none"/>
          <w:u w:val="single"/>
        </w:rPr>
        <w:t>《关于进一步规范城镇（园区）污水处理环境管理的通知》(环水体【2020】71号)</w:t>
      </w:r>
      <w:r>
        <w:rPr>
          <w:color w:val="000000"/>
          <w:kern w:val="0"/>
          <w:highlight w:val="none"/>
          <w:u w:val="single"/>
        </w:rPr>
        <w:t>；</w:t>
      </w:r>
    </w:p>
    <w:p>
      <w:pPr>
        <w:tabs>
          <w:tab w:val="left" w:pos="3138"/>
        </w:tabs>
        <w:ind w:firstLine="480"/>
        <w:jc w:val="both"/>
        <w:rPr>
          <w:color w:val="000000"/>
          <w:kern w:val="0"/>
          <w:highlight w:val="none"/>
          <w:u w:val="single"/>
        </w:rPr>
      </w:pPr>
      <w:r>
        <w:rPr>
          <w:color w:val="000000"/>
          <w:kern w:val="0"/>
          <w:highlight w:val="none"/>
          <w:u w:val="single"/>
        </w:rPr>
        <w:t>（1</w:t>
      </w:r>
      <w:r>
        <w:rPr>
          <w:rFonts w:hint="eastAsia"/>
          <w:color w:val="000000"/>
          <w:kern w:val="0"/>
          <w:highlight w:val="none"/>
          <w:u w:val="single"/>
          <w:lang w:val="en-US" w:eastAsia="zh-CN"/>
        </w:rPr>
        <w:t>3</w:t>
      </w:r>
      <w:r>
        <w:rPr>
          <w:rFonts w:hint="eastAsia"/>
          <w:color w:val="000000"/>
          <w:kern w:val="0"/>
          <w:highlight w:val="none"/>
          <w:u w:val="single"/>
        </w:rPr>
        <w:t>）《关于进一步规范和加强产业园区生态环境管理的通知》(湘发改【2020】27号)</w:t>
      </w:r>
      <w:r>
        <w:rPr>
          <w:color w:val="000000"/>
          <w:kern w:val="0"/>
          <w:highlight w:val="none"/>
          <w:u w:val="single"/>
        </w:rPr>
        <w:t>；</w:t>
      </w:r>
    </w:p>
    <w:p>
      <w:pPr>
        <w:tabs>
          <w:tab w:val="left" w:pos="3138"/>
        </w:tabs>
        <w:ind w:firstLine="480"/>
        <w:jc w:val="both"/>
        <w:rPr>
          <w:rFonts w:hint="eastAsia" w:ascii="Times New Roman" w:hAnsi="Times New Roman" w:eastAsia="宋体"/>
          <w:sz w:val="24"/>
          <w:u w:val="single"/>
          <w:lang w:eastAsia="zh-CN"/>
        </w:rPr>
      </w:pPr>
      <w:r>
        <w:rPr>
          <w:rFonts w:hint="eastAsia" w:ascii="Times New Roman" w:hAnsi="Times New Roman" w:eastAsia="宋体" w:cs="Times New Roman"/>
          <w:color w:val="000000"/>
          <w:kern w:val="0"/>
          <w:highlight w:val="none"/>
          <w:u w:val="single"/>
        </w:rPr>
        <w:t>（1</w:t>
      </w:r>
      <w:r>
        <w:rPr>
          <w:rFonts w:hint="eastAsia" w:cs="Times New Roman"/>
          <w:color w:val="000000"/>
          <w:kern w:val="0"/>
          <w:highlight w:val="none"/>
          <w:u w:val="single"/>
          <w:lang w:val="en-US" w:eastAsia="zh-CN"/>
        </w:rPr>
        <w:t>4</w:t>
      </w:r>
      <w:r>
        <w:rPr>
          <w:rFonts w:hint="eastAsia" w:ascii="Times New Roman" w:hAnsi="Times New Roman" w:eastAsia="宋体" w:cs="Times New Roman"/>
          <w:color w:val="000000"/>
          <w:kern w:val="0"/>
          <w:highlight w:val="none"/>
          <w:u w:val="single"/>
        </w:rPr>
        <w:t>）《关于印发《规范和加强产业园区工业污水收集处理实施方案（2021~2023年）》的通知(湘环发【2021】41号)</w:t>
      </w:r>
      <w:r>
        <w:rPr>
          <w:rFonts w:hint="eastAsia" w:ascii="Times New Roman" w:hAnsi="Times New Roman" w:eastAsia="宋体" w:cs="Times New Roman"/>
          <w:color w:val="000000"/>
          <w:kern w:val="0"/>
          <w:highlight w:val="none"/>
          <w:u w:val="single"/>
          <w:lang w:eastAsia="zh-CN"/>
        </w:rPr>
        <w:t>；</w:t>
      </w:r>
    </w:p>
    <w:p>
      <w:pPr>
        <w:numPr>
          <w:ilvl w:val="0"/>
          <w:numId w:val="0"/>
        </w:numPr>
        <w:ind w:leftChars="200"/>
        <w:rPr>
          <w:rFonts w:hint="eastAsia"/>
          <w:u w:val="single"/>
          <w:lang w:eastAsia="zh-CN"/>
        </w:rPr>
      </w:pPr>
      <w:r>
        <w:rPr>
          <w:rFonts w:hint="eastAsia"/>
          <w:color w:val="000000"/>
          <w:szCs w:val="28"/>
          <w:u w:val="single"/>
          <w:lang w:eastAsia="zh-CN"/>
        </w:rPr>
        <w:t>（</w:t>
      </w:r>
      <w:r>
        <w:rPr>
          <w:rFonts w:hint="eastAsia"/>
          <w:color w:val="000000"/>
          <w:szCs w:val="28"/>
          <w:u w:val="single"/>
          <w:lang w:val="en-US" w:eastAsia="zh-CN"/>
        </w:rPr>
        <w:t>15</w:t>
      </w:r>
      <w:r>
        <w:rPr>
          <w:rFonts w:hint="eastAsia"/>
          <w:color w:val="000000"/>
          <w:szCs w:val="28"/>
          <w:u w:val="single"/>
          <w:lang w:eastAsia="zh-CN"/>
        </w:rPr>
        <w:t>）</w:t>
      </w:r>
      <w:r>
        <w:rPr>
          <w:color w:val="000000"/>
          <w:szCs w:val="28"/>
          <w:u w:val="single"/>
        </w:rPr>
        <w:t>《关于规范入河排污口设置审批工作的函》（湘环函[2021]71号）</w:t>
      </w:r>
      <w:r>
        <w:rPr>
          <w:rFonts w:hint="eastAsia"/>
          <w:color w:val="000000"/>
          <w:szCs w:val="28"/>
          <w:u w:val="single"/>
          <w:lang w:eastAsia="zh-CN"/>
        </w:rPr>
        <w:t>；</w:t>
      </w:r>
    </w:p>
    <w:p>
      <w:pPr>
        <w:pStyle w:val="3"/>
        <w:keepNext w:val="0"/>
        <w:keepLines w:val="0"/>
        <w:pageBreakBefore w:val="0"/>
        <w:widowControl/>
        <w:kinsoku/>
        <w:wordWrap/>
        <w:overflowPunct/>
        <w:topLinePunct w:val="0"/>
        <w:autoSpaceDE w:val="0"/>
        <w:autoSpaceDN w:val="0"/>
        <w:bidi w:val="0"/>
        <w:adjustRightInd/>
        <w:snapToGrid/>
        <w:ind w:left="0" w:leftChars="0" w:firstLine="480" w:firstLineChars="200"/>
        <w:textAlignment w:val="auto"/>
        <w:rPr>
          <w:rFonts w:hint="eastAsia" w:ascii="Times New Roman" w:hAnsi="Times New Roman" w:eastAsia="宋体"/>
          <w:sz w:val="24"/>
          <w:u w:val="single"/>
          <w:lang w:eastAsia="zh-CN"/>
        </w:rPr>
      </w:pPr>
      <w:r>
        <w:rPr>
          <w:rFonts w:ascii="Times New Roman" w:hAnsi="Times New Roman"/>
          <w:color w:val="auto"/>
          <w:kern w:val="0"/>
          <w:sz w:val="24"/>
          <w:u w:val="single"/>
        </w:rPr>
        <w:t>（</w:t>
      </w:r>
      <w:r>
        <w:rPr>
          <w:rFonts w:hint="eastAsia" w:ascii="Times New Roman" w:hAnsi="Times New Roman"/>
          <w:color w:val="auto"/>
          <w:kern w:val="0"/>
          <w:sz w:val="24"/>
          <w:u w:val="single"/>
          <w:lang w:val="en-US" w:eastAsia="zh-CN"/>
        </w:rPr>
        <w:t>16</w:t>
      </w:r>
      <w:r>
        <w:rPr>
          <w:rFonts w:hint="eastAsia" w:ascii="Times New Roman" w:hAnsi="Times New Roman"/>
          <w:color w:val="auto"/>
          <w:kern w:val="0"/>
          <w:sz w:val="24"/>
          <w:u w:val="single"/>
        </w:rPr>
        <w:t>）《入河</w:t>
      </w:r>
      <w:r>
        <w:rPr>
          <w:rFonts w:hint="eastAsia" w:ascii="Times New Roman" w:hAnsi="Times New Roman"/>
          <w:color w:val="auto"/>
          <w:kern w:val="0"/>
          <w:sz w:val="24"/>
          <w:u w:val="single"/>
          <w:lang w:eastAsia="zh-CN"/>
        </w:rPr>
        <w:t>（</w:t>
      </w:r>
      <w:r>
        <w:rPr>
          <w:rFonts w:hint="eastAsia" w:ascii="Times New Roman" w:hAnsi="Times New Roman"/>
          <w:color w:val="auto"/>
          <w:kern w:val="0"/>
          <w:sz w:val="24"/>
          <w:u w:val="single"/>
        </w:rPr>
        <w:t>海</w:t>
      </w:r>
      <w:r>
        <w:rPr>
          <w:rFonts w:hint="eastAsia" w:ascii="Times New Roman" w:hAnsi="Times New Roman"/>
          <w:color w:val="auto"/>
          <w:kern w:val="0"/>
          <w:sz w:val="24"/>
          <w:u w:val="single"/>
          <w:lang w:eastAsia="zh-CN"/>
        </w:rPr>
        <w:t>）</w:t>
      </w:r>
      <w:r>
        <w:rPr>
          <w:rFonts w:hint="eastAsia" w:ascii="Times New Roman" w:hAnsi="Times New Roman"/>
          <w:color w:val="auto"/>
          <w:kern w:val="0"/>
          <w:sz w:val="24"/>
          <w:u w:val="single"/>
        </w:rPr>
        <w:t>排污口命名与编码规则》(HJ1235-2021) 》</w:t>
      </w:r>
      <w:r>
        <w:rPr>
          <w:rFonts w:hint="eastAsia" w:ascii="Times New Roman" w:hAnsi="Times New Roman"/>
          <w:color w:val="auto"/>
          <w:kern w:val="0"/>
          <w:sz w:val="24"/>
          <w:u w:val="single"/>
          <w:lang w:eastAsia="zh-CN"/>
        </w:rPr>
        <w:t>。</w:t>
      </w:r>
    </w:p>
    <w:p>
      <w:pPr>
        <w:pStyle w:val="6"/>
        <w:bidi w:val="0"/>
      </w:pPr>
      <w:r>
        <w:rPr>
          <w:rFonts w:hint="eastAsia"/>
        </w:rPr>
        <w:t>1.1.3地方环境保护法规、政策</w:t>
      </w:r>
      <w:bookmarkEnd w:id="24"/>
      <w:bookmarkEnd w:id="25"/>
      <w:bookmarkEnd w:id="26"/>
      <w:bookmarkEnd w:id="27"/>
    </w:p>
    <w:p>
      <w:pPr>
        <w:tabs>
          <w:tab w:val="left" w:pos="8820"/>
          <w:tab w:val="left" w:pos="9000"/>
        </w:tabs>
        <w:adjustRightInd w:val="0"/>
        <w:ind w:firstLine="480"/>
        <w:jc w:val="both"/>
        <w:rPr>
          <w:color w:val="auto"/>
          <w:kern w:val="0"/>
          <w:szCs w:val="21"/>
          <w:u w:val="none"/>
        </w:rPr>
      </w:pPr>
      <w:bookmarkStart w:id="33" w:name="_Toc489349951"/>
      <w:bookmarkStart w:id="34" w:name="_Toc489350103"/>
      <w:bookmarkStart w:id="35" w:name="_Toc489350204"/>
      <w:bookmarkStart w:id="36" w:name="_Toc489349335"/>
      <w:r>
        <w:rPr>
          <w:rFonts w:hint="eastAsia"/>
          <w:color w:val="auto"/>
          <w:kern w:val="0"/>
          <w:szCs w:val="21"/>
          <w:u w:val="none"/>
        </w:rPr>
        <w:t>（1）</w:t>
      </w:r>
      <w:r>
        <w:rPr>
          <w:color w:val="auto"/>
          <w:kern w:val="0"/>
          <w:szCs w:val="21"/>
          <w:u w:val="none"/>
        </w:rPr>
        <w:t>《湖南省环境保护条例》，</w:t>
      </w:r>
      <w:r>
        <w:rPr>
          <w:rFonts w:hint="eastAsia"/>
          <w:color w:val="auto"/>
          <w:kern w:val="0"/>
          <w:szCs w:val="21"/>
          <w:u w:val="none"/>
        </w:rPr>
        <w:t>湖南省第十三届人民代表大会常务委员会第十三次会议修订，2019年9月28日</w:t>
      </w:r>
      <w:r>
        <w:rPr>
          <w:color w:val="auto"/>
          <w:kern w:val="0"/>
          <w:szCs w:val="21"/>
          <w:u w:val="none"/>
        </w:rPr>
        <w:t>；</w:t>
      </w:r>
    </w:p>
    <w:p>
      <w:pPr>
        <w:tabs>
          <w:tab w:val="left" w:pos="8820"/>
          <w:tab w:val="left" w:pos="9000"/>
        </w:tabs>
        <w:adjustRightInd w:val="0"/>
        <w:ind w:firstLine="480"/>
        <w:jc w:val="both"/>
        <w:rPr>
          <w:color w:val="auto"/>
          <w:kern w:val="0"/>
          <w:szCs w:val="21"/>
          <w:u w:val="none"/>
        </w:rPr>
      </w:pPr>
      <w:r>
        <w:rPr>
          <w:color w:val="auto"/>
          <w:kern w:val="0"/>
          <w:szCs w:val="21"/>
          <w:u w:val="none"/>
        </w:rPr>
        <w:t>（2）</w:t>
      </w:r>
      <w:r>
        <w:rPr>
          <w:color w:val="auto"/>
          <w:kern w:val="0"/>
          <w:szCs w:val="21"/>
          <w:u w:val="single"/>
        </w:rPr>
        <w:t>《湖南省水环境功能区划》</w:t>
      </w:r>
      <w:r>
        <w:rPr>
          <w:color w:val="auto"/>
          <w:kern w:val="0"/>
          <w:szCs w:val="21"/>
          <w:u w:val="none"/>
        </w:rPr>
        <w:t>；</w:t>
      </w:r>
    </w:p>
    <w:p>
      <w:pPr>
        <w:tabs>
          <w:tab w:val="left" w:pos="8820"/>
          <w:tab w:val="left" w:pos="9000"/>
        </w:tabs>
        <w:adjustRightInd w:val="0"/>
        <w:ind w:firstLine="480"/>
        <w:jc w:val="both"/>
        <w:rPr>
          <w:color w:val="auto"/>
          <w:kern w:val="0"/>
          <w:szCs w:val="21"/>
          <w:u w:val="none"/>
        </w:rPr>
      </w:pPr>
      <w:r>
        <w:rPr>
          <w:color w:val="auto"/>
          <w:kern w:val="0"/>
          <w:szCs w:val="21"/>
          <w:u w:val="none"/>
        </w:rPr>
        <w:t>（3）《湖南省人民政府关于公布湖南省县级以上地表水集中饮用水水源保护区划定方案的通知》湖南省人民政府，湘政函【2016】176号；</w:t>
      </w:r>
    </w:p>
    <w:p>
      <w:pPr>
        <w:tabs>
          <w:tab w:val="left" w:pos="8820"/>
          <w:tab w:val="left" w:pos="9000"/>
        </w:tabs>
        <w:adjustRightInd w:val="0"/>
        <w:ind w:firstLine="480"/>
        <w:jc w:val="both"/>
        <w:rPr>
          <w:color w:val="auto"/>
          <w:kern w:val="0"/>
          <w:szCs w:val="21"/>
          <w:u w:val="none"/>
        </w:rPr>
      </w:pPr>
      <w:r>
        <w:rPr>
          <w:color w:val="auto"/>
          <w:kern w:val="0"/>
          <w:szCs w:val="21"/>
          <w:u w:val="none"/>
        </w:rPr>
        <w:t>（4）关于印发《贯彻落实&lt;大气污染防治行动计划&gt;实施细则》的通知（湘政发[2013]77号，2013年12月23日）；</w:t>
      </w:r>
    </w:p>
    <w:p>
      <w:pPr>
        <w:tabs>
          <w:tab w:val="left" w:pos="8820"/>
          <w:tab w:val="left" w:pos="9000"/>
        </w:tabs>
        <w:adjustRightInd w:val="0"/>
        <w:ind w:firstLine="480"/>
        <w:jc w:val="both"/>
        <w:rPr>
          <w:color w:val="auto"/>
          <w:kern w:val="0"/>
          <w:szCs w:val="21"/>
          <w:u w:val="none"/>
        </w:rPr>
      </w:pPr>
      <w:r>
        <w:rPr>
          <w:color w:val="auto"/>
          <w:kern w:val="0"/>
          <w:szCs w:val="21"/>
          <w:u w:val="none"/>
        </w:rPr>
        <w:t>（5）《湖南省贯彻落实&lt;水污染防治行动计划&gt;实施方案(2016-2020年)》；</w:t>
      </w:r>
    </w:p>
    <w:p>
      <w:pPr>
        <w:ind w:firstLine="480"/>
        <w:rPr>
          <w:color w:val="auto"/>
          <w:u w:val="none"/>
        </w:rPr>
      </w:pPr>
      <w:r>
        <w:rPr>
          <w:color w:val="auto"/>
          <w:u w:val="none"/>
        </w:rPr>
        <w:t xml:space="preserve">（6）《湘西自治州大气污染防治实施方案》（州政办发[2014]4号，2014年1月24日）； </w:t>
      </w:r>
    </w:p>
    <w:p>
      <w:pPr>
        <w:ind w:firstLine="480"/>
        <w:rPr>
          <w:color w:val="auto"/>
          <w:u w:val="none"/>
        </w:rPr>
      </w:pPr>
      <w:r>
        <w:rPr>
          <w:color w:val="auto"/>
          <w:u w:val="none"/>
        </w:rPr>
        <w:t>（7）《湘西自治州水污染防治实施方案（2016-2020年）》</w:t>
      </w:r>
      <w:r>
        <w:rPr>
          <w:rFonts w:hint="eastAsia"/>
          <w:color w:val="auto"/>
          <w:u w:val="none"/>
        </w:rPr>
        <w:t>；</w:t>
      </w:r>
    </w:p>
    <w:p>
      <w:pPr>
        <w:ind w:firstLine="480"/>
        <w:rPr>
          <w:color w:val="auto"/>
          <w:szCs w:val="22"/>
          <w:u w:val="none"/>
        </w:rPr>
      </w:pPr>
      <w:r>
        <w:rPr>
          <w:rFonts w:hint="eastAsia"/>
          <w:color w:val="auto"/>
          <w:szCs w:val="22"/>
          <w:u w:val="none"/>
        </w:rPr>
        <w:t>（8）《湖南省大气污染防治条例》（湖南省第十二届人民代表大会常务委员会第60号，2017年6月1日施行）；</w:t>
      </w:r>
    </w:p>
    <w:p>
      <w:pPr>
        <w:ind w:firstLine="480"/>
        <w:rPr>
          <w:rFonts w:hint="eastAsia"/>
          <w:color w:val="auto"/>
          <w:szCs w:val="22"/>
          <w:u w:val="none"/>
        </w:rPr>
      </w:pPr>
      <w:r>
        <w:rPr>
          <w:rFonts w:hint="eastAsia"/>
          <w:color w:val="auto"/>
          <w:szCs w:val="22"/>
          <w:u w:val="none"/>
        </w:rPr>
        <w:t>（</w:t>
      </w:r>
      <w:r>
        <w:rPr>
          <w:color w:val="auto"/>
          <w:szCs w:val="22"/>
          <w:u w:val="none"/>
        </w:rPr>
        <w:t>9</w:t>
      </w:r>
      <w:r>
        <w:rPr>
          <w:rFonts w:hint="eastAsia"/>
          <w:color w:val="auto"/>
          <w:szCs w:val="22"/>
          <w:u w:val="none"/>
        </w:rPr>
        <w:t>）《湖南省人民政府印发《湖南省污染防治攻坚战三年行动计划（2018-2020年）（湘政发[2018]17号）；</w:t>
      </w:r>
    </w:p>
    <w:p>
      <w:pPr>
        <w:ind w:firstLine="480"/>
        <w:rPr>
          <w:rFonts w:hint="eastAsia"/>
          <w:color w:val="auto"/>
          <w:szCs w:val="22"/>
          <w:u w:val="none"/>
        </w:rPr>
      </w:pPr>
      <w:r>
        <w:rPr>
          <w:rFonts w:hint="eastAsia"/>
          <w:color w:val="auto"/>
          <w:szCs w:val="22"/>
          <w:u w:val="none"/>
        </w:rPr>
        <w:t>（</w:t>
      </w:r>
      <w:r>
        <w:rPr>
          <w:color w:val="auto"/>
          <w:szCs w:val="22"/>
          <w:u w:val="none"/>
        </w:rPr>
        <w:t>10</w:t>
      </w:r>
      <w:r>
        <w:rPr>
          <w:rFonts w:hint="eastAsia"/>
          <w:color w:val="auto"/>
          <w:szCs w:val="22"/>
          <w:u w:val="none"/>
        </w:rPr>
        <w:t>）《湖南省实施&lt;中华人民共和国固体废物污染环境防治法&gt;办法》（湖南省第十二届人民代表大会常务委员会第三十五次会议通过，2018年5月1日起实施）；</w:t>
      </w:r>
    </w:p>
    <w:p>
      <w:pPr>
        <w:ind w:firstLine="480"/>
        <w:rPr>
          <w:color w:val="auto"/>
          <w:szCs w:val="22"/>
          <w:u w:val="none"/>
        </w:rPr>
      </w:pPr>
      <w:r>
        <w:rPr>
          <w:rFonts w:hint="eastAsia"/>
          <w:color w:val="auto"/>
          <w:szCs w:val="22"/>
          <w:u w:val="none"/>
        </w:rPr>
        <w:t>（</w:t>
      </w:r>
      <w:r>
        <w:rPr>
          <w:color w:val="auto"/>
          <w:szCs w:val="22"/>
          <w:u w:val="none"/>
        </w:rPr>
        <w:t>11</w:t>
      </w:r>
      <w:r>
        <w:rPr>
          <w:rFonts w:hint="eastAsia"/>
          <w:color w:val="auto"/>
          <w:szCs w:val="22"/>
          <w:u w:val="none"/>
        </w:rPr>
        <w:t>）《湖南省主体功能区规划》（湘政发[2012]39号；2</w:t>
      </w:r>
      <w:r>
        <w:rPr>
          <w:color w:val="auto"/>
          <w:szCs w:val="22"/>
          <w:u w:val="none"/>
        </w:rPr>
        <w:t>012</w:t>
      </w:r>
      <w:r>
        <w:rPr>
          <w:rFonts w:hint="eastAsia"/>
          <w:color w:val="auto"/>
          <w:szCs w:val="22"/>
          <w:u w:val="none"/>
        </w:rPr>
        <w:t>年1</w:t>
      </w:r>
      <w:r>
        <w:rPr>
          <w:color w:val="auto"/>
          <w:szCs w:val="22"/>
          <w:u w:val="none"/>
        </w:rPr>
        <w:t>1</w:t>
      </w:r>
      <w:r>
        <w:rPr>
          <w:rFonts w:hint="eastAsia"/>
          <w:color w:val="auto"/>
          <w:szCs w:val="22"/>
          <w:u w:val="none"/>
        </w:rPr>
        <w:t>月1</w:t>
      </w:r>
      <w:r>
        <w:rPr>
          <w:color w:val="auto"/>
          <w:szCs w:val="22"/>
          <w:u w:val="none"/>
        </w:rPr>
        <w:t>7</w:t>
      </w:r>
      <w:r>
        <w:rPr>
          <w:rFonts w:hint="eastAsia"/>
          <w:color w:val="auto"/>
          <w:szCs w:val="22"/>
          <w:u w:val="none"/>
        </w:rPr>
        <w:t>日）；</w:t>
      </w:r>
    </w:p>
    <w:p>
      <w:pPr>
        <w:ind w:firstLine="480"/>
        <w:rPr>
          <w:rFonts w:hint="eastAsia"/>
          <w:color w:val="auto"/>
          <w:kern w:val="0"/>
          <w:u w:val="none"/>
        </w:rPr>
      </w:pPr>
      <w:r>
        <w:rPr>
          <w:rFonts w:hint="eastAsia"/>
          <w:color w:val="auto"/>
          <w:kern w:val="0"/>
          <w:szCs w:val="22"/>
          <w:u w:val="none"/>
        </w:rPr>
        <w:t>（</w:t>
      </w:r>
      <w:r>
        <w:rPr>
          <w:color w:val="auto"/>
          <w:kern w:val="0"/>
          <w:szCs w:val="22"/>
          <w:u w:val="none"/>
        </w:rPr>
        <w:t>12</w:t>
      </w:r>
      <w:r>
        <w:rPr>
          <w:rFonts w:hint="eastAsia"/>
          <w:color w:val="auto"/>
          <w:kern w:val="0"/>
          <w:szCs w:val="22"/>
          <w:u w:val="none"/>
        </w:rPr>
        <w:t>）</w:t>
      </w:r>
      <w:r>
        <w:rPr>
          <w:rFonts w:hint="eastAsia"/>
          <w:color w:val="auto"/>
          <w:kern w:val="0"/>
        </w:rPr>
        <w:t>《湖南省人民政府关于实施“三线一单”生态环境分区管控的意见》（湘政发〔2020〕12 号）</w:t>
      </w:r>
      <w:r>
        <w:rPr>
          <w:rFonts w:hint="eastAsia"/>
          <w:color w:val="auto"/>
          <w:kern w:val="0"/>
          <w:u w:val="none"/>
        </w:rPr>
        <w:t>；</w:t>
      </w:r>
    </w:p>
    <w:p>
      <w:pPr>
        <w:adjustRightInd w:val="0"/>
        <w:snapToGrid w:val="0"/>
        <w:ind w:firstLine="480"/>
        <w:rPr>
          <w:rFonts w:hint="eastAsia"/>
          <w:color w:val="auto"/>
          <w:kern w:val="0"/>
        </w:rPr>
      </w:pPr>
      <w:r>
        <w:rPr>
          <w:rFonts w:hint="eastAsia"/>
          <w:color w:val="auto"/>
          <w:kern w:val="0"/>
        </w:rPr>
        <w:t>（1</w:t>
      </w:r>
      <w:r>
        <w:rPr>
          <w:color w:val="auto"/>
          <w:kern w:val="0"/>
        </w:rPr>
        <w:t>3</w:t>
      </w:r>
      <w:r>
        <w:rPr>
          <w:rFonts w:hint="eastAsia"/>
          <w:color w:val="auto"/>
          <w:kern w:val="0"/>
        </w:rPr>
        <w:t>）《湖南省新增19个国家重点生态功能区产业准入负面清单（试行）》(湘发改规划〔2018〕972号)；</w:t>
      </w:r>
    </w:p>
    <w:p>
      <w:pPr>
        <w:adjustRightInd w:val="0"/>
        <w:snapToGrid w:val="0"/>
        <w:ind w:firstLine="480"/>
        <w:rPr>
          <w:rFonts w:hint="eastAsia" w:eastAsia="宋体"/>
          <w:color w:val="auto"/>
          <w:kern w:val="0"/>
          <w:lang w:eastAsia="zh-CN"/>
        </w:rPr>
      </w:pPr>
      <w:r>
        <w:rPr>
          <w:rFonts w:hint="eastAsia"/>
          <w:color w:val="auto"/>
          <w:kern w:val="0"/>
          <w:lang w:eastAsia="zh-CN"/>
        </w:rPr>
        <w:t>（</w:t>
      </w:r>
      <w:r>
        <w:rPr>
          <w:rFonts w:hint="eastAsia"/>
          <w:color w:val="auto"/>
          <w:kern w:val="0"/>
          <w:lang w:val="en-US" w:eastAsia="zh-CN"/>
        </w:rPr>
        <w:t>14</w:t>
      </w:r>
      <w:r>
        <w:rPr>
          <w:rFonts w:hint="eastAsia"/>
          <w:color w:val="auto"/>
          <w:kern w:val="0"/>
          <w:lang w:eastAsia="zh-CN"/>
        </w:rPr>
        <w:t>）</w:t>
      </w:r>
      <w:r>
        <w:rPr>
          <w:rFonts w:hint="eastAsia"/>
          <w:color w:val="000000"/>
          <w:kern w:val="0"/>
          <w:highlight w:val="none"/>
          <w:u w:val="single"/>
        </w:rPr>
        <w:t>《湘西土家族苗族自治州水功能区划》</w:t>
      </w:r>
      <w:r>
        <w:rPr>
          <w:rFonts w:hint="eastAsia"/>
          <w:color w:val="000000"/>
          <w:kern w:val="0"/>
          <w:highlight w:val="none"/>
          <w:u w:val="single"/>
          <w:lang w:eastAsia="zh-CN"/>
        </w:rPr>
        <w:t>；</w:t>
      </w:r>
    </w:p>
    <w:p>
      <w:pPr>
        <w:adjustRightInd w:val="0"/>
        <w:snapToGrid w:val="0"/>
        <w:ind w:firstLine="480"/>
        <w:rPr>
          <w:color w:val="auto"/>
          <w:kern w:val="0"/>
        </w:rPr>
      </w:pPr>
      <w:r>
        <w:rPr>
          <w:rFonts w:hint="eastAsia"/>
          <w:color w:val="auto"/>
          <w:kern w:val="0"/>
        </w:rPr>
        <w:t>（1</w:t>
      </w:r>
      <w:r>
        <w:rPr>
          <w:color w:val="auto"/>
          <w:kern w:val="0"/>
        </w:rPr>
        <w:t>5</w:t>
      </w:r>
      <w:r>
        <w:rPr>
          <w:rFonts w:hint="eastAsia"/>
          <w:color w:val="auto"/>
          <w:kern w:val="0"/>
        </w:rPr>
        <w:t>）《湖南省“三线一单”生态环境总体管控要求暨省级以上产业园区生态环境准入清单》；</w:t>
      </w:r>
    </w:p>
    <w:p>
      <w:pPr>
        <w:adjustRightInd w:val="0"/>
        <w:snapToGrid w:val="0"/>
        <w:ind w:firstLine="480"/>
        <w:rPr>
          <w:rFonts w:hint="eastAsia"/>
          <w:color w:val="auto"/>
          <w:kern w:val="0"/>
        </w:rPr>
      </w:pPr>
      <w:r>
        <w:rPr>
          <w:rFonts w:hint="eastAsia"/>
          <w:color w:val="auto"/>
          <w:kern w:val="0"/>
        </w:rPr>
        <w:t>（1</w:t>
      </w:r>
      <w:r>
        <w:rPr>
          <w:color w:val="auto"/>
          <w:kern w:val="0"/>
        </w:rPr>
        <w:t>6</w:t>
      </w:r>
      <w:r>
        <w:rPr>
          <w:rFonts w:hint="eastAsia"/>
          <w:color w:val="auto"/>
          <w:kern w:val="0"/>
        </w:rPr>
        <w:t>）《湘西自治州大气污染防治实施方案》（州政办发[2014]4号，2014年1月24日）；</w:t>
      </w:r>
    </w:p>
    <w:p>
      <w:pPr>
        <w:adjustRightInd w:val="0"/>
        <w:snapToGrid w:val="0"/>
        <w:ind w:firstLine="480"/>
        <w:rPr>
          <w:rFonts w:hint="eastAsia"/>
          <w:color w:val="auto"/>
          <w:kern w:val="0"/>
        </w:rPr>
      </w:pPr>
      <w:r>
        <w:rPr>
          <w:rFonts w:hint="eastAsia"/>
          <w:color w:val="auto"/>
          <w:kern w:val="0"/>
        </w:rPr>
        <w:t>（1</w:t>
      </w:r>
      <w:r>
        <w:rPr>
          <w:color w:val="auto"/>
          <w:kern w:val="0"/>
        </w:rPr>
        <w:t>7</w:t>
      </w:r>
      <w:r>
        <w:rPr>
          <w:rFonts w:hint="eastAsia"/>
          <w:color w:val="auto"/>
          <w:kern w:val="0"/>
        </w:rPr>
        <w:t>）《湘西自治州水污染防治实施方案（2016-2020年）》；</w:t>
      </w:r>
    </w:p>
    <w:p>
      <w:pPr>
        <w:ind w:firstLine="480"/>
        <w:rPr>
          <w:rFonts w:hint="eastAsia"/>
          <w:color w:val="auto"/>
          <w:kern w:val="0"/>
          <w:u w:val="none"/>
        </w:rPr>
      </w:pPr>
      <w:r>
        <w:rPr>
          <w:rFonts w:hint="eastAsia"/>
          <w:color w:val="auto"/>
          <w:kern w:val="0"/>
        </w:rPr>
        <w:t>（1</w:t>
      </w:r>
      <w:r>
        <w:rPr>
          <w:color w:val="auto"/>
          <w:kern w:val="0"/>
        </w:rPr>
        <w:t>8</w:t>
      </w:r>
      <w:r>
        <w:rPr>
          <w:rFonts w:hint="eastAsia"/>
          <w:color w:val="auto"/>
          <w:kern w:val="0"/>
        </w:rPr>
        <w:t>）《湘西自治州人民政府关于实施“三线一单”生态环境分区管控的意见》州政发〔2020〕23号。</w:t>
      </w:r>
    </w:p>
    <w:p>
      <w:pPr>
        <w:pStyle w:val="6"/>
        <w:bidi w:val="0"/>
        <w:rPr>
          <w:rFonts w:hint="eastAsia"/>
        </w:rPr>
      </w:pPr>
      <w:r>
        <w:rPr>
          <w:rFonts w:hint="eastAsia"/>
        </w:rPr>
        <w:t>1.1.4技术导则与相关规范</w:t>
      </w:r>
      <w:bookmarkEnd w:id="33"/>
      <w:bookmarkEnd w:id="34"/>
      <w:bookmarkEnd w:id="35"/>
      <w:bookmarkEnd w:id="36"/>
    </w:p>
    <w:p>
      <w:pPr>
        <w:tabs>
          <w:tab w:val="left" w:pos="3138"/>
        </w:tabs>
        <w:ind w:firstLine="480"/>
        <w:rPr>
          <w:color w:val="auto"/>
          <w:kern w:val="0"/>
          <w:u w:val="none"/>
        </w:rPr>
      </w:pPr>
      <w:r>
        <w:rPr>
          <w:color w:val="auto"/>
          <w:kern w:val="0"/>
          <w:u w:val="none"/>
        </w:rPr>
        <w:t>（1）《</w:t>
      </w:r>
      <w:r>
        <w:rPr>
          <w:rFonts w:hint="eastAsia"/>
          <w:color w:val="auto"/>
          <w:kern w:val="0"/>
          <w:u w:val="none"/>
        </w:rPr>
        <w:t>建设项目</w:t>
      </w:r>
      <w:r>
        <w:rPr>
          <w:color w:val="auto"/>
          <w:kern w:val="0"/>
          <w:u w:val="none"/>
        </w:rPr>
        <w:t>环境影响评价技术导则-总纲》</w:t>
      </w:r>
      <w:r>
        <w:rPr>
          <w:rFonts w:hint="eastAsia"/>
          <w:color w:val="auto"/>
          <w:kern w:val="0"/>
          <w:u w:val="none"/>
        </w:rPr>
        <w:t>（</w:t>
      </w:r>
      <w:r>
        <w:rPr>
          <w:color w:val="auto"/>
          <w:kern w:val="0"/>
          <w:u w:val="none"/>
        </w:rPr>
        <w:t xml:space="preserve">HJ </w:t>
      </w:r>
      <w:r>
        <w:rPr>
          <w:rFonts w:hint="eastAsia"/>
          <w:color w:val="auto"/>
          <w:kern w:val="0"/>
          <w:u w:val="none"/>
        </w:rPr>
        <w:t>2.1</w:t>
      </w:r>
      <w:r>
        <w:rPr>
          <w:color w:val="auto"/>
          <w:kern w:val="0"/>
          <w:u w:val="none"/>
        </w:rPr>
        <w:t>-2016</w:t>
      </w:r>
      <w:r>
        <w:rPr>
          <w:rFonts w:hint="eastAsia"/>
          <w:color w:val="auto"/>
          <w:kern w:val="0"/>
          <w:u w:val="none"/>
        </w:rPr>
        <w:t>）</w:t>
      </w:r>
      <w:r>
        <w:rPr>
          <w:color w:val="auto"/>
          <w:kern w:val="0"/>
          <w:u w:val="none"/>
        </w:rPr>
        <w:t>；</w:t>
      </w:r>
    </w:p>
    <w:p>
      <w:pPr>
        <w:tabs>
          <w:tab w:val="left" w:pos="3138"/>
        </w:tabs>
        <w:ind w:firstLine="480"/>
        <w:rPr>
          <w:color w:val="auto"/>
          <w:kern w:val="0"/>
          <w:u w:val="none"/>
        </w:rPr>
      </w:pPr>
      <w:r>
        <w:rPr>
          <w:color w:val="auto"/>
          <w:kern w:val="0"/>
          <w:u w:val="none"/>
        </w:rPr>
        <w:t>（2）《环境影响评价技术导则-地</w:t>
      </w:r>
      <w:r>
        <w:rPr>
          <w:rFonts w:hint="eastAsia"/>
          <w:color w:val="auto"/>
          <w:kern w:val="0"/>
          <w:u w:val="none"/>
        </w:rPr>
        <w:t>表</w:t>
      </w:r>
      <w:r>
        <w:rPr>
          <w:color w:val="auto"/>
          <w:kern w:val="0"/>
          <w:u w:val="none"/>
        </w:rPr>
        <w:t>水环境》</w:t>
      </w:r>
      <w:r>
        <w:rPr>
          <w:rFonts w:hint="eastAsia"/>
          <w:color w:val="auto"/>
          <w:kern w:val="0"/>
          <w:u w:val="none"/>
        </w:rPr>
        <w:t>（</w:t>
      </w:r>
      <w:r>
        <w:rPr>
          <w:color w:val="auto"/>
          <w:kern w:val="0"/>
          <w:u w:val="none"/>
        </w:rPr>
        <w:t>HJ 2.3-2018</w:t>
      </w:r>
      <w:r>
        <w:rPr>
          <w:rFonts w:hint="eastAsia"/>
          <w:color w:val="auto"/>
          <w:kern w:val="0"/>
          <w:u w:val="none"/>
        </w:rPr>
        <w:t>）</w:t>
      </w:r>
      <w:r>
        <w:rPr>
          <w:color w:val="auto"/>
          <w:kern w:val="0"/>
          <w:u w:val="none"/>
        </w:rPr>
        <w:t>；</w:t>
      </w:r>
    </w:p>
    <w:p>
      <w:pPr>
        <w:tabs>
          <w:tab w:val="left" w:pos="3138"/>
        </w:tabs>
        <w:ind w:firstLine="480"/>
        <w:rPr>
          <w:color w:val="auto"/>
          <w:kern w:val="0"/>
          <w:u w:val="none"/>
        </w:rPr>
      </w:pPr>
      <w:r>
        <w:rPr>
          <w:color w:val="auto"/>
          <w:kern w:val="0"/>
          <w:u w:val="none"/>
        </w:rPr>
        <w:t>（3）《环境影响评价技术导则-大气环境》</w:t>
      </w:r>
      <w:r>
        <w:rPr>
          <w:rFonts w:hint="eastAsia"/>
          <w:color w:val="auto"/>
          <w:kern w:val="0"/>
          <w:u w:val="none"/>
        </w:rPr>
        <w:t>（</w:t>
      </w:r>
      <w:r>
        <w:rPr>
          <w:color w:val="auto"/>
          <w:kern w:val="0"/>
          <w:u w:val="none"/>
        </w:rPr>
        <w:t>HJ 2.2-2018</w:t>
      </w:r>
      <w:r>
        <w:rPr>
          <w:rFonts w:hint="eastAsia"/>
          <w:color w:val="auto"/>
          <w:kern w:val="0"/>
          <w:u w:val="none"/>
        </w:rPr>
        <w:t>）</w:t>
      </w:r>
      <w:r>
        <w:rPr>
          <w:color w:val="auto"/>
          <w:kern w:val="0"/>
          <w:u w:val="none"/>
        </w:rPr>
        <w:t>；</w:t>
      </w:r>
    </w:p>
    <w:p>
      <w:pPr>
        <w:tabs>
          <w:tab w:val="left" w:pos="3138"/>
        </w:tabs>
        <w:ind w:firstLine="480"/>
        <w:rPr>
          <w:color w:val="auto"/>
          <w:kern w:val="0"/>
          <w:u w:val="single"/>
        </w:rPr>
      </w:pPr>
      <w:r>
        <w:rPr>
          <w:color w:val="auto"/>
          <w:kern w:val="0"/>
          <w:u w:val="single"/>
        </w:rPr>
        <w:t>（4）《环境影响评价技术导则-声环境》</w:t>
      </w:r>
      <w:r>
        <w:rPr>
          <w:rFonts w:hint="eastAsia"/>
          <w:color w:val="auto"/>
          <w:kern w:val="0"/>
          <w:u w:val="single"/>
        </w:rPr>
        <w:t>（</w:t>
      </w:r>
      <w:r>
        <w:rPr>
          <w:color w:val="auto"/>
          <w:kern w:val="0"/>
          <w:u w:val="single"/>
        </w:rPr>
        <w:t>HJ 2.4-</w:t>
      </w:r>
      <w:r>
        <w:rPr>
          <w:rFonts w:hint="eastAsia"/>
          <w:color w:val="auto"/>
          <w:kern w:val="0"/>
          <w:u w:val="single"/>
          <w:lang w:val="en-US" w:eastAsia="zh-CN"/>
        </w:rPr>
        <w:t>2021</w:t>
      </w:r>
      <w:r>
        <w:rPr>
          <w:rFonts w:hint="eastAsia"/>
          <w:color w:val="auto"/>
          <w:kern w:val="0"/>
          <w:u w:val="single"/>
        </w:rPr>
        <w:t>）</w:t>
      </w:r>
      <w:r>
        <w:rPr>
          <w:color w:val="auto"/>
          <w:kern w:val="0"/>
          <w:u w:val="single"/>
        </w:rPr>
        <w:t>；</w:t>
      </w:r>
    </w:p>
    <w:p>
      <w:pPr>
        <w:tabs>
          <w:tab w:val="left" w:pos="3138"/>
        </w:tabs>
        <w:ind w:firstLine="480"/>
        <w:rPr>
          <w:color w:val="auto"/>
          <w:kern w:val="0"/>
          <w:u w:val="single"/>
        </w:rPr>
      </w:pPr>
      <w:r>
        <w:rPr>
          <w:color w:val="auto"/>
          <w:kern w:val="0"/>
          <w:u w:val="single"/>
        </w:rPr>
        <w:t>（5）《环境影响评价技术导则-生态影响》</w:t>
      </w:r>
      <w:r>
        <w:rPr>
          <w:rFonts w:hint="eastAsia"/>
          <w:color w:val="auto"/>
          <w:kern w:val="0"/>
          <w:u w:val="single"/>
        </w:rPr>
        <w:t>（</w:t>
      </w:r>
      <w:r>
        <w:rPr>
          <w:color w:val="auto"/>
          <w:kern w:val="0"/>
          <w:u w:val="single"/>
        </w:rPr>
        <w:t>HJ 19-</w:t>
      </w:r>
      <w:r>
        <w:rPr>
          <w:rFonts w:hint="eastAsia"/>
          <w:color w:val="auto"/>
          <w:kern w:val="0"/>
          <w:u w:val="single"/>
          <w:lang w:val="en-US" w:eastAsia="zh-CN"/>
        </w:rPr>
        <w:t>2022</w:t>
      </w:r>
      <w:r>
        <w:rPr>
          <w:rFonts w:hint="eastAsia"/>
          <w:color w:val="auto"/>
          <w:kern w:val="0"/>
          <w:u w:val="single"/>
        </w:rPr>
        <w:t>）</w:t>
      </w:r>
      <w:r>
        <w:rPr>
          <w:color w:val="auto"/>
          <w:kern w:val="0"/>
          <w:u w:val="single"/>
        </w:rPr>
        <w:t>；</w:t>
      </w:r>
    </w:p>
    <w:p>
      <w:pPr>
        <w:tabs>
          <w:tab w:val="left" w:pos="3138"/>
        </w:tabs>
        <w:ind w:firstLine="480"/>
        <w:rPr>
          <w:color w:val="auto"/>
          <w:kern w:val="0"/>
          <w:u w:val="none"/>
        </w:rPr>
      </w:pPr>
      <w:r>
        <w:rPr>
          <w:color w:val="auto"/>
          <w:kern w:val="0"/>
          <w:u w:val="none"/>
        </w:rPr>
        <w:t>（6）《环境影响评价技术导则-地下水环境》</w:t>
      </w:r>
      <w:r>
        <w:rPr>
          <w:rFonts w:hint="eastAsia"/>
          <w:color w:val="auto"/>
          <w:kern w:val="0"/>
          <w:u w:val="none"/>
        </w:rPr>
        <w:t>（</w:t>
      </w:r>
      <w:r>
        <w:rPr>
          <w:color w:val="auto"/>
          <w:kern w:val="0"/>
          <w:u w:val="none"/>
        </w:rPr>
        <w:t>HJ 610-2016</w:t>
      </w:r>
      <w:r>
        <w:rPr>
          <w:rFonts w:hint="eastAsia"/>
          <w:color w:val="auto"/>
          <w:kern w:val="0"/>
          <w:u w:val="none"/>
        </w:rPr>
        <w:t>）</w:t>
      </w:r>
      <w:r>
        <w:rPr>
          <w:color w:val="auto"/>
          <w:kern w:val="0"/>
          <w:u w:val="none"/>
        </w:rPr>
        <w:t>；</w:t>
      </w:r>
    </w:p>
    <w:p>
      <w:pPr>
        <w:tabs>
          <w:tab w:val="left" w:pos="3138"/>
        </w:tabs>
        <w:ind w:firstLine="480"/>
        <w:rPr>
          <w:color w:val="auto"/>
          <w:kern w:val="0"/>
          <w:u w:val="none"/>
        </w:rPr>
      </w:pPr>
      <w:r>
        <w:rPr>
          <w:color w:val="auto"/>
          <w:kern w:val="0"/>
          <w:u w:val="none"/>
        </w:rPr>
        <w:t>（7）《建设项目环境风险评价技术导则》（HJ 169-2018）；</w:t>
      </w:r>
    </w:p>
    <w:p>
      <w:pPr>
        <w:tabs>
          <w:tab w:val="left" w:pos="3138"/>
        </w:tabs>
        <w:ind w:firstLine="480"/>
        <w:rPr>
          <w:color w:val="auto"/>
          <w:kern w:val="0"/>
          <w:u w:val="none"/>
        </w:rPr>
      </w:pPr>
      <w:r>
        <w:rPr>
          <w:color w:val="auto"/>
          <w:kern w:val="0"/>
          <w:u w:val="none"/>
        </w:rPr>
        <w:t>（8）《城市排水工程规划规范》（GB50318-2</w:t>
      </w:r>
      <w:r>
        <w:rPr>
          <w:rFonts w:hint="eastAsia"/>
          <w:color w:val="auto"/>
          <w:kern w:val="0"/>
          <w:u w:val="none"/>
        </w:rPr>
        <w:t>017）</w:t>
      </w:r>
      <w:r>
        <w:rPr>
          <w:color w:val="auto"/>
          <w:kern w:val="0"/>
          <w:u w:val="none"/>
        </w:rPr>
        <w:t>；</w:t>
      </w:r>
    </w:p>
    <w:p>
      <w:pPr>
        <w:tabs>
          <w:tab w:val="left" w:pos="3138"/>
        </w:tabs>
        <w:ind w:firstLine="480"/>
        <w:rPr>
          <w:color w:val="auto"/>
          <w:kern w:val="0"/>
          <w:u w:val="none"/>
        </w:rPr>
      </w:pPr>
      <w:r>
        <w:rPr>
          <w:color w:val="auto"/>
          <w:kern w:val="0"/>
          <w:u w:val="none"/>
        </w:rPr>
        <w:t>（9）《城市污水处理工程项目建设标准》（建标[2001]77号）；</w:t>
      </w:r>
    </w:p>
    <w:p>
      <w:pPr>
        <w:tabs>
          <w:tab w:val="left" w:pos="3138"/>
        </w:tabs>
        <w:ind w:firstLine="480"/>
        <w:rPr>
          <w:color w:val="auto"/>
          <w:kern w:val="0"/>
          <w:u w:val="none"/>
        </w:rPr>
      </w:pPr>
      <w:r>
        <w:rPr>
          <w:color w:val="auto"/>
          <w:kern w:val="0"/>
          <w:u w:val="none"/>
        </w:rPr>
        <w:t>（10）《环境影响评价技术导则-</w:t>
      </w:r>
      <w:r>
        <w:rPr>
          <w:rFonts w:hint="eastAsia"/>
          <w:color w:val="auto"/>
          <w:kern w:val="0"/>
          <w:u w:val="none"/>
        </w:rPr>
        <w:t>土壤</w:t>
      </w:r>
      <w:r>
        <w:rPr>
          <w:color w:val="auto"/>
          <w:kern w:val="0"/>
          <w:u w:val="none"/>
        </w:rPr>
        <w:t>环境</w:t>
      </w:r>
      <w:r>
        <w:rPr>
          <w:rFonts w:hint="eastAsia"/>
          <w:color w:val="auto"/>
          <w:kern w:val="0"/>
          <w:u w:val="none"/>
        </w:rPr>
        <w:t>（试行）</w:t>
      </w:r>
      <w:r>
        <w:rPr>
          <w:color w:val="auto"/>
          <w:kern w:val="0"/>
          <w:u w:val="none"/>
        </w:rPr>
        <w:t>》</w:t>
      </w:r>
      <w:r>
        <w:rPr>
          <w:rFonts w:hint="eastAsia"/>
          <w:color w:val="auto"/>
          <w:kern w:val="0"/>
          <w:u w:val="none"/>
        </w:rPr>
        <w:t>（</w:t>
      </w:r>
      <w:r>
        <w:rPr>
          <w:color w:val="auto"/>
          <w:kern w:val="0"/>
          <w:u w:val="none"/>
        </w:rPr>
        <w:t>HJ 964-2018</w:t>
      </w:r>
      <w:r>
        <w:rPr>
          <w:rFonts w:hint="eastAsia"/>
          <w:color w:val="auto"/>
          <w:kern w:val="0"/>
          <w:u w:val="none"/>
        </w:rPr>
        <w:t>）；</w:t>
      </w:r>
    </w:p>
    <w:p>
      <w:pPr>
        <w:tabs>
          <w:tab w:val="left" w:pos="3138"/>
        </w:tabs>
        <w:ind w:firstLine="480"/>
        <w:rPr>
          <w:rFonts w:hint="eastAsia"/>
          <w:color w:val="auto"/>
          <w:kern w:val="0"/>
          <w:u w:val="none"/>
        </w:rPr>
      </w:pPr>
      <w:r>
        <w:rPr>
          <w:rFonts w:hint="eastAsia"/>
          <w:color w:val="auto"/>
          <w:kern w:val="0"/>
          <w:u w:val="none"/>
        </w:rPr>
        <w:t>（1</w:t>
      </w:r>
      <w:r>
        <w:rPr>
          <w:color w:val="auto"/>
          <w:kern w:val="0"/>
          <w:u w:val="none"/>
        </w:rPr>
        <w:t>1</w:t>
      </w:r>
      <w:r>
        <w:rPr>
          <w:rFonts w:hint="eastAsia"/>
          <w:color w:val="auto"/>
          <w:kern w:val="0"/>
          <w:u w:val="none"/>
        </w:rPr>
        <w:t>）《水污染治理工程技术导则》(HJ2015-2012)；</w:t>
      </w:r>
    </w:p>
    <w:p>
      <w:pPr>
        <w:tabs>
          <w:tab w:val="left" w:pos="3138"/>
        </w:tabs>
        <w:ind w:firstLine="480"/>
        <w:rPr>
          <w:rFonts w:hint="eastAsia"/>
          <w:color w:val="auto"/>
          <w:kern w:val="0"/>
          <w:u w:val="none"/>
        </w:rPr>
      </w:pPr>
      <w:r>
        <w:rPr>
          <w:rFonts w:hint="eastAsia"/>
          <w:color w:val="auto"/>
          <w:kern w:val="0"/>
          <w:u w:val="none"/>
        </w:rPr>
        <w:t>（1</w:t>
      </w:r>
      <w:r>
        <w:rPr>
          <w:color w:val="auto"/>
          <w:kern w:val="0"/>
          <w:u w:val="none"/>
        </w:rPr>
        <w:t>2</w:t>
      </w:r>
      <w:r>
        <w:rPr>
          <w:rFonts w:hint="eastAsia"/>
          <w:color w:val="auto"/>
          <w:kern w:val="0"/>
          <w:u w:val="none"/>
        </w:rPr>
        <w:t>）《大气污染治理工程技术导则》（HJ2000-2010）；</w:t>
      </w:r>
    </w:p>
    <w:p>
      <w:pPr>
        <w:tabs>
          <w:tab w:val="left" w:pos="3138"/>
        </w:tabs>
        <w:ind w:firstLine="480"/>
        <w:rPr>
          <w:rFonts w:hint="eastAsia"/>
          <w:color w:val="auto"/>
          <w:kern w:val="0"/>
          <w:u w:val="none"/>
        </w:rPr>
      </w:pPr>
      <w:r>
        <w:rPr>
          <w:rFonts w:hint="eastAsia"/>
          <w:color w:val="auto"/>
          <w:kern w:val="0"/>
          <w:u w:val="none"/>
        </w:rPr>
        <w:t>（1</w:t>
      </w:r>
      <w:r>
        <w:rPr>
          <w:color w:val="auto"/>
          <w:kern w:val="0"/>
          <w:u w:val="none"/>
        </w:rPr>
        <w:t>3</w:t>
      </w:r>
      <w:r>
        <w:rPr>
          <w:rFonts w:hint="eastAsia"/>
          <w:color w:val="auto"/>
          <w:kern w:val="0"/>
          <w:u w:val="none"/>
        </w:rPr>
        <w:t>）《环境噪声与振动控制工程技术导则》（HJ2024-2013）；</w:t>
      </w:r>
    </w:p>
    <w:p>
      <w:pPr>
        <w:tabs>
          <w:tab w:val="left" w:pos="3138"/>
        </w:tabs>
        <w:ind w:firstLine="480"/>
        <w:rPr>
          <w:rFonts w:hint="eastAsia"/>
          <w:color w:val="auto"/>
          <w:kern w:val="0"/>
          <w:u w:val="none"/>
        </w:rPr>
      </w:pPr>
      <w:r>
        <w:rPr>
          <w:rFonts w:hint="eastAsia"/>
          <w:color w:val="auto"/>
          <w:kern w:val="0"/>
          <w:u w:val="none"/>
        </w:rPr>
        <w:t>（1</w:t>
      </w:r>
      <w:r>
        <w:rPr>
          <w:color w:val="auto"/>
          <w:kern w:val="0"/>
          <w:u w:val="none"/>
        </w:rPr>
        <w:t>4</w:t>
      </w:r>
      <w:r>
        <w:rPr>
          <w:rFonts w:hint="eastAsia"/>
          <w:color w:val="auto"/>
          <w:kern w:val="0"/>
          <w:u w:val="none"/>
        </w:rPr>
        <w:t>）《声环境功能区划分技术规范》（GB/T15190-2014）；</w:t>
      </w:r>
    </w:p>
    <w:p>
      <w:pPr>
        <w:tabs>
          <w:tab w:val="left" w:pos="3138"/>
        </w:tabs>
        <w:ind w:firstLine="480"/>
        <w:rPr>
          <w:color w:val="auto"/>
          <w:kern w:val="0"/>
          <w:u w:val="none"/>
        </w:rPr>
      </w:pPr>
      <w:r>
        <w:rPr>
          <w:rFonts w:hint="eastAsia"/>
          <w:color w:val="auto"/>
          <w:kern w:val="0"/>
          <w:u w:val="none"/>
        </w:rPr>
        <w:t>（1</w:t>
      </w:r>
      <w:r>
        <w:rPr>
          <w:color w:val="auto"/>
          <w:kern w:val="0"/>
          <w:u w:val="none"/>
        </w:rPr>
        <w:t>5</w:t>
      </w:r>
      <w:r>
        <w:rPr>
          <w:rFonts w:hint="eastAsia"/>
          <w:color w:val="auto"/>
          <w:kern w:val="0"/>
          <w:u w:val="none"/>
        </w:rPr>
        <w:t>）《排污单位自行监测技术指南 总则》(HJ819-2017)，2017 年 6 月 1 日实施；</w:t>
      </w:r>
    </w:p>
    <w:p>
      <w:pPr>
        <w:tabs>
          <w:tab w:val="left" w:pos="3138"/>
        </w:tabs>
        <w:ind w:firstLine="480"/>
        <w:rPr>
          <w:rFonts w:hint="eastAsia"/>
          <w:color w:val="auto"/>
          <w:kern w:val="0"/>
          <w:u w:val="none"/>
        </w:rPr>
      </w:pPr>
      <w:r>
        <w:rPr>
          <w:rFonts w:hint="eastAsia"/>
          <w:color w:val="auto"/>
          <w:kern w:val="0"/>
          <w:u w:val="none"/>
        </w:rPr>
        <w:t>（1</w:t>
      </w:r>
      <w:r>
        <w:rPr>
          <w:color w:val="auto"/>
          <w:kern w:val="0"/>
          <w:u w:val="none"/>
        </w:rPr>
        <w:t>6</w:t>
      </w:r>
      <w:r>
        <w:rPr>
          <w:rFonts w:hint="eastAsia"/>
          <w:color w:val="auto"/>
          <w:kern w:val="0"/>
          <w:u w:val="none"/>
        </w:rPr>
        <w:t>）《城镇污水处理厂运行监督管理技术规范》（HJ2038-2014）；</w:t>
      </w:r>
    </w:p>
    <w:p>
      <w:pPr>
        <w:tabs>
          <w:tab w:val="left" w:pos="3138"/>
        </w:tabs>
        <w:ind w:firstLine="480"/>
        <w:rPr>
          <w:rFonts w:hint="eastAsia"/>
          <w:color w:val="auto"/>
          <w:kern w:val="0"/>
          <w:u w:val="none"/>
        </w:rPr>
      </w:pPr>
      <w:r>
        <w:rPr>
          <w:rFonts w:hint="eastAsia"/>
          <w:color w:val="auto"/>
          <w:kern w:val="0"/>
          <w:u w:val="none"/>
        </w:rPr>
        <w:t>（1</w:t>
      </w:r>
      <w:r>
        <w:rPr>
          <w:color w:val="auto"/>
          <w:kern w:val="0"/>
          <w:u w:val="none"/>
        </w:rPr>
        <w:t>7</w:t>
      </w:r>
      <w:r>
        <w:rPr>
          <w:rFonts w:hint="eastAsia"/>
          <w:color w:val="auto"/>
          <w:kern w:val="0"/>
          <w:u w:val="none"/>
        </w:rPr>
        <w:t>）《污染源源强核算技术指南 准则》（HJ884-2018）；</w:t>
      </w:r>
    </w:p>
    <w:p>
      <w:pPr>
        <w:tabs>
          <w:tab w:val="left" w:pos="3138"/>
        </w:tabs>
        <w:ind w:firstLine="480"/>
        <w:rPr>
          <w:rFonts w:hint="eastAsia"/>
          <w:color w:val="auto"/>
          <w:kern w:val="0"/>
          <w:u w:val="none"/>
        </w:rPr>
      </w:pPr>
      <w:r>
        <w:rPr>
          <w:rFonts w:hint="eastAsia"/>
          <w:color w:val="auto"/>
          <w:kern w:val="0"/>
          <w:u w:val="none"/>
        </w:rPr>
        <w:t>（1</w:t>
      </w:r>
      <w:r>
        <w:rPr>
          <w:color w:val="auto"/>
          <w:kern w:val="0"/>
          <w:u w:val="none"/>
        </w:rPr>
        <w:t>8</w:t>
      </w:r>
      <w:r>
        <w:rPr>
          <w:rFonts w:hint="eastAsia"/>
          <w:color w:val="auto"/>
          <w:kern w:val="0"/>
          <w:u w:val="none"/>
        </w:rPr>
        <w:t>）《城镇污水处理厂污泥处理处置污染防治最佳可行技术指南(试行)》（HJ-BAT-002）；</w:t>
      </w:r>
    </w:p>
    <w:p>
      <w:pPr>
        <w:tabs>
          <w:tab w:val="left" w:pos="3138"/>
        </w:tabs>
        <w:ind w:firstLine="480"/>
        <w:rPr>
          <w:rFonts w:hint="eastAsia" w:eastAsia="宋体"/>
          <w:szCs w:val="28"/>
          <w:u w:val="none"/>
          <w:lang w:eastAsia="zh-CN"/>
        </w:rPr>
      </w:pPr>
      <w:r>
        <w:rPr>
          <w:rFonts w:hint="eastAsia"/>
          <w:color w:val="auto"/>
          <w:kern w:val="0"/>
          <w:u w:val="none"/>
        </w:rPr>
        <w:t>（1</w:t>
      </w:r>
      <w:r>
        <w:rPr>
          <w:color w:val="auto"/>
          <w:kern w:val="0"/>
          <w:u w:val="none"/>
        </w:rPr>
        <w:t>9</w:t>
      </w:r>
      <w:r>
        <w:rPr>
          <w:rFonts w:hint="eastAsia"/>
          <w:color w:val="auto"/>
          <w:kern w:val="0"/>
          <w:u w:val="none"/>
        </w:rPr>
        <w:t>）《排污许可证申请与核发技术规范 水处理（试行）》(HJ978-2018)</w:t>
      </w:r>
      <w:bookmarkStart w:id="37" w:name="_Toc489350205"/>
      <w:bookmarkStart w:id="38" w:name="_Toc489349952"/>
      <w:bookmarkStart w:id="39" w:name="_Toc489350104"/>
      <w:bookmarkStart w:id="40" w:name="_Toc489349336"/>
      <w:r>
        <w:rPr>
          <w:rFonts w:hint="eastAsia"/>
          <w:szCs w:val="28"/>
          <w:u w:val="none"/>
          <w:lang w:eastAsia="zh-CN"/>
        </w:rPr>
        <w:t>。</w:t>
      </w:r>
    </w:p>
    <w:p>
      <w:pPr>
        <w:pStyle w:val="6"/>
        <w:bidi w:val="0"/>
      </w:pPr>
      <w:r>
        <w:t>1.1.</w:t>
      </w:r>
      <w:r>
        <w:rPr>
          <w:rFonts w:hint="eastAsia"/>
        </w:rPr>
        <w:t>5</w:t>
      </w:r>
      <w:r>
        <w:t>建设项目相关资料</w:t>
      </w:r>
      <w:bookmarkEnd w:id="37"/>
      <w:bookmarkEnd w:id="38"/>
      <w:bookmarkEnd w:id="39"/>
      <w:bookmarkEnd w:id="40"/>
    </w:p>
    <w:p>
      <w:pPr>
        <w:ind w:firstLine="480"/>
        <w:jc w:val="both"/>
        <w:rPr>
          <w:rFonts w:hint="default" w:eastAsia="宋体"/>
          <w:color w:val="auto"/>
          <w:kern w:val="0"/>
          <w:u w:val="none"/>
          <w:lang w:val="en-US" w:eastAsia="zh-CN"/>
        </w:rPr>
      </w:pPr>
      <w:r>
        <w:rPr>
          <w:rFonts w:hint="eastAsia"/>
          <w:color w:val="auto"/>
          <w:kern w:val="0"/>
          <w:u w:val="none"/>
        </w:rPr>
        <w:t>（1）</w:t>
      </w:r>
      <w:r>
        <w:rPr>
          <w:rFonts w:hint="eastAsia"/>
          <w:color w:val="auto"/>
          <w:kern w:val="0"/>
          <w:u w:val="none"/>
          <w:lang w:eastAsia="zh-CN"/>
        </w:rPr>
        <w:t>《永顺县发展和改革局关于湘西州永顺经济开发区猛洞河产业园基础设施建设项目可行性研究报告的批复》（永发改【</w:t>
      </w:r>
      <w:r>
        <w:rPr>
          <w:rFonts w:hint="eastAsia"/>
          <w:color w:val="auto"/>
          <w:kern w:val="0"/>
          <w:u w:val="none"/>
          <w:lang w:val="en-US" w:eastAsia="zh-CN"/>
        </w:rPr>
        <w:t>2020</w:t>
      </w:r>
      <w:r>
        <w:rPr>
          <w:rFonts w:hint="eastAsia"/>
          <w:color w:val="auto"/>
          <w:kern w:val="0"/>
          <w:u w:val="none"/>
          <w:lang w:eastAsia="zh-CN"/>
        </w:rPr>
        <w:t>】</w:t>
      </w:r>
      <w:r>
        <w:rPr>
          <w:rFonts w:hint="eastAsia"/>
          <w:color w:val="auto"/>
          <w:kern w:val="0"/>
          <w:u w:val="none"/>
          <w:lang w:val="en-US" w:eastAsia="zh-CN"/>
        </w:rPr>
        <w:t>29号</w:t>
      </w:r>
      <w:r>
        <w:rPr>
          <w:rFonts w:hint="eastAsia"/>
          <w:color w:val="auto"/>
          <w:kern w:val="0"/>
          <w:u w:val="none"/>
          <w:lang w:eastAsia="zh-CN"/>
        </w:rPr>
        <w:t>）；</w:t>
      </w:r>
    </w:p>
    <w:p>
      <w:pPr>
        <w:ind w:firstLine="480"/>
        <w:jc w:val="both"/>
        <w:rPr>
          <w:rFonts w:hint="eastAsia"/>
          <w:color w:val="auto"/>
          <w:kern w:val="0"/>
          <w:u w:val="none"/>
        </w:rPr>
      </w:pPr>
      <w:r>
        <w:rPr>
          <w:rFonts w:hint="eastAsia"/>
          <w:color w:val="auto"/>
          <w:kern w:val="0"/>
          <w:u w:val="none"/>
          <w:lang w:eastAsia="zh-CN"/>
        </w:rPr>
        <w:t>（</w:t>
      </w:r>
      <w:r>
        <w:rPr>
          <w:rFonts w:hint="eastAsia"/>
          <w:color w:val="auto"/>
          <w:kern w:val="0"/>
          <w:u w:val="none"/>
          <w:lang w:val="en-US" w:eastAsia="zh-CN"/>
        </w:rPr>
        <w:t>2</w:t>
      </w:r>
      <w:r>
        <w:rPr>
          <w:rFonts w:hint="eastAsia"/>
          <w:color w:val="auto"/>
          <w:kern w:val="0"/>
          <w:u w:val="none"/>
          <w:lang w:eastAsia="zh-CN"/>
        </w:rPr>
        <w:t>）</w:t>
      </w:r>
      <w:r>
        <w:rPr>
          <w:rFonts w:hint="eastAsia"/>
          <w:color w:val="auto"/>
          <w:kern w:val="0"/>
          <w:u w:val="none"/>
        </w:rPr>
        <w:t>《</w:t>
      </w:r>
      <w:r>
        <w:rPr>
          <w:rFonts w:hint="eastAsia"/>
          <w:color w:val="auto"/>
          <w:kern w:val="0"/>
          <w:u w:val="none"/>
          <w:lang w:eastAsia="zh-CN"/>
        </w:rPr>
        <w:t>湖南永顺经济开发区调扩区环境影响报告书</w:t>
      </w:r>
      <w:r>
        <w:rPr>
          <w:rFonts w:hint="eastAsia"/>
          <w:color w:val="auto"/>
          <w:kern w:val="0"/>
          <w:u w:val="none"/>
        </w:rPr>
        <w:t>》</w:t>
      </w:r>
      <w:r>
        <w:rPr>
          <w:rFonts w:hint="eastAsia"/>
          <w:color w:val="auto"/>
          <w:kern w:val="0"/>
          <w:u w:val="none"/>
          <w:lang w:eastAsia="zh-CN"/>
        </w:rPr>
        <w:t>（</w:t>
      </w:r>
      <w:r>
        <w:rPr>
          <w:rFonts w:hint="eastAsia"/>
          <w:color w:val="auto"/>
          <w:kern w:val="0"/>
          <w:u w:val="none"/>
        </w:rPr>
        <w:t>20</w:t>
      </w:r>
      <w:r>
        <w:rPr>
          <w:rFonts w:hint="eastAsia"/>
          <w:color w:val="auto"/>
          <w:kern w:val="0"/>
          <w:u w:val="none"/>
          <w:lang w:val="en-US" w:eastAsia="zh-CN"/>
        </w:rPr>
        <w:t>21</w:t>
      </w:r>
      <w:r>
        <w:rPr>
          <w:rFonts w:hint="eastAsia"/>
          <w:color w:val="auto"/>
          <w:kern w:val="0"/>
          <w:u w:val="none"/>
        </w:rPr>
        <w:t>年</w:t>
      </w:r>
      <w:r>
        <w:rPr>
          <w:rFonts w:hint="eastAsia"/>
          <w:color w:val="auto"/>
          <w:kern w:val="0"/>
          <w:u w:val="none"/>
          <w:lang w:val="en-US" w:eastAsia="zh-CN"/>
        </w:rPr>
        <w:t>1</w:t>
      </w:r>
      <w:r>
        <w:rPr>
          <w:rFonts w:hint="eastAsia"/>
          <w:color w:val="auto"/>
          <w:kern w:val="0"/>
          <w:u w:val="none"/>
        </w:rPr>
        <w:t>月</w:t>
      </w:r>
      <w:r>
        <w:rPr>
          <w:rFonts w:hint="eastAsia"/>
          <w:color w:val="auto"/>
          <w:kern w:val="0"/>
          <w:u w:val="none"/>
          <w:lang w:eastAsia="zh-CN"/>
        </w:rPr>
        <w:t>）</w:t>
      </w:r>
      <w:r>
        <w:rPr>
          <w:rFonts w:hint="eastAsia"/>
          <w:color w:val="auto"/>
          <w:kern w:val="0"/>
          <w:u w:val="none"/>
        </w:rPr>
        <w:t>；</w:t>
      </w:r>
    </w:p>
    <w:p>
      <w:pPr>
        <w:ind w:firstLine="480"/>
        <w:jc w:val="both"/>
        <w:rPr>
          <w:rFonts w:hint="eastAsia" w:ascii="Times New Roman" w:hAnsi="Times New Roman" w:eastAsia="宋体" w:cs="Times New Roman"/>
          <w:color w:val="auto"/>
          <w:kern w:val="0"/>
          <w:u w:val="none"/>
        </w:rPr>
      </w:pPr>
      <w:r>
        <w:rPr>
          <w:rFonts w:hint="default" w:ascii="Times New Roman" w:hAnsi="Times New Roman" w:eastAsia="宋体" w:cs="Times New Roman"/>
          <w:color w:val="auto"/>
          <w:kern w:val="0"/>
          <w:u w:val="none"/>
          <w:lang w:eastAsia="zh-CN"/>
        </w:rPr>
        <w:t>（</w:t>
      </w:r>
      <w:r>
        <w:rPr>
          <w:rFonts w:hint="default" w:ascii="Times New Roman" w:hAnsi="Times New Roman" w:eastAsia="宋体" w:cs="Times New Roman"/>
          <w:color w:val="auto"/>
          <w:kern w:val="0"/>
          <w:u w:val="none"/>
          <w:lang w:val="en-US" w:eastAsia="zh-CN"/>
        </w:rPr>
        <w:t>3</w:t>
      </w:r>
      <w:r>
        <w:rPr>
          <w:rFonts w:hint="default" w:ascii="Times New Roman" w:hAnsi="Times New Roman" w:eastAsia="宋体" w:cs="Times New Roman"/>
          <w:color w:val="auto"/>
          <w:kern w:val="0"/>
          <w:u w:val="none"/>
          <w:lang w:eastAsia="zh-CN"/>
        </w:rPr>
        <w:t>）</w:t>
      </w:r>
      <w:r>
        <w:rPr>
          <w:rFonts w:hint="eastAsia" w:ascii="Times New Roman" w:hAnsi="Times New Roman" w:eastAsia="宋体" w:cs="Times New Roman"/>
          <w:color w:val="auto"/>
          <w:kern w:val="0"/>
          <w:u w:val="none"/>
        </w:rPr>
        <w:t>《</w:t>
      </w:r>
      <w:r>
        <w:rPr>
          <w:rFonts w:hint="eastAsia" w:ascii="Times New Roman" w:hAnsi="Times New Roman" w:eastAsia="宋体" w:cs="Times New Roman"/>
          <w:color w:val="auto"/>
          <w:kern w:val="0"/>
          <w:u w:val="none"/>
          <w:lang w:val="en-US" w:eastAsia="zh-CN"/>
        </w:rPr>
        <w:t>湘西废旧汽车拆解利用建设项目环境影响报告表</w:t>
      </w:r>
      <w:r>
        <w:rPr>
          <w:rFonts w:hint="eastAsia" w:ascii="Times New Roman" w:hAnsi="Times New Roman" w:eastAsia="宋体" w:cs="Times New Roman"/>
          <w:color w:val="auto"/>
          <w:kern w:val="0"/>
          <w:u w:val="none"/>
        </w:rPr>
        <w:t>》（</w:t>
      </w:r>
      <w:r>
        <w:rPr>
          <w:rFonts w:hint="eastAsia" w:ascii="Times New Roman" w:hAnsi="Times New Roman" w:eastAsia="宋体" w:cs="Times New Roman"/>
          <w:color w:val="auto"/>
          <w:kern w:val="0"/>
          <w:u w:val="none"/>
          <w:lang w:val="en-US" w:eastAsia="zh-CN"/>
        </w:rPr>
        <w:t>2021年1月</w:t>
      </w:r>
      <w:r>
        <w:rPr>
          <w:rFonts w:hint="eastAsia" w:ascii="Times New Roman" w:hAnsi="Times New Roman" w:eastAsia="宋体" w:cs="Times New Roman"/>
          <w:color w:val="auto"/>
          <w:kern w:val="0"/>
          <w:u w:val="none"/>
        </w:rPr>
        <w:t>）；</w:t>
      </w:r>
    </w:p>
    <w:p>
      <w:pPr>
        <w:ind w:firstLine="480"/>
        <w:jc w:val="both"/>
        <w:rPr>
          <w:rFonts w:hint="eastAsia" w:ascii="Times New Roman" w:hAnsi="Times New Roman" w:eastAsia="宋体" w:cs="Times New Roman"/>
          <w:color w:val="auto"/>
          <w:kern w:val="0"/>
          <w:u w:val="none"/>
          <w:lang w:eastAsia="zh-CN"/>
        </w:rPr>
      </w:pPr>
      <w:r>
        <w:rPr>
          <w:rFonts w:hint="eastAsia" w:ascii="Times New Roman" w:hAnsi="Times New Roman" w:eastAsia="宋体" w:cs="Times New Roman"/>
          <w:color w:val="auto"/>
          <w:kern w:val="0"/>
          <w:u w:val="none"/>
          <w:lang w:eastAsia="zh-CN"/>
        </w:rPr>
        <w:t>（</w:t>
      </w:r>
      <w:r>
        <w:rPr>
          <w:rFonts w:hint="eastAsia" w:ascii="Times New Roman" w:hAnsi="Times New Roman" w:eastAsia="宋体" w:cs="Times New Roman"/>
          <w:color w:val="auto"/>
          <w:kern w:val="0"/>
          <w:u w:val="none"/>
          <w:lang w:val="en-US" w:eastAsia="zh-CN"/>
        </w:rPr>
        <w:t>4</w:t>
      </w:r>
      <w:r>
        <w:rPr>
          <w:rFonts w:hint="eastAsia" w:ascii="Times New Roman" w:hAnsi="Times New Roman" w:eastAsia="宋体" w:cs="Times New Roman"/>
          <w:color w:val="auto"/>
          <w:kern w:val="0"/>
          <w:u w:val="none"/>
          <w:lang w:eastAsia="zh-CN"/>
        </w:rPr>
        <w:t>）湖南省生态环境厅关于</w:t>
      </w:r>
      <w:r>
        <w:rPr>
          <w:rFonts w:hint="eastAsia" w:ascii="Times New Roman" w:hAnsi="Times New Roman" w:eastAsia="宋体" w:cs="Times New Roman"/>
          <w:color w:val="auto"/>
          <w:kern w:val="0"/>
          <w:u w:val="none"/>
        </w:rPr>
        <w:t>《</w:t>
      </w:r>
      <w:r>
        <w:rPr>
          <w:rFonts w:hint="eastAsia" w:ascii="Times New Roman" w:hAnsi="Times New Roman" w:eastAsia="宋体" w:cs="Times New Roman"/>
          <w:color w:val="auto"/>
          <w:kern w:val="0"/>
          <w:u w:val="none"/>
          <w:lang w:eastAsia="zh-CN"/>
        </w:rPr>
        <w:t>湖南永顺经济开发区调扩区规划环境影响报告书</w:t>
      </w:r>
      <w:r>
        <w:rPr>
          <w:rFonts w:hint="eastAsia" w:ascii="Times New Roman" w:hAnsi="Times New Roman" w:eastAsia="宋体" w:cs="Times New Roman"/>
          <w:color w:val="auto"/>
          <w:kern w:val="0"/>
          <w:u w:val="none"/>
        </w:rPr>
        <w:t>》</w:t>
      </w:r>
      <w:r>
        <w:rPr>
          <w:rFonts w:hint="eastAsia" w:ascii="Times New Roman" w:hAnsi="Times New Roman" w:eastAsia="宋体" w:cs="Times New Roman"/>
          <w:color w:val="auto"/>
          <w:kern w:val="0"/>
          <w:u w:val="none"/>
          <w:lang w:eastAsia="zh-CN"/>
        </w:rPr>
        <w:t>审查意见的函（</w:t>
      </w:r>
      <w:r>
        <w:rPr>
          <w:rFonts w:hint="eastAsia" w:ascii="Times New Roman" w:hAnsi="Times New Roman" w:eastAsia="宋体" w:cs="Times New Roman"/>
          <w:color w:val="auto"/>
          <w:kern w:val="0"/>
          <w:u w:val="none"/>
          <w:lang w:val="en-US" w:eastAsia="zh-CN"/>
        </w:rPr>
        <w:t>湘环评函【2021】5号</w:t>
      </w:r>
      <w:r>
        <w:rPr>
          <w:rFonts w:hint="eastAsia" w:ascii="Times New Roman" w:hAnsi="Times New Roman" w:eastAsia="宋体" w:cs="Times New Roman"/>
          <w:color w:val="auto"/>
          <w:kern w:val="0"/>
          <w:u w:val="none"/>
          <w:lang w:eastAsia="zh-CN"/>
        </w:rPr>
        <w:t>）；</w:t>
      </w:r>
    </w:p>
    <w:p>
      <w:pPr>
        <w:ind w:firstLine="480"/>
        <w:jc w:val="both"/>
        <w:rPr>
          <w:rFonts w:hint="eastAsia" w:ascii="Times New Roman" w:hAnsi="Times New Roman" w:eastAsia="宋体" w:cs="Times New Roman"/>
          <w:color w:val="auto"/>
          <w:kern w:val="0"/>
          <w:u w:val="none"/>
        </w:rPr>
      </w:pPr>
      <w:r>
        <w:rPr>
          <w:rFonts w:hint="eastAsia" w:ascii="Times New Roman" w:hAnsi="Times New Roman" w:eastAsia="宋体" w:cs="Times New Roman"/>
          <w:color w:val="auto"/>
          <w:kern w:val="0"/>
          <w:u w:val="none"/>
        </w:rPr>
        <w:t>（</w:t>
      </w:r>
      <w:r>
        <w:rPr>
          <w:rFonts w:hint="eastAsia" w:ascii="Times New Roman" w:hAnsi="Times New Roman" w:eastAsia="宋体" w:cs="Times New Roman"/>
          <w:color w:val="auto"/>
          <w:kern w:val="0"/>
          <w:u w:val="none"/>
          <w:lang w:val="en-US" w:eastAsia="zh-CN"/>
        </w:rPr>
        <w:t>5</w:t>
      </w:r>
      <w:r>
        <w:rPr>
          <w:rFonts w:hint="eastAsia" w:ascii="Times New Roman" w:hAnsi="Times New Roman" w:eastAsia="宋体" w:cs="Times New Roman"/>
          <w:color w:val="auto"/>
          <w:kern w:val="0"/>
          <w:u w:val="none"/>
        </w:rPr>
        <w:t>）《</w:t>
      </w:r>
      <w:r>
        <w:rPr>
          <w:rFonts w:hint="eastAsia" w:ascii="Times New Roman" w:hAnsi="Times New Roman" w:eastAsia="宋体" w:cs="Times New Roman"/>
          <w:color w:val="auto"/>
          <w:kern w:val="0"/>
          <w:u w:val="none"/>
          <w:lang w:eastAsia="zh-CN"/>
        </w:rPr>
        <w:t>湖南永顺经济开发区猛洞河产业园污水处理厂建设项目</w:t>
      </w:r>
      <w:r>
        <w:rPr>
          <w:rFonts w:hint="eastAsia" w:ascii="Times New Roman" w:hAnsi="Times New Roman" w:eastAsia="宋体" w:cs="Times New Roman"/>
          <w:color w:val="auto"/>
          <w:kern w:val="0"/>
          <w:u w:val="none"/>
        </w:rPr>
        <w:t>环境影响评价委托书》，</w:t>
      </w:r>
      <w:r>
        <w:rPr>
          <w:rFonts w:hint="eastAsia" w:ascii="Times New Roman" w:hAnsi="Times New Roman" w:eastAsia="宋体" w:cs="Times New Roman"/>
          <w:color w:val="auto"/>
          <w:kern w:val="0"/>
          <w:u w:val="none"/>
          <w:lang w:eastAsia="zh-CN"/>
        </w:rPr>
        <w:t>湘西猛洞河旅游生态开发区建设有限责任公司</w:t>
      </w:r>
      <w:r>
        <w:rPr>
          <w:rFonts w:hint="eastAsia" w:ascii="Times New Roman" w:hAnsi="Times New Roman" w:eastAsia="宋体" w:cs="Times New Roman"/>
          <w:color w:val="auto"/>
          <w:kern w:val="0"/>
          <w:u w:val="none"/>
        </w:rPr>
        <w:t>（</w:t>
      </w:r>
      <w:r>
        <w:rPr>
          <w:rFonts w:hint="eastAsia" w:ascii="Times New Roman" w:hAnsi="Times New Roman" w:eastAsia="宋体" w:cs="Times New Roman"/>
          <w:color w:val="auto"/>
          <w:kern w:val="0"/>
          <w:u w:val="none"/>
          <w:lang w:val="en-US" w:eastAsia="zh-CN"/>
        </w:rPr>
        <w:t>2022</w:t>
      </w:r>
      <w:r>
        <w:rPr>
          <w:rFonts w:hint="eastAsia" w:ascii="Times New Roman" w:hAnsi="Times New Roman" w:eastAsia="宋体" w:cs="Times New Roman"/>
          <w:color w:val="auto"/>
          <w:kern w:val="0"/>
          <w:u w:val="none"/>
        </w:rPr>
        <w:t>年</w:t>
      </w:r>
      <w:r>
        <w:rPr>
          <w:rFonts w:hint="eastAsia" w:ascii="Times New Roman" w:hAnsi="Times New Roman" w:eastAsia="宋体" w:cs="Times New Roman"/>
          <w:color w:val="auto"/>
          <w:kern w:val="0"/>
          <w:u w:val="none"/>
          <w:lang w:val="en-US" w:eastAsia="zh-CN"/>
        </w:rPr>
        <w:t>3</w:t>
      </w:r>
      <w:r>
        <w:rPr>
          <w:rFonts w:hint="eastAsia" w:ascii="Times New Roman" w:hAnsi="Times New Roman" w:eastAsia="宋体" w:cs="Times New Roman"/>
          <w:color w:val="auto"/>
          <w:kern w:val="0"/>
          <w:u w:val="none"/>
        </w:rPr>
        <w:t>月）；</w:t>
      </w:r>
    </w:p>
    <w:p>
      <w:pPr>
        <w:ind w:firstLine="480"/>
        <w:jc w:val="both"/>
        <w:rPr>
          <w:rFonts w:hint="eastAsia" w:ascii="Times New Roman" w:hAnsi="Times New Roman" w:eastAsia="宋体" w:cs="Times New Roman"/>
          <w:color w:val="auto"/>
          <w:kern w:val="0"/>
          <w:u w:val="none"/>
        </w:rPr>
      </w:pPr>
      <w:r>
        <w:rPr>
          <w:rFonts w:hint="eastAsia" w:ascii="Times New Roman" w:hAnsi="Times New Roman" w:eastAsia="宋体" w:cs="Times New Roman"/>
          <w:color w:val="auto"/>
          <w:kern w:val="0"/>
          <w:u w:val="none"/>
        </w:rPr>
        <w:t>（</w:t>
      </w:r>
      <w:r>
        <w:rPr>
          <w:rFonts w:hint="eastAsia" w:ascii="Times New Roman" w:hAnsi="Times New Roman" w:eastAsia="宋体" w:cs="Times New Roman"/>
          <w:color w:val="auto"/>
          <w:kern w:val="0"/>
          <w:u w:val="none"/>
          <w:lang w:val="en-US" w:eastAsia="zh-CN"/>
        </w:rPr>
        <w:t>6</w:t>
      </w:r>
      <w:r>
        <w:rPr>
          <w:rFonts w:hint="eastAsia" w:ascii="Times New Roman" w:hAnsi="Times New Roman" w:eastAsia="宋体" w:cs="Times New Roman"/>
          <w:color w:val="auto"/>
          <w:kern w:val="0"/>
          <w:u w:val="none"/>
        </w:rPr>
        <w:t>）现场收集相关资料。</w:t>
      </w:r>
    </w:p>
    <w:p>
      <w:pPr>
        <w:pStyle w:val="76"/>
        <w:bidi w:val="0"/>
        <w:rPr>
          <w:rFonts w:hint="eastAsia"/>
        </w:rPr>
      </w:pPr>
      <w:bookmarkStart w:id="41" w:name="_Toc7151"/>
      <w:bookmarkStart w:id="42" w:name="_Toc489350105"/>
      <w:bookmarkStart w:id="43" w:name="_Toc489349337"/>
      <w:r>
        <w:t>1.2评价目的及评价原则</w:t>
      </w:r>
      <w:bookmarkEnd w:id="41"/>
      <w:bookmarkEnd w:id="42"/>
      <w:bookmarkEnd w:id="43"/>
    </w:p>
    <w:p>
      <w:pPr>
        <w:pStyle w:val="6"/>
        <w:bidi w:val="0"/>
        <w:rPr>
          <w:rFonts w:hint="eastAsia"/>
        </w:rPr>
      </w:pPr>
      <w:bookmarkStart w:id="44" w:name="_Toc489349338"/>
      <w:bookmarkStart w:id="45" w:name="_Toc489350207"/>
      <w:bookmarkStart w:id="46" w:name="_Toc489350106"/>
      <w:bookmarkStart w:id="47" w:name="_Toc489349953"/>
      <w:r>
        <w:rPr>
          <w:rFonts w:hint="eastAsia"/>
        </w:rPr>
        <w:t>1.2.1评价目的</w:t>
      </w:r>
      <w:bookmarkEnd w:id="44"/>
      <w:bookmarkEnd w:id="45"/>
      <w:bookmarkEnd w:id="46"/>
      <w:bookmarkEnd w:id="47"/>
    </w:p>
    <w:p>
      <w:pPr>
        <w:tabs>
          <w:tab w:val="left" w:pos="3138"/>
        </w:tabs>
        <w:ind w:firstLine="480"/>
        <w:jc w:val="both"/>
        <w:rPr>
          <w:color w:val="auto"/>
          <w:kern w:val="0"/>
          <w:u w:val="none"/>
        </w:rPr>
      </w:pPr>
      <w:r>
        <w:rPr>
          <w:rFonts w:hint="eastAsia"/>
          <w:color w:val="auto"/>
          <w:kern w:val="0"/>
          <w:u w:val="none"/>
        </w:rPr>
        <w:t>（</w:t>
      </w:r>
      <w:r>
        <w:rPr>
          <w:color w:val="auto"/>
          <w:kern w:val="0"/>
          <w:u w:val="none"/>
        </w:rPr>
        <w:t>1</w:t>
      </w:r>
      <w:r>
        <w:rPr>
          <w:rFonts w:hint="eastAsia"/>
          <w:color w:val="auto"/>
          <w:kern w:val="0"/>
          <w:u w:val="none"/>
        </w:rPr>
        <w:t>）通过对</w:t>
      </w:r>
      <w:r>
        <w:rPr>
          <w:rFonts w:hint="eastAsia"/>
          <w:color w:val="auto"/>
          <w:kern w:val="0"/>
          <w:u w:val="none"/>
          <w:lang w:eastAsia="zh-CN"/>
        </w:rPr>
        <w:t>猛洞河产业园</w:t>
      </w:r>
      <w:r>
        <w:rPr>
          <w:color w:val="auto"/>
          <w:kern w:val="0"/>
          <w:u w:val="none"/>
        </w:rPr>
        <w:t>产业</w:t>
      </w:r>
      <w:r>
        <w:rPr>
          <w:rFonts w:hint="eastAsia"/>
          <w:color w:val="auto"/>
          <w:kern w:val="0"/>
          <w:u w:val="none"/>
        </w:rPr>
        <w:t>结构和发展规划的调查，摸清区域现有规划的工业结构、工业废水的水量、水质状况及排污规律；预测区域工业废水的水量及水质状况，为工业废水处理规模及工艺的选择提供依据。</w:t>
      </w:r>
    </w:p>
    <w:p>
      <w:pPr>
        <w:tabs>
          <w:tab w:val="left" w:pos="3138"/>
        </w:tabs>
        <w:ind w:firstLine="480"/>
        <w:jc w:val="both"/>
        <w:rPr>
          <w:color w:val="auto"/>
          <w:kern w:val="0"/>
          <w:u w:val="none"/>
        </w:rPr>
      </w:pPr>
      <w:r>
        <w:rPr>
          <w:rFonts w:hint="eastAsia"/>
          <w:color w:val="auto"/>
          <w:kern w:val="0"/>
          <w:u w:val="none"/>
        </w:rPr>
        <w:t>（</w:t>
      </w:r>
      <w:r>
        <w:rPr>
          <w:color w:val="auto"/>
          <w:kern w:val="0"/>
          <w:u w:val="none"/>
        </w:rPr>
        <w:t>2</w:t>
      </w:r>
      <w:r>
        <w:rPr>
          <w:rFonts w:hint="eastAsia"/>
          <w:color w:val="auto"/>
          <w:kern w:val="0"/>
          <w:u w:val="none"/>
        </w:rPr>
        <w:t>）通过现场监测及数据收集，了解工程所在区域的大气、声、地表水、地下水及生态环境现状。</w:t>
      </w:r>
    </w:p>
    <w:p>
      <w:pPr>
        <w:tabs>
          <w:tab w:val="left" w:pos="3138"/>
        </w:tabs>
        <w:ind w:firstLine="480"/>
        <w:jc w:val="both"/>
        <w:rPr>
          <w:color w:val="auto"/>
          <w:kern w:val="0"/>
          <w:u w:val="none"/>
        </w:rPr>
      </w:pPr>
      <w:r>
        <w:rPr>
          <w:rFonts w:hint="eastAsia"/>
          <w:color w:val="auto"/>
          <w:kern w:val="0"/>
          <w:u w:val="none"/>
        </w:rPr>
        <w:t>（</w:t>
      </w:r>
      <w:r>
        <w:rPr>
          <w:color w:val="auto"/>
          <w:kern w:val="0"/>
          <w:u w:val="none"/>
        </w:rPr>
        <w:t>3</w:t>
      </w:r>
      <w:r>
        <w:rPr>
          <w:rFonts w:hint="eastAsia"/>
          <w:color w:val="auto"/>
          <w:kern w:val="0"/>
          <w:u w:val="none"/>
        </w:rPr>
        <w:t>）论证工程拟采取的环保治理措施的技术经济可行性与合理性，最大限度地避免和减轻对区域自然环境和社会环境的不利影响。</w:t>
      </w:r>
    </w:p>
    <w:p>
      <w:pPr>
        <w:tabs>
          <w:tab w:val="left" w:pos="3138"/>
        </w:tabs>
        <w:ind w:firstLine="480"/>
        <w:jc w:val="both"/>
        <w:rPr>
          <w:color w:val="auto"/>
          <w:kern w:val="0"/>
          <w:u w:val="none"/>
        </w:rPr>
      </w:pPr>
      <w:r>
        <w:rPr>
          <w:rFonts w:hint="eastAsia"/>
          <w:color w:val="auto"/>
          <w:kern w:val="0"/>
          <w:u w:val="none"/>
        </w:rPr>
        <w:t>（</w:t>
      </w:r>
      <w:r>
        <w:rPr>
          <w:color w:val="auto"/>
          <w:kern w:val="0"/>
          <w:u w:val="none"/>
        </w:rPr>
        <w:t>4</w:t>
      </w:r>
      <w:r>
        <w:rPr>
          <w:rFonts w:hint="eastAsia"/>
          <w:color w:val="auto"/>
          <w:kern w:val="0"/>
          <w:u w:val="none"/>
        </w:rPr>
        <w:t xml:space="preserve">）从环境保护角度论证项目建设的可行性，并对其可能存在的问题提出合理化建议，为环境管理和工程建设提供依据。 </w:t>
      </w:r>
    </w:p>
    <w:p>
      <w:pPr>
        <w:pStyle w:val="6"/>
        <w:bidi w:val="0"/>
      </w:pPr>
      <w:bookmarkStart w:id="48" w:name="_Toc489350208"/>
      <w:bookmarkStart w:id="49" w:name="_Toc489349339"/>
      <w:bookmarkStart w:id="50" w:name="_Toc489350107"/>
      <w:bookmarkStart w:id="51" w:name="_Toc489349954"/>
      <w:r>
        <w:t>1.1.2评价原则</w:t>
      </w:r>
      <w:bookmarkEnd w:id="48"/>
      <w:bookmarkEnd w:id="49"/>
      <w:bookmarkEnd w:id="50"/>
      <w:bookmarkEnd w:id="51"/>
      <w:r>
        <w:t xml:space="preserve"> </w:t>
      </w:r>
    </w:p>
    <w:p>
      <w:pPr>
        <w:ind w:firstLine="480"/>
        <w:jc w:val="both"/>
        <w:rPr>
          <w:color w:val="auto"/>
          <w:u w:val="none"/>
        </w:rPr>
      </w:pPr>
      <w:bookmarkStart w:id="52" w:name="_Toc489349340"/>
      <w:bookmarkStart w:id="53" w:name="_Toc489350108"/>
      <w:r>
        <w:rPr>
          <w:color w:val="auto"/>
          <w:u w:val="none"/>
        </w:rPr>
        <w:t>根据国家有关环保法规，结合项目建设特点确定工程评价原则如下：</w:t>
      </w:r>
    </w:p>
    <w:p>
      <w:pPr>
        <w:widowControl w:val="0"/>
        <w:ind w:firstLine="480"/>
        <w:jc w:val="both"/>
        <w:rPr>
          <w:color w:val="auto"/>
          <w:kern w:val="0"/>
        </w:rPr>
      </w:pPr>
      <w:r>
        <w:rPr>
          <w:rFonts w:hint="eastAsia"/>
          <w:color w:val="auto"/>
          <w:kern w:val="0"/>
        </w:rPr>
        <w:t>（</w:t>
      </w:r>
      <w:r>
        <w:rPr>
          <w:color w:val="auto"/>
          <w:kern w:val="0"/>
        </w:rPr>
        <w:t>1</w:t>
      </w:r>
      <w:r>
        <w:rPr>
          <w:rFonts w:hint="eastAsia"/>
          <w:color w:val="auto"/>
          <w:kern w:val="0"/>
        </w:rPr>
        <w:t>）评价中认真贯彻执行“达标排放”及“污染物总量控制”等环境保护政策及法规；</w:t>
      </w:r>
    </w:p>
    <w:p>
      <w:pPr>
        <w:widowControl w:val="0"/>
        <w:ind w:firstLine="480"/>
        <w:jc w:val="both"/>
        <w:rPr>
          <w:color w:val="auto"/>
          <w:kern w:val="0"/>
        </w:rPr>
      </w:pPr>
      <w:r>
        <w:rPr>
          <w:rFonts w:hint="eastAsia"/>
          <w:color w:val="auto"/>
          <w:kern w:val="0"/>
        </w:rPr>
        <w:t>（</w:t>
      </w:r>
      <w:r>
        <w:rPr>
          <w:color w:val="auto"/>
          <w:kern w:val="0"/>
        </w:rPr>
        <w:t>2</w:t>
      </w:r>
      <w:r>
        <w:rPr>
          <w:rFonts w:hint="eastAsia"/>
          <w:color w:val="auto"/>
          <w:kern w:val="0"/>
        </w:rPr>
        <w:t>）本评价将依据本项目污染源提出削减污染物排放量的措施，使本项目污染物排放量可实现其总量控制的要求；</w:t>
      </w:r>
    </w:p>
    <w:p>
      <w:pPr>
        <w:widowControl w:val="0"/>
        <w:ind w:firstLine="480"/>
        <w:jc w:val="both"/>
        <w:rPr>
          <w:color w:val="auto"/>
          <w:kern w:val="0"/>
        </w:rPr>
      </w:pPr>
      <w:r>
        <w:rPr>
          <w:rFonts w:hint="eastAsia"/>
          <w:color w:val="auto"/>
          <w:kern w:val="0"/>
        </w:rPr>
        <w:t>（</w:t>
      </w:r>
      <w:r>
        <w:rPr>
          <w:color w:val="auto"/>
          <w:kern w:val="0"/>
        </w:rPr>
        <w:t>3</w:t>
      </w:r>
      <w:r>
        <w:rPr>
          <w:rFonts w:hint="eastAsia"/>
          <w:color w:val="auto"/>
          <w:kern w:val="0"/>
        </w:rPr>
        <w:t>）环境影响评价将坚持为项目建设的优化和决策服务，为环境管理服务，注重环评工作的政策性、针对性、客观性、公正性及实用性；</w:t>
      </w:r>
    </w:p>
    <w:p>
      <w:pPr>
        <w:widowControl w:val="0"/>
        <w:ind w:firstLine="480"/>
        <w:jc w:val="both"/>
        <w:rPr>
          <w:color w:val="auto"/>
          <w:kern w:val="0"/>
        </w:rPr>
      </w:pPr>
      <w:r>
        <w:rPr>
          <w:rFonts w:hint="eastAsia"/>
          <w:color w:val="auto"/>
          <w:kern w:val="0"/>
        </w:rPr>
        <w:t>（</w:t>
      </w:r>
      <w:r>
        <w:rPr>
          <w:color w:val="auto"/>
          <w:kern w:val="0"/>
        </w:rPr>
        <w:t>4</w:t>
      </w:r>
      <w:r>
        <w:rPr>
          <w:rFonts w:hint="eastAsia"/>
          <w:color w:val="auto"/>
          <w:kern w:val="0"/>
        </w:rPr>
        <w:t>）评价内容做到重点突出、结论明确、对策可行；</w:t>
      </w:r>
    </w:p>
    <w:p>
      <w:pPr>
        <w:widowControl w:val="0"/>
        <w:ind w:firstLine="480"/>
        <w:jc w:val="both"/>
        <w:rPr>
          <w:color w:val="auto"/>
          <w:kern w:val="0"/>
        </w:rPr>
      </w:pPr>
      <w:r>
        <w:rPr>
          <w:rFonts w:hint="eastAsia"/>
          <w:color w:val="auto"/>
          <w:kern w:val="0"/>
        </w:rPr>
        <w:t>（</w:t>
      </w:r>
      <w:r>
        <w:rPr>
          <w:color w:val="auto"/>
          <w:kern w:val="0"/>
        </w:rPr>
        <w:t>5</w:t>
      </w:r>
      <w:r>
        <w:rPr>
          <w:rFonts w:hint="eastAsia"/>
          <w:color w:val="auto"/>
          <w:kern w:val="0"/>
        </w:rPr>
        <w:t>）在满足评价技术要求的前提下，本次评价工作将尽可能利用该地区现有的有关环境影响评价成果资料；</w:t>
      </w:r>
    </w:p>
    <w:p>
      <w:pPr>
        <w:widowControl w:val="0"/>
        <w:ind w:firstLine="480"/>
        <w:jc w:val="both"/>
        <w:rPr>
          <w:color w:val="auto"/>
          <w:kern w:val="0"/>
        </w:rPr>
      </w:pPr>
      <w:r>
        <w:rPr>
          <w:rFonts w:hint="eastAsia"/>
          <w:color w:val="auto"/>
          <w:kern w:val="0"/>
        </w:rPr>
        <w:t>（</w:t>
      </w:r>
      <w:r>
        <w:rPr>
          <w:color w:val="auto"/>
          <w:kern w:val="0"/>
        </w:rPr>
        <w:t>6</w:t>
      </w:r>
      <w:r>
        <w:rPr>
          <w:rFonts w:hint="eastAsia"/>
          <w:color w:val="auto"/>
          <w:kern w:val="0"/>
        </w:rPr>
        <w:t>）加强类比调查，充分利用国内同类型的污染物治理经验，力争使本项目环评更具实用性和可靠性；</w:t>
      </w:r>
    </w:p>
    <w:p>
      <w:pPr>
        <w:ind w:firstLine="480"/>
        <w:jc w:val="both"/>
        <w:rPr>
          <w:color w:val="auto"/>
          <w:u w:val="none"/>
        </w:rPr>
      </w:pPr>
      <w:r>
        <w:rPr>
          <w:rFonts w:hint="eastAsia"/>
          <w:color w:val="auto"/>
          <w:kern w:val="0"/>
        </w:rPr>
        <w:t>（</w:t>
      </w:r>
      <w:r>
        <w:rPr>
          <w:color w:val="auto"/>
          <w:kern w:val="0"/>
        </w:rPr>
        <w:t>7</w:t>
      </w:r>
      <w:r>
        <w:rPr>
          <w:rFonts w:hint="eastAsia"/>
          <w:color w:val="auto"/>
          <w:kern w:val="0"/>
        </w:rPr>
        <w:t>）环评工作坚持有针对性、科学性和实用性原则，对该项目可能产生的环境影响及危害给出客观而公正的评价</w:t>
      </w:r>
      <w:r>
        <w:rPr>
          <w:color w:val="auto"/>
          <w:u w:val="none"/>
        </w:rPr>
        <w:t>。</w:t>
      </w:r>
    </w:p>
    <w:p>
      <w:pPr>
        <w:pStyle w:val="76"/>
        <w:spacing w:before="163" w:after="163"/>
        <w:rPr>
          <w:color w:val="auto"/>
          <w:u w:val="none"/>
        </w:rPr>
      </w:pPr>
      <w:bookmarkStart w:id="54" w:name="_Toc32118"/>
      <w:r>
        <w:rPr>
          <w:rFonts w:hint="eastAsia"/>
          <w:color w:val="auto"/>
          <w:u w:val="none"/>
        </w:rPr>
        <w:t>1.3总体构思</w:t>
      </w:r>
      <w:bookmarkEnd w:id="52"/>
      <w:bookmarkEnd w:id="53"/>
      <w:bookmarkEnd w:id="54"/>
    </w:p>
    <w:p>
      <w:pPr>
        <w:ind w:firstLine="480"/>
        <w:jc w:val="both"/>
        <w:rPr>
          <w:color w:val="auto"/>
          <w:kern w:val="0"/>
          <w:u w:val="none"/>
        </w:rPr>
      </w:pPr>
      <w:r>
        <w:rPr>
          <w:rFonts w:hint="eastAsia"/>
          <w:color w:val="auto"/>
          <w:kern w:val="0"/>
          <w:u w:val="none"/>
        </w:rPr>
        <w:t>根据项目的工程特征及工程所在区域的特点，分析项目建设的环境可行性。评价的总体构思如下：</w:t>
      </w:r>
    </w:p>
    <w:p>
      <w:pPr>
        <w:ind w:firstLine="480"/>
        <w:jc w:val="both"/>
        <w:rPr>
          <w:color w:val="auto"/>
          <w:kern w:val="0"/>
          <w:u w:val="none"/>
        </w:rPr>
      </w:pPr>
      <w:r>
        <w:rPr>
          <w:rFonts w:hint="eastAsia"/>
          <w:color w:val="auto"/>
          <w:kern w:val="0"/>
          <w:u w:val="none"/>
        </w:rPr>
        <w:t>（</w:t>
      </w:r>
      <w:r>
        <w:rPr>
          <w:color w:val="auto"/>
          <w:kern w:val="0"/>
          <w:u w:val="none"/>
        </w:rPr>
        <w:t>1</w:t>
      </w:r>
      <w:r>
        <w:rPr>
          <w:rFonts w:hint="eastAsia"/>
          <w:color w:val="auto"/>
          <w:kern w:val="0"/>
          <w:u w:val="none"/>
        </w:rPr>
        <w:t>）调查项目区域的环境功能、环境保护敏感目标，进行环境质量现状评价。</w:t>
      </w:r>
    </w:p>
    <w:p>
      <w:pPr>
        <w:ind w:firstLine="480"/>
        <w:jc w:val="both"/>
        <w:rPr>
          <w:color w:val="auto"/>
          <w:kern w:val="0"/>
          <w:u w:val="none"/>
        </w:rPr>
      </w:pPr>
      <w:r>
        <w:rPr>
          <w:rFonts w:hint="eastAsia"/>
          <w:color w:val="auto"/>
          <w:kern w:val="0"/>
          <w:u w:val="none"/>
        </w:rPr>
        <w:t>（</w:t>
      </w:r>
      <w:r>
        <w:rPr>
          <w:color w:val="auto"/>
          <w:kern w:val="0"/>
          <w:u w:val="none"/>
        </w:rPr>
        <w:t>2</w:t>
      </w:r>
      <w:r>
        <w:rPr>
          <w:rFonts w:hint="eastAsia"/>
          <w:color w:val="auto"/>
          <w:kern w:val="0"/>
          <w:u w:val="none"/>
        </w:rPr>
        <w:t>）根据项目目前已有的工程状况、区域环境特征，对项目目前所造成的空气、地表水、声环境、固废等方面环境污染，核算项目的排污量，进行环境影响评价，提出有针对性的污染防治措施，确保区域环境质量满足相关标准要求。</w:t>
      </w:r>
    </w:p>
    <w:p>
      <w:pPr>
        <w:ind w:firstLine="480"/>
        <w:jc w:val="both"/>
        <w:rPr>
          <w:rFonts w:hint="eastAsia"/>
          <w:color w:val="auto"/>
          <w:kern w:val="0"/>
          <w:u w:val="none"/>
        </w:rPr>
      </w:pPr>
      <w:r>
        <w:rPr>
          <w:rFonts w:hint="eastAsia"/>
          <w:color w:val="auto"/>
          <w:kern w:val="0"/>
          <w:u w:val="none"/>
        </w:rPr>
        <w:t>（</w:t>
      </w:r>
      <w:r>
        <w:rPr>
          <w:color w:val="auto"/>
          <w:kern w:val="0"/>
          <w:u w:val="none"/>
        </w:rPr>
        <w:t>3</w:t>
      </w:r>
      <w:r>
        <w:rPr>
          <w:rFonts w:hint="eastAsia"/>
          <w:color w:val="auto"/>
          <w:kern w:val="0"/>
          <w:u w:val="none"/>
        </w:rPr>
        <w:t>）论证该项目是否符合国家和地方有关产业政策、环境保护政策和区域可持续发展规划。坚持公正、公开原则，以环境保护的法律法规、评价技术规范、环境保护标准和项目所在区域的环境功能区划为依据，从环境保护角度论证</w:t>
      </w:r>
      <w:r>
        <w:rPr>
          <w:rFonts w:hint="eastAsia"/>
          <w:color w:val="auto"/>
          <w:kern w:val="0"/>
          <w:u w:val="none"/>
          <w:lang w:eastAsia="zh-CN"/>
        </w:rPr>
        <w:t>湖南永顺经济开发区猛洞河产业园污水处理厂建设项目</w:t>
      </w:r>
      <w:r>
        <w:rPr>
          <w:rFonts w:hint="eastAsia"/>
          <w:color w:val="auto"/>
          <w:kern w:val="0"/>
          <w:u w:val="none"/>
        </w:rPr>
        <w:t>的可行性、环境保护措施的合理性，最终为项目的决策和环境管理提供科学依据。</w:t>
      </w:r>
    </w:p>
    <w:p>
      <w:pPr>
        <w:pStyle w:val="76"/>
        <w:spacing w:before="163" w:after="163"/>
        <w:rPr>
          <w:rFonts w:hint="eastAsia"/>
          <w:color w:val="auto"/>
          <w:kern w:val="0"/>
          <w:u w:val="none"/>
        </w:rPr>
      </w:pPr>
      <w:bookmarkStart w:id="55" w:name="_Toc27693"/>
      <w:r>
        <w:rPr>
          <w:rFonts w:hint="eastAsia"/>
          <w:color w:val="auto"/>
          <w:kern w:val="0"/>
          <w:u w:val="none"/>
        </w:rPr>
        <w:t>1.4 环境影响识别</w:t>
      </w:r>
      <w:bookmarkEnd w:id="55"/>
    </w:p>
    <w:p>
      <w:pPr>
        <w:ind w:firstLine="480"/>
        <w:rPr>
          <w:color w:val="auto"/>
          <w:kern w:val="0"/>
          <w:u w:val="none"/>
        </w:rPr>
      </w:pPr>
      <w:r>
        <w:rPr>
          <w:rFonts w:hint="eastAsia"/>
          <w:color w:val="auto"/>
          <w:kern w:val="0"/>
          <w:u w:val="none"/>
        </w:rPr>
        <w:t>为了对项目区域环境带来的影响作出切合实际的评价，提出可靠的污染治理措施及保护措施，本评价从环境对本项目的影响、本项目对环境影响因素出发，分别识别出主要的环境问题及主要评价因子，对环境影响进行识别。</w:t>
      </w:r>
      <w:r>
        <w:rPr>
          <w:color w:val="auto"/>
          <w:kern w:val="0"/>
          <w:u w:val="none"/>
        </w:rPr>
        <w:t>本次环评中环境影响要素识别使用矩阵法，详见表</w:t>
      </w:r>
      <w:r>
        <w:rPr>
          <w:rFonts w:eastAsia="Times New Roman"/>
          <w:color w:val="auto"/>
          <w:kern w:val="0"/>
          <w:u w:val="none"/>
        </w:rPr>
        <w:t>1</w:t>
      </w:r>
      <w:r>
        <w:rPr>
          <w:rFonts w:hint="eastAsia"/>
          <w:color w:val="auto"/>
          <w:kern w:val="0"/>
          <w:u w:val="none"/>
        </w:rPr>
        <w:t>-4-1</w:t>
      </w:r>
      <w:r>
        <w:rPr>
          <w:color w:val="auto"/>
          <w:kern w:val="0"/>
          <w:u w:val="none"/>
        </w:rPr>
        <w:t>。</w:t>
      </w:r>
    </w:p>
    <w:p>
      <w:pPr>
        <w:pStyle w:val="124"/>
        <w:bidi w:val="0"/>
        <w:rPr>
          <w:rFonts w:hint="eastAsia"/>
        </w:rPr>
      </w:pPr>
      <w:r>
        <w:t>表</w:t>
      </w:r>
      <w:r>
        <w:rPr>
          <w:rFonts w:hint="eastAsia"/>
        </w:rPr>
        <w:t xml:space="preserve"> </w:t>
      </w:r>
      <w:r>
        <w:t>1.</w:t>
      </w:r>
      <w:r>
        <w:rPr>
          <w:rFonts w:hint="eastAsia"/>
        </w:rPr>
        <w:t>4-</w:t>
      </w:r>
      <w:r>
        <w:t>1</w:t>
      </w:r>
      <w:r>
        <w:tab/>
      </w:r>
      <w:r>
        <w:t>工程环境影响识别表</w:t>
      </w:r>
      <w:bookmarkStart w:id="56" w:name="_Toc489350109"/>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562"/>
        <w:gridCol w:w="535"/>
        <w:gridCol w:w="457"/>
        <w:gridCol w:w="504"/>
        <w:gridCol w:w="457"/>
        <w:gridCol w:w="457"/>
        <w:gridCol w:w="503"/>
        <w:gridCol w:w="457"/>
        <w:gridCol w:w="457"/>
        <w:gridCol w:w="535"/>
        <w:gridCol w:w="457"/>
        <w:gridCol w:w="536"/>
        <w:gridCol w:w="457"/>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restart"/>
            <w:noWrap w:val="0"/>
            <w:vAlign w:val="center"/>
          </w:tcPr>
          <w:p>
            <w:pPr>
              <w:pStyle w:val="73"/>
              <w:rPr>
                <w:rFonts w:hint="eastAsia"/>
                <w:b/>
                <w:bCs/>
                <w:color w:val="auto"/>
                <w:u w:val="none"/>
              </w:rPr>
            </w:pPr>
            <w:r>
              <w:rPr>
                <w:rFonts w:hint="eastAsia"/>
                <w:b/>
                <w:bCs/>
                <w:color w:val="auto"/>
                <w:u w:val="none"/>
              </w:rPr>
              <w:t>时期</w:t>
            </w:r>
          </w:p>
        </w:tc>
        <w:tc>
          <w:tcPr>
            <w:tcW w:w="1562" w:type="dxa"/>
            <w:vMerge w:val="restart"/>
            <w:noWrap w:val="0"/>
            <w:vAlign w:val="center"/>
          </w:tcPr>
          <w:p>
            <w:pPr>
              <w:pStyle w:val="73"/>
              <w:rPr>
                <w:rFonts w:hint="eastAsia"/>
                <w:b/>
                <w:bCs/>
                <w:color w:val="auto"/>
                <w:u w:val="none"/>
              </w:rPr>
            </w:pPr>
            <w:r>
              <w:rPr>
                <w:rFonts w:hint="eastAsia"/>
                <w:b/>
                <w:bCs/>
                <w:color w:val="auto"/>
                <w:u w:val="none"/>
              </w:rPr>
              <w:t>项目</w:t>
            </w:r>
          </w:p>
        </w:tc>
        <w:tc>
          <w:tcPr>
            <w:tcW w:w="1953" w:type="dxa"/>
            <w:gridSpan w:val="4"/>
            <w:noWrap w:val="0"/>
            <w:vAlign w:val="center"/>
          </w:tcPr>
          <w:p>
            <w:pPr>
              <w:pStyle w:val="73"/>
              <w:rPr>
                <w:rFonts w:hint="eastAsia"/>
                <w:b/>
                <w:bCs/>
                <w:color w:val="auto"/>
                <w:u w:val="none"/>
              </w:rPr>
            </w:pPr>
            <w:r>
              <w:rPr>
                <w:rFonts w:hint="eastAsia"/>
                <w:b/>
                <w:bCs/>
                <w:color w:val="auto"/>
                <w:u w:val="none"/>
              </w:rPr>
              <w:t>环境要素</w:t>
            </w:r>
          </w:p>
        </w:tc>
        <w:tc>
          <w:tcPr>
            <w:tcW w:w="1417" w:type="dxa"/>
            <w:gridSpan w:val="3"/>
            <w:noWrap w:val="0"/>
            <w:vAlign w:val="center"/>
          </w:tcPr>
          <w:p>
            <w:pPr>
              <w:pStyle w:val="73"/>
              <w:rPr>
                <w:rFonts w:hint="eastAsia"/>
                <w:b/>
                <w:bCs/>
                <w:color w:val="auto"/>
                <w:u w:val="none"/>
              </w:rPr>
            </w:pPr>
            <w:r>
              <w:rPr>
                <w:rFonts w:hint="eastAsia"/>
                <w:b/>
                <w:bCs/>
                <w:color w:val="auto"/>
                <w:u w:val="none"/>
              </w:rPr>
              <w:t>生态资源</w:t>
            </w:r>
          </w:p>
        </w:tc>
        <w:tc>
          <w:tcPr>
            <w:tcW w:w="3003" w:type="dxa"/>
            <w:gridSpan w:val="6"/>
            <w:noWrap w:val="0"/>
            <w:vAlign w:val="center"/>
          </w:tcPr>
          <w:p>
            <w:pPr>
              <w:pStyle w:val="73"/>
              <w:rPr>
                <w:rFonts w:hint="eastAsia"/>
                <w:b/>
                <w:bCs/>
                <w:color w:val="auto"/>
                <w:u w:val="none"/>
              </w:rPr>
            </w:pPr>
            <w:r>
              <w:rPr>
                <w:rFonts w:hint="eastAsia"/>
                <w:b/>
                <w:bCs/>
                <w:color w:val="auto"/>
                <w:u w:val="none"/>
              </w:rPr>
              <w:t>社会环境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3"/>
              <w:rPr>
                <w:rFonts w:hint="eastAsia"/>
                <w:b/>
                <w:bCs/>
                <w:color w:val="auto"/>
                <w:u w:val="none"/>
              </w:rPr>
            </w:pPr>
          </w:p>
        </w:tc>
        <w:tc>
          <w:tcPr>
            <w:tcW w:w="1562" w:type="dxa"/>
            <w:vMerge w:val="continue"/>
            <w:noWrap w:val="0"/>
            <w:vAlign w:val="center"/>
          </w:tcPr>
          <w:p>
            <w:pPr>
              <w:pStyle w:val="73"/>
              <w:rPr>
                <w:rFonts w:hint="eastAsia"/>
                <w:b/>
                <w:bCs/>
                <w:color w:val="auto"/>
                <w:u w:val="none"/>
              </w:rPr>
            </w:pPr>
          </w:p>
        </w:tc>
        <w:tc>
          <w:tcPr>
            <w:tcW w:w="535" w:type="dxa"/>
            <w:noWrap w:val="0"/>
            <w:vAlign w:val="center"/>
          </w:tcPr>
          <w:p>
            <w:pPr>
              <w:pStyle w:val="73"/>
              <w:rPr>
                <w:rFonts w:hint="eastAsia"/>
                <w:b/>
                <w:bCs/>
                <w:color w:val="auto"/>
                <w:u w:val="none"/>
              </w:rPr>
            </w:pPr>
            <w:r>
              <w:rPr>
                <w:rFonts w:hint="eastAsia"/>
                <w:b/>
                <w:bCs/>
                <w:color w:val="auto"/>
                <w:u w:val="none"/>
              </w:rPr>
              <w:t>水环境</w:t>
            </w:r>
          </w:p>
        </w:tc>
        <w:tc>
          <w:tcPr>
            <w:tcW w:w="457" w:type="dxa"/>
            <w:noWrap w:val="0"/>
            <w:vAlign w:val="center"/>
          </w:tcPr>
          <w:p>
            <w:pPr>
              <w:pStyle w:val="73"/>
              <w:rPr>
                <w:rFonts w:hint="eastAsia"/>
                <w:b/>
                <w:bCs/>
                <w:color w:val="auto"/>
                <w:u w:val="none"/>
              </w:rPr>
            </w:pPr>
            <w:r>
              <w:rPr>
                <w:rFonts w:hint="eastAsia"/>
                <w:b/>
                <w:bCs/>
                <w:color w:val="auto"/>
                <w:u w:val="none"/>
              </w:rPr>
              <w:t>大气环境</w:t>
            </w:r>
          </w:p>
        </w:tc>
        <w:tc>
          <w:tcPr>
            <w:tcW w:w="504" w:type="dxa"/>
            <w:noWrap w:val="0"/>
            <w:vAlign w:val="center"/>
          </w:tcPr>
          <w:p>
            <w:pPr>
              <w:pStyle w:val="73"/>
              <w:rPr>
                <w:rFonts w:hint="eastAsia"/>
                <w:b/>
                <w:bCs/>
                <w:color w:val="auto"/>
                <w:u w:val="none"/>
              </w:rPr>
            </w:pPr>
            <w:r>
              <w:rPr>
                <w:rFonts w:hint="eastAsia"/>
                <w:b/>
                <w:bCs/>
                <w:color w:val="auto"/>
                <w:u w:val="none"/>
              </w:rPr>
              <w:t>声环境</w:t>
            </w:r>
          </w:p>
        </w:tc>
        <w:tc>
          <w:tcPr>
            <w:tcW w:w="457" w:type="dxa"/>
            <w:noWrap w:val="0"/>
            <w:vAlign w:val="center"/>
          </w:tcPr>
          <w:p>
            <w:pPr>
              <w:pStyle w:val="73"/>
              <w:rPr>
                <w:rFonts w:hint="eastAsia"/>
                <w:b/>
                <w:bCs/>
                <w:color w:val="auto"/>
                <w:u w:val="none"/>
              </w:rPr>
            </w:pPr>
            <w:r>
              <w:rPr>
                <w:rFonts w:hint="eastAsia"/>
                <w:b/>
                <w:bCs/>
                <w:color w:val="auto"/>
                <w:u w:val="none"/>
              </w:rPr>
              <w:t>土壤环境</w:t>
            </w:r>
          </w:p>
        </w:tc>
        <w:tc>
          <w:tcPr>
            <w:tcW w:w="457" w:type="dxa"/>
            <w:noWrap w:val="0"/>
            <w:vAlign w:val="center"/>
          </w:tcPr>
          <w:p>
            <w:pPr>
              <w:pStyle w:val="73"/>
              <w:rPr>
                <w:rFonts w:hint="eastAsia"/>
                <w:b/>
                <w:bCs/>
                <w:color w:val="auto"/>
                <w:u w:val="none"/>
              </w:rPr>
            </w:pPr>
            <w:r>
              <w:rPr>
                <w:rFonts w:hint="eastAsia"/>
                <w:b/>
                <w:bCs/>
                <w:color w:val="auto"/>
                <w:u w:val="none"/>
              </w:rPr>
              <w:t>植被</w:t>
            </w:r>
          </w:p>
        </w:tc>
        <w:tc>
          <w:tcPr>
            <w:tcW w:w="503" w:type="dxa"/>
            <w:noWrap w:val="0"/>
            <w:vAlign w:val="center"/>
          </w:tcPr>
          <w:p>
            <w:pPr>
              <w:pStyle w:val="73"/>
              <w:rPr>
                <w:rFonts w:hint="eastAsia"/>
                <w:b/>
                <w:bCs/>
                <w:color w:val="auto"/>
                <w:u w:val="none"/>
              </w:rPr>
            </w:pPr>
            <w:r>
              <w:rPr>
                <w:rFonts w:hint="eastAsia"/>
                <w:b/>
                <w:bCs/>
                <w:color w:val="auto"/>
                <w:u w:val="none"/>
              </w:rPr>
              <w:t>水生生物</w:t>
            </w:r>
          </w:p>
        </w:tc>
        <w:tc>
          <w:tcPr>
            <w:tcW w:w="457" w:type="dxa"/>
            <w:noWrap w:val="0"/>
            <w:vAlign w:val="center"/>
          </w:tcPr>
          <w:p>
            <w:pPr>
              <w:pStyle w:val="73"/>
              <w:rPr>
                <w:rFonts w:hint="eastAsia"/>
                <w:b/>
                <w:bCs/>
                <w:color w:val="auto"/>
                <w:u w:val="none"/>
              </w:rPr>
            </w:pPr>
            <w:r>
              <w:rPr>
                <w:rFonts w:hint="eastAsia"/>
                <w:b/>
                <w:bCs/>
                <w:color w:val="auto"/>
                <w:u w:val="none"/>
              </w:rPr>
              <w:t>大气圈</w:t>
            </w:r>
          </w:p>
        </w:tc>
        <w:tc>
          <w:tcPr>
            <w:tcW w:w="457" w:type="dxa"/>
            <w:noWrap w:val="0"/>
            <w:vAlign w:val="center"/>
          </w:tcPr>
          <w:p>
            <w:pPr>
              <w:pStyle w:val="73"/>
              <w:rPr>
                <w:rFonts w:hint="eastAsia"/>
                <w:b/>
                <w:bCs/>
                <w:color w:val="auto"/>
                <w:u w:val="none"/>
              </w:rPr>
            </w:pPr>
            <w:r>
              <w:rPr>
                <w:rFonts w:hint="eastAsia"/>
                <w:b/>
                <w:bCs/>
                <w:color w:val="auto"/>
                <w:u w:val="none"/>
              </w:rPr>
              <w:t>水源保护</w:t>
            </w:r>
          </w:p>
        </w:tc>
        <w:tc>
          <w:tcPr>
            <w:tcW w:w="535" w:type="dxa"/>
            <w:noWrap w:val="0"/>
            <w:vAlign w:val="center"/>
          </w:tcPr>
          <w:p>
            <w:pPr>
              <w:pStyle w:val="73"/>
              <w:rPr>
                <w:rFonts w:hint="eastAsia"/>
                <w:b/>
                <w:bCs/>
                <w:color w:val="auto"/>
                <w:u w:val="none"/>
              </w:rPr>
            </w:pPr>
            <w:r>
              <w:rPr>
                <w:rFonts w:hint="eastAsia"/>
                <w:b/>
                <w:bCs/>
                <w:color w:val="auto"/>
                <w:u w:val="none"/>
              </w:rPr>
              <w:t>工业发展</w:t>
            </w:r>
          </w:p>
        </w:tc>
        <w:tc>
          <w:tcPr>
            <w:tcW w:w="457" w:type="dxa"/>
            <w:noWrap w:val="0"/>
            <w:vAlign w:val="center"/>
          </w:tcPr>
          <w:p>
            <w:pPr>
              <w:pStyle w:val="73"/>
              <w:rPr>
                <w:rFonts w:hint="eastAsia"/>
                <w:b/>
                <w:bCs/>
                <w:color w:val="auto"/>
                <w:u w:val="none"/>
              </w:rPr>
            </w:pPr>
            <w:r>
              <w:rPr>
                <w:rFonts w:hint="eastAsia"/>
                <w:b/>
                <w:bCs/>
                <w:color w:val="auto"/>
                <w:u w:val="none"/>
              </w:rPr>
              <w:t>景观</w:t>
            </w:r>
          </w:p>
        </w:tc>
        <w:tc>
          <w:tcPr>
            <w:tcW w:w="536" w:type="dxa"/>
            <w:noWrap w:val="0"/>
            <w:vAlign w:val="center"/>
          </w:tcPr>
          <w:p>
            <w:pPr>
              <w:pStyle w:val="73"/>
              <w:rPr>
                <w:rFonts w:hint="eastAsia"/>
                <w:b/>
                <w:bCs/>
                <w:color w:val="auto"/>
                <w:u w:val="none"/>
              </w:rPr>
            </w:pPr>
            <w:r>
              <w:rPr>
                <w:rFonts w:hint="eastAsia"/>
                <w:b/>
                <w:bCs/>
                <w:color w:val="auto"/>
                <w:u w:val="none"/>
              </w:rPr>
              <w:t>居民生活</w:t>
            </w:r>
          </w:p>
        </w:tc>
        <w:tc>
          <w:tcPr>
            <w:tcW w:w="457" w:type="dxa"/>
            <w:noWrap w:val="0"/>
            <w:vAlign w:val="center"/>
          </w:tcPr>
          <w:p>
            <w:pPr>
              <w:pStyle w:val="73"/>
              <w:rPr>
                <w:rFonts w:hint="eastAsia"/>
                <w:b/>
                <w:bCs/>
                <w:color w:val="auto"/>
                <w:u w:val="none"/>
              </w:rPr>
            </w:pPr>
            <w:r>
              <w:rPr>
                <w:rFonts w:hint="eastAsia"/>
                <w:b/>
                <w:bCs/>
                <w:color w:val="auto"/>
                <w:u w:val="none"/>
              </w:rPr>
              <w:t>就业</w:t>
            </w:r>
          </w:p>
        </w:tc>
        <w:tc>
          <w:tcPr>
            <w:tcW w:w="561" w:type="dxa"/>
            <w:noWrap w:val="0"/>
            <w:vAlign w:val="center"/>
          </w:tcPr>
          <w:p>
            <w:pPr>
              <w:pStyle w:val="73"/>
              <w:rPr>
                <w:rFonts w:hint="eastAsia"/>
                <w:b/>
                <w:bCs/>
                <w:color w:val="auto"/>
                <w:u w:val="none"/>
              </w:rPr>
            </w:pPr>
            <w:r>
              <w:rPr>
                <w:rFonts w:hint="eastAsia"/>
                <w:b/>
                <w:bCs/>
                <w:color w:val="auto"/>
                <w:u w:val="none"/>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restart"/>
            <w:noWrap w:val="0"/>
            <w:vAlign w:val="center"/>
          </w:tcPr>
          <w:p>
            <w:pPr>
              <w:pStyle w:val="73"/>
              <w:rPr>
                <w:rFonts w:hint="eastAsia"/>
                <w:color w:val="auto"/>
                <w:u w:val="none"/>
              </w:rPr>
            </w:pPr>
            <w:r>
              <w:rPr>
                <w:rFonts w:hint="eastAsia"/>
                <w:color w:val="auto"/>
                <w:u w:val="none"/>
              </w:rPr>
              <w:t>施工期</w:t>
            </w:r>
          </w:p>
        </w:tc>
        <w:tc>
          <w:tcPr>
            <w:tcW w:w="1562" w:type="dxa"/>
            <w:noWrap w:val="0"/>
            <w:vAlign w:val="center"/>
          </w:tcPr>
          <w:p>
            <w:pPr>
              <w:pStyle w:val="73"/>
              <w:rPr>
                <w:rFonts w:hint="eastAsia" w:eastAsia="宋体"/>
                <w:color w:val="auto"/>
                <w:u w:val="none"/>
                <w:lang w:eastAsia="zh-CN"/>
              </w:rPr>
            </w:pPr>
            <w:r>
              <w:rPr>
                <w:rFonts w:hint="eastAsia"/>
                <w:color w:val="auto"/>
                <w:u w:val="none"/>
                <w:lang w:eastAsia="zh-CN"/>
              </w:rPr>
              <w:t>废水</w:t>
            </w:r>
          </w:p>
        </w:tc>
        <w:tc>
          <w:tcPr>
            <w:tcW w:w="535" w:type="dxa"/>
            <w:noWrap w:val="0"/>
            <w:vAlign w:val="center"/>
          </w:tcPr>
          <w:p>
            <w:pPr>
              <w:pStyle w:val="73"/>
              <w:rPr>
                <w:rFonts w:hint="eastAsia" w:eastAsia="宋体"/>
                <w:color w:val="auto"/>
                <w:u w:val="none"/>
                <w:lang w:val="en-US" w:eastAsia="zh-CN"/>
              </w:rPr>
            </w:pPr>
            <w:r>
              <w:rPr>
                <w:rFonts w:hint="eastAsia"/>
                <w:color w:val="auto"/>
                <w:u w:val="none"/>
              </w:rPr>
              <w:t>—</w:t>
            </w:r>
          </w:p>
        </w:tc>
        <w:tc>
          <w:tcPr>
            <w:tcW w:w="457" w:type="dxa"/>
            <w:noWrap w:val="0"/>
            <w:vAlign w:val="center"/>
          </w:tcPr>
          <w:p>
            <w:pPr>
              <w:pStyle w:val="73"/>
              <w:rPr>
                <w:rFonts w:hint="eastAsia"/>
                <w:color w:val="auto"/>
                <w:u w:val="none"/>
              </w:rPr>
            </w:pPr>
          </w:p>
        </w:tc>
        <w:tc>
          <w:tcPr>
            <w:tcW w:w="504"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03"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6"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61" w:type="dxa"/>
            <w:noWrap w:val="0"/>
            <w:vAlign w:val="center"/>
          </w:tcPr>
          <w:p>
            <w:pPr>
              <w:pStyle w:val="73"/>
              <w:rPr>
                <w:rFonts w:hint="eastAsia"/>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3"/>
              <w:rPr>
                <w:rFonts w:hint="eastAsia"/>
                <w:color w:val="auto"/>
                <w:u w:val="none"/>
              </w:rPr>
            </w:pPr>
          </w:p>
        </w:tc>
        <w:tc>
          <w:tcPr>
            <w:tcW w:w="1562" w:type="dxa"/>
            <w:noWrap w:val="0"/>
            <w:vAlign w:val="center"/>
          </w:tcPr>
          <w:p>
            <w:pPr>
              <w:pStyle w:val="73"/>
              <w:rPr>
                <w:rFonts w:hint="eastAsia" w:eastAsia="宋体"/>
                <w:color w:val="auto"/>
                <w:u w:val="none"/>
                <w:lang w:eastAsia="zh-CN"/>
              </w:rPr>
            </w:pPr>
            <w:r>
              <w:rPr>
                <w:rFonts w:hint="eastAsia"/>
                <w:color w:val="auto"/>
                <w:u w:val="none"/>
                <w:lang w:eastAsia="zh-CN"/>
              </w:rPr>
              <w:t>施工固废</w:t>
            </w: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04"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r>
              <w:rPr>
                <w:rFonts w:hint="eastAsia"/>
                <w:color w:val="auto"/>
                <w:u w:val="none"/>
              </w:rPr>
              <w:t>—</w:t>
            </w:r>
          </w:p>
        </w:tc>
        <w:tc>
          <w:tcPr>
            <w:tcW w:w="503"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536"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561" w:type="dxa"/>
            <w:noWrap w:val="0"/>
            <w:vAlign w:val="center"/>
          </w:tcPr>
          <w:p>
            <w:pPr>
              <w:pStyle w:val="73"/>
              <w:rPr>
                <w:rFonts w:hint="eastAsia"/>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3"/>
              <w:rPr>
                <w:rFonts w:hint="eastAsia"/>
                <w:color w:val="auto"/>
                <w:u w:val="none"/>
              </w:rPr>
            </w:pPr>
          </w:p>
        </w:tc>
        <w:tc>
          <w:tcPr>
            <w:tcW w:w="1562" w:type="dxa"/>
            <w:noWrap w:val="0"/>
            <w:vAlign w:val="center"/>
          </w:tcPr>
          <w:p>
            <w:pPr>
              <w:pStyle w:val="73"/>
              <w:rPr>
                <w:rFonts w:hint="eastAsia"/>
                <w:color w:val="auto"/>
                <w:u w:val="none"/>
              </w:rPr>
            </w:pPr>
            <w:r>
              <w:rPr>
                <w:rFonts w:hint="eastAsia"/>
                <w:color w:val="auto"/>
                <w:u w:val="none"/>
              </w:rPr>
              <w:t>施工噪声</w:t>
            </w: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04"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03"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6"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61" w:type="dxa"/>
            <w:noWrap w:val="0"/>
            <w:vAlign w:val="center"/>
          </w:tcPr>
          <w:p>
            <w:pPr>
              <w:pStyle w:val="73"/>
              <w:rPr>
                <w:rFonts w:hint="eastAsia"/>
                <w:color w:val="auto"/>
                <w:u w:val="none"/>
              </w:rPr>
            </w:pPr>
            <w:r>
              <w:rPr>
                <w:rFonts w:hint="eastAsia"/>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3"/>
              <w:rPr>
                <w:rFonts w:hint="eastAsia"/>
                <w:color w:val="auto"/>
                <w:u w:val="none"/>
              </w:rPr>
            </w:pPr>
          </w:p>
        </w:tc>
        <w:tc>
          <w:tcPr>
            <w:tcW w:w="1562" w:type="dxa"/>
            <w:noWrap w:val="0"/>
            <w:vAlign w:val="center"/>
          </w:tcPr>
          <w:p>
            <w:pPr>
              <w:pStyle w:val="73"/>
              <w:rPr>
                <w:rFonts w:hint="eastAsia"/>
                <w:color w:val="auto"/>
                <w:u w:val="none"/>
              </w:rPr>
            </w:pPr>
            <w:r>
              <w:rPr>
                <w:rFonts w:hint="eastAsia"/>
                <w:color w:val="auto"/>
                <w:u w:val="none"/>
              </w:rPr>
              <w:t>施工扬尘</w:t>
            </w: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504"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03"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536"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61" w:type="dxa"/>
            <w:noWrap w:val="0"/>
            <w:vAlign w:val="center"/>
          </w:tcPr>
          <w:p>
            <w:pPr>
              <w:pStyle w:val="73"/>
              <w:rPr>
                <w:rFonts w:hint="eastAsia"/>
                <w:color w:val="auto"/>
                <w:u w:val="none"/>
              </w:rPr>
            </w:pPr>
            <w:r>
              <w:rPr>
                <w:rFonts w:hint="eastAsia"/>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restart"/>
            <w:noWrap w:val="0"/>
            <w:vAlign w:val="center"/>
          </w:tcPr>
          <w:p>
            <w:pPr>
              <w:pStyle w:val="73"/>
              <w:rPr>
                <w:rFonts w:hint="eastAsia"/>
                <w:color w:val="auto"/>
                <w:u w:val="none"/>
              </w:rPr>
            </w:pPr>
            <w:r>
              <w:rPr>
                <w:rFonts w:hint="eastAsia"/>
                <w:color w:val="auto"/>
                <w:u w:val="none"/>
              </w:rPr>
              <w:t>运营期</w:t>
            </w:r>
          </w:p>
        </w:tc>
        <w:tc>
          <w:tcPr>
            <w:tcW w:w="1562" w:type="dxa"/>
            <w:noWrap w:val="0"/>
            <w:vAlign w:val="center"/>
          </w:tcPr>
          <w:p>
            <w:pPr>
              <w:pStyle w:val="73"/>
              <w:rPr>
                <w:rFonts w:hint="eastAsia"/>
                <w:color w:val="auto"/>
                <w:u w:val="none"/>
              </w:rPr>
            </w:pPr>
            <w:r>
              <w:rPr>
                <w:rFonts w:hint="eastAsia"/>
                <w:color w:val="auto"/>
                <w:u w:val="none"/>
              </w:rPr>
              <w:t>水环境</w:t>
            </w:r>
          </w:p>
        </w:tc>
        <w:tc>
          <w:tcPr>
            <w:tcW w:w="535"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p>
        </w:tc>
        <w:tc>
          <w:tcPr>
            <w:tcW w:w="504"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03"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535"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r>
              <w:rPr>
                <w:rFonts w:hint="eastAsia"/>
                <w:color w:val="auto"/>
                <w:u w:val="none"/>
              </w:rPr>
              <w:t>+</w:t>
            </w:r>
          </w:p>
        </w:tc>
        <w:tc>
          <w:tcPr>
            <w:tcW w:w="536"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r>
              <w:rPr>
                <w:rFonts w:hint="eastAsia"/>
                <w:color w:val="auto"/>
                <w:u w:val="none"/>
              </w:rPr>
              <w:t>+</w:t>
            </w:r>
          </w:p>
        </w:tc>
        <w:tc>
          <w:tcPr>
            <w:tcW w:w="561" w:type="dxa"/>
            <w:noWrap w:val="0"/>
            <w:vAlign w:val="center"/>
          </w:tcPr>
          <w:p>
            <w:pPr>
              <w:pStyle w:val="73"/>
              <w:rPr>
                <w:rFonts w:hint="eastAsia"/>
                <w:color w:val="auto"/>
                <w:u w:val="none"/>
              </w:rPr>
            </w:pPr>
            <w:r>
              <w:rPr>
                <w:rFonts w:hint="eastAsia"/>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3"/>
              <w:rPr>
                <w:rFonts w:hint="eastAsia"/>
                <w:color w:val="auto"/>
                <w:u w:val="none"/>
              </w:rPr>
            </w:pPr>
          </w:p>
        </w:tc>
        <w:tc>
          <w:tcPr>
            <w:tcW w:w="1562" w:type="dxa"/>
            <w:noWrap w:val="0"/>
            <w:vAlign w:val="center"/>
          </w:tcPr>
          <w:p>
            <w:pPr>
              <w:pStyle w:val="73"/>
              <w:rPr>
                <w:rFonts w:hint="eastAsia"/>
                <w:color w:val="auto"/>
                <w:u w:val="none"/>
              </w:rPr>
            </w:pPr>
            <w:r>
              <w:rPr>
                <w:rFonts w:hint="eastAsia"/>
                <w:color w:val="auto"/>
                <w:u w:val="none"/>
              </w:rPr>
              <w:t>臭气排放</w:t>
            </w: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504"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03"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6"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p>
        </w:tc>
        <w:tc>
          <w:tcPr>
            <w:tcW w:w="561" w:type="dxa"/>
            <w:noWrap w:val="0"/>
            <w:vAlign w:val="center"/>
          </w:tcPr>
          <w:p>
            <w:pPr>
              <w:pStyle w:val="73"/>
              <w:rPr>
                <w:rFonts w:hint="eastAsia"/>
                <w:color w:val="auto"/>
                <w:u w:val="none"/>
              </w:rPr>
            </w:pPr>
            <w:r>
              <w:rPr>
                <w:rFonts w:hint="eastAsia"/>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3"/>
              <w:rPr>
                <w:rFonts w:hint="eastAsia"/>
                <w:color w:val="auto"/>
                <w:u w:val="none"/>
              </w:rPr>
            </w:pPr>
          </w:p>
        </w:tc>
        <w:tc>
          <w:tcPr>
            <w:tcW w:w="1562" w:type="dxa"/>
            <w:noWrap w:val="0"/>
            <w:vAlign w:val="center"/>
          </w:tcPr>
          <w:p>
            <w:pPr>
              <w:pStyle w:val="73"/>
              <w:rPr>
                <w:rFonts w:hint="eastAsia"/>
                <w:color w:val="auto"/>
                <w:u w:val="none"/>
              </w:rPr>
            </w:pPr>
            <w:r>
              <w:rPr>
                <w:rFonts w:hint="eastAsia"/>
                <w:color w:val="auto"/>
                <w:u w:val="none"/>
              </w:rPr>
              <w:t>设备噪声</w:t>
            </w: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04"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03"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6"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p>
        </w:tc>
        <w:tc>
          <w:tcPr>
            <w:tcW w:w="561" w:type="dxa"/>
            <w:noWrap w:val="0"/>
            <w:vAlign w:val="center"/>
          </w:tcPr>
          <w:p>
            <w:pPr>
              <w:pStyle w:val="73"/>
              <w:rPr>
                <w:rFonts w:hint="eastAsia"/>
                <w:color w:val="auto"/>
                <w:u w:val="none"/>
              </w:rPr>
            </w:pPr>
            <w:r>
              <w:rPr>
                <w:rFonts w:hint="eastAsia"/>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3"/>
              <w:rPr>
                <w:rFonts w:hint="eastAsia"/>
                <w:color w:val="auto"/>
                <w:u w:val="none"/>
              </w:rPr>
            </w:pPr>
          </w:p>
        </w:tc>
        <w:tc>
          <w:tcPr>
            <w:tcW w:w="1562" w:type="dxa"/>
            <w:noWrap w:val="0"/>
            <w:vAlign w:val="center"/>
          </w:tcPr>
          <w:p>
            <w:pPr>
              <w:pStyle w:val="73"/>
              <w:rPr>
                <w:rFonts w:hint="eastAsia"/>
                <w:color w:val="auto"/>
                <w:u w:val="none"/>
              </w:rPr>
            </w:pPr>
            <w:r>
              <w:rPr>
                <w:rFonts w:hint="eastAsia"/>
                <w:color w:val="auto"/>
                <w:u w:val="none"/>
              </w:rPr>
              <w:t>污泥排放</w:t>
            </w:r>
          </w:p>
        </w:tc>
        <w:tc>
          <w:tcPr>
            <w:tcW w:w="535"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p>
        </w:tc>
        <w:tc>
          <w:tcPr>
            <w:tcW w:w="504"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eastAsia="宋体"/>
                <w:color w:val="auto"/>
                <w:u w:val="none"/>
                <w:lang w:eastAsia="zh-CN"/>
              </w:rPr>
            </w:pPr>
            <w:r>
              <w:rPr>
                <w:rFonts w:hint="eastAsia"/>
                <w:color w:val="auto"/>
                <w:u w:val="none"/>
                <w:lang w:eastAsia="zh-CN"/>
              </w:rPr>
              <w:t>—</w:t>
            </w:r>
          </w:p>
        </w:tc>
        <w:tc>
          <w:tcPr>
            <w:tcW w:w="503"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536"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61" w:type="dxa"/>
            <w:noWrap w:val="0"/>
            <w:vAlign w:val="center"/>
          </w:tcPr>
          <w:p>
            <w:pPr>
              <w:pStyle w:val="73"/>
              <w:rPr>
                <w:rFonts w:hint="eastAsia"/>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3"/>
              <w:rPr>
                <w:rFonts w:hint="eastAsia"/>
                <w:color w:val="auto"/>
                <w:u w:val="none"/>
              </w:rPr>
            </w:pPr>
          </w:p>
        </w:tc>
        <w:tc>
          <w:tcPr>
            <w:tcW w:w="1562" w:type="dxa"/>
            <w:noWrap w:val="0"/>
            <w:vAlign w:val="center"/>
          </w:tcPr>
          <w:p>
            <w:pPr>
              <w:pStyle w:val="73"/>
              <w:rPr>
                <w:rFonts w:hint="eastAsia"/>
                <w:color w:val="auto"/>
                <w:u w:val="none"/>
              </w:rPr>
            </w:pPr>
            <w:r>
              <w:rPr>
                <w:rFonts w:hint="eastAsia"/>
                <w:color w:val="auto"/>
                <w:u w:val="none"/>
              </w:rPr>
              <w:t>环境</w:t>
            </w:r>
            <w:r>
              <w:rPr>
                <w:rFonts w:hint="eastAsia"/>
                <w:color w:val="auto"/>
                <w:u w:val="none"/>
                <w:lang w:eastAsia="zh-CN"/>
              </w:rPr>
              <w:t>风</w:t>
            </w:r>
            <w:r>
              <w:rPr>
                <w:rFonts w:hint="eastAsia"/>
                <w:color w:val="auto"/>
                <w:u w:val="none"/>
              </w:rPr>
              <w:t>险</w:t>
            </w:r>
          </w:p>
        </w:tc>
        <w:tc>
          <w:tcPr>
            <w:tcW w:w="535"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p>
        </w:tc>
        <w:tc>
          <w:tcPr>
            <w:tcW w:w="504"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03"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r>
              <w:rPr>
                <w:rFonts w:hint="eastAsia"/>
                <w:color w:val="auto"/>
                <w:u w:val="none"/>
              </w:rPr>
              <w:t>—</w:t>
            </w:r>
          </w:p>
        </w:tc>
        <w:tc>
          <w:tcPr>
            <w:tcW w:w="535" w:type="dxa"/>
            <w:noWrap w:val="0"/>
            <w:vAlign w:val="center"/>
          </w:tcPr>
          <w:p>
            <w:pPr>
              <w:pStyle w:val="73"/>
              <w:rPr>
                <w:rFonts w:hint="eastAsia"/>
                <w:color w:val="auto"/>
                <w:u w:val="none"/>
              </w:rPr>
            </w:pPr>
          </w:p>
        </w:tc>
        <w:tc>
          <w:tcPr>
            <w:tcW w:w="457" w:type="dxa"/>
            <w:noWrap w:val="0"/>
            <w:vAlign w:val="center"/>
          </w:tcPr>
          <w:p>
            <w:pPr>
              <w:pStyle w:val="73"/>
              <w:rPr>
                <w:rFonts w:hint="eastAsia"/>
                <w:color w:val="auto"/>
                <w:u w:val="none"/>
              </w:rPr>
            </w:pPr>
          </w:p>
        </w:tc>
        <w:tc>
          <w:tcPr>
            <w:tcW w:w="536" w:type="dxa"/>
            <w:noWrap w:val="0"/>
            <w:vAlign w:val="center"/>
          </w:tcPr>
          <w:p>
            <w:pPr>
              <w:pStyle w:val="73"/>
              <w:rPr>
                <w:rFonts w:hint="eastAsia"/>
                <w:color w:val="auto"/>
                <w:u w:val="none"/>
              </w:rPr>
            </w:pPr>
            <w:r>
              <w:rPr>
                <w:rFonts w:hint="eastAsia"/>
                <w:color w:val="auto"/>
                <w:u w:val="none"/>
              </w:rPr>
              <w:t>—</w:t>
            </w:r>
          </w:p>
        </w:tc>
        <w:tc>
          <w:tcPr>
            <w:tcW w:w="457" w:type="dxa"/>
            <w:noWrap w:val="0"/>
            <w:vAlign w:val="center"/>
          </w:tcPr>
          <w:p>
            <w:pPr>
              <w:pStyle w:val="73"/>
              <w:rPr>
                <w:rFonts w:hint="eastAsia"/>
                <w:color w:val="auto"/>
                <w:u w:val="none"/>
              </w:rPr>
            </w:pPr>
          </w:p>
        </w:tc>
        <w:tc>
          <w:tcPr>
            <w:tcW w:w="561" w:type="dxa"/>
            <w:noWrap w:val="0"/>
            <w:vAlign w:val="center"/>
          </w:tcPr>
          <w:p>
            <w:pPr>
              <w:pStyle w:val="73"/>
              <w:rPr>
                <w:rFonts w:hint="eastAsia"/>
                <w:color w:val="auto"/>
                <w:u w:val="none"/>
              </w:rPr>
            </w:pPr>
          </w:p>
        </w:tc>
      </w:tr>
    </w:tbl>
    <w:p>
      <w:pPr>
        <w:ind w:firstLine="422"/>
        <w:rPr>
          <w:b/>
          <w:color w:val="auto"/>
          <w:kern w:val="0"/>
          <w:sz w:val="21"/>
          <w:szCs w:val="21"/>
          <w:u w:val="none"/>
        </w:rPr>
      </w:pPr>
      <w:r>
        <w:rPr>
          <w:b/>
          <w:color w:val="auto"/>
          <w:kern w:val="0"/>
          <w:sz w:val="21"/>
          <w:szCs w:val="21"/>
          <w:u w:val="none"/>
        </w:rPr>
        <w:t>（注：</w:t>
      </w:r>
      <w:r>
        <w:rPr>
          <w:rFonts w:eastAsia="Times New Roman"/>
          <w:b/>
          <w:color w:val="auto"/>
          <w:kern w:val="0"/>
          <w:sz w:val="21"/>
          <w:szCs w:val="21"/>
          <w:u w:val="none"/>
        </w:rPr>
        <w:t>—</w:t>
      </w:r>
      <w:r>
        <w:rPr>
          <w:b/>
          <w:color w:val="auto"/>
          <w:kern w:val="0"/>
          <w:sz w:val="21"/>
          <w:szCs w:val="21"/>
          <w:u w:val="none"/>
        </w:rPr>
        <w:t>代表不利影响</w:t>
      </w:r>
      <w:r>
        <w:rPr>
          <w:rFonts w:hint="eastAsia"/>
          <w:b/>
          <w:color w:val="auto"/>
          <w:kern w:val="0"/>
          <w:sz w:val="21"/>
          <w:szCs w:val="21"/>
          <w:u w:val="none"/>
        </w:rPr>
        <w:t xml:space="preserve">  </w:t>
      </w:r>
      <w:r>
        <w:rPr>
          <w:rFonts w:eastAsia="Times New Roman"/>
          <w:b/>
          <w:color w:val="auto"/>
          <w:kern w:val="0"/>
          <w:sz w:val="21"/>
          <w:szCs w:val="21"/>
          <w:u w:val="none"/>
        </w:rPr>
        <w:t>+</w:t>
      </w:r>
      <w:r>
        <w:rPr>
          <w:b/>
          <w:color w:val="auto"/>
          <w:kern w:val="0"/>
          <w:sz w:val="21"/>
          <w:szCs w:val="21"/>
          <w:u w:val="none"/>
        </w:rPr>
        <w:t>代表有利影响）</w:t>
      </w:r>
    </w:p>
    <w:p>
      <w:pPr>
        <w:pStyle w:val="76"/>
        <w:spacing w:before="163" w:after="163"/>
        <w:rPr>
          <w:rFonts w:hint="eastAsia"/>
          <w:color w:val="auto"/>
          <w:kern w:val="0"/>
          <w:u w:val="none"/>
        </w:rPr>
      </w:pPr>
      <w:bookmarkStart w:id="57" w:name="_Toc11026"/>
      <w:r>
        <w:rPr>
          <w:color w:val="auto"/>
          <w:kern w:val="0"/>
          <w:u w:val="none"/>
        </w:rPr>
        <w:t>1.</w:t>
      </w:r>
      <w:r>
        <w:rPr>
          <w:rFonts w:hint="eastAsia"/>
          <w:color w:val="auto"/>
          <w:kern w:val="0"/>
          <w:u w:val="none"/>
        </w:rPr>
        <w:t>5 评价因子</w:t>
      </w:r>
      <w:bookmarkEnd w:id="56"/>
      <w:bookmarkEnd w:id="57"/>
    </w:p>
    <w:p>
      <w:pPr>
        <w:tabs>
          <w:tab w:val="left" w:pos="3138"/>
        </w:tabs>
        <w:ind w:firstLine="480"/>
        <w:rPr>
          <w:rFonts w:hint="eastAsia"/>
          <w:color w:val="auto"/>
          <w:u w:val="none"/>
        </w:rPr>
      </w:pPr>
      <w:r>
        <w:rPr>
          <w:rFonts w:hint="eastAsia"/>
          <w:color w:val="auto"/>
          <w:kern w:val="0"/>
          <w:u w:val="none"/>
        </w:rPr>
        <w:t>根据项</w:t>
      </w:r>
      <w:r>
        <w:rPr>
          <w:rFonts w:hint="eastAsia"/>
          <w:color w:val="auto"/>
          <w:u w:val="none"/>
        </w:rPr>
        <w:t>目的污染物排放特征及所在区域的环境特征，确定本次评价因子见下表1.5-1。</w:t>
      </w:r>
    </w:p>
    <w:p>
      <w:pPr>
        <w:pStyle w:val="124"/>
        <w:bidi w:val="0"/>
        <w:rPr>
          <w:rFonts w:hint="eastAsia"/>
        </w:rPr>
      </w:pPr>
      <w:r>
        <w:rPr>
          <w:rFonts w:hint="eastAsia"/>
        </w:rPr>
        <w:t>表1.5-1  项目环境评价因子</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3686"/>
        <w:gridCol w:w="1814"/>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评价项目</w:t>
            </w:r>
          </w:p>
        </w:tc>
        <w:tc>
          <w:tcPr>
            <w:tcW w:w="368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现状调查因子</w:t>
            </w:r>
          </w:p>
        </w:tc>
        <w:tc>
          <w:tcPr>
            <w:tcW w:w="1814"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环境评价因子</w:t>
            </w:r>
          </w:p>
        </w:tc>
        <w:tc>
          <w:tcPr>
            <w:tcW w:w="161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总量控制因子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大气</w:t>
            </w:r>
          </w:p>
        </w:tc>
        <w:tc>
          <w:tcPr>
            <w:tcW w:w="3686" w:type="dxa"/>
            <w:noWrap w:val="0"/>
            <w:vAlign w:val="center"/>
          </w:tcPr>
          <w:p>
            <w:pPr>
              <w:pStyle w:val="73"/>
              <w:rPr>
                <w:rFonts w:hint="eastAsia" w:ascii="Times New Roman" w:hAnsi="Times New Roman" w:eastAsia="宋体" w:cs="Times New Roman"/>
                <w:color w:val="auto"/>
                <w:u w:val="none"/>
                <w:vertAlign w:val="subscript"/>
                <w:lang w:eastAsia="zh-CN"/>
              </w:rPr>
            </w:pPr>
            <w:r>
              <w:rPr>
                <w:rFonts w:hint="default" w:ascii="Times New Roman" w:hAnsi="Times New Roman" w:cs="Times New Roman"/>
                <w:color w:val="auto"/>
                <w:u w:val="none"/>
              </w:rPr>
              <w:t>PM</w:t>
            </w:r>
            <w:r>
              <w:rPr>
                <w:rFonts w:hint="default" w:ascii="Times New Roman" w:hAnsi="Times New Roman" w:cs="Times New Roman"/>
                <w:color w:val="auto"/>
                <w:u w:val="none"/>
                <w:vertAlign w:val="subscript"/>
              </w:rPr>
              <w:t>2.5</w:t>
            </w:r>
            <w:r>
              <w:rPr>
                <w:rFonts w:hint="default" w:ascii="Times New Roman" w:hAnsi="Times New Roman" w:cs="Times New Roman"/>
                <w:color w:val="auto"/>
                <w:u w:val="none"/>
              </w:rPr>
              <w:t>、PM</w:t>
            </w:r>
            <w:r>
              <w:rPr>
                <w:rFonts w:hint="default" w:ascii="Times New Roman" w:hAnsi="Times New Roman" w:cs="Times New Roman"/>
                <w:color w:val="auto"/>
                <w:u w:val="none"/>
                <w:vertAlign w:val="subscript"/>
              </w:rPr>
              <w:t>10</w:t>
            </w:r>
            <w:r>
              <w:rPr>
                <w:rFonts w:hint="default" w:ascii="Times New Roman" w:hAnsi="Times New Roman" w:cs="Times New Roman"/>
                <w:color w:val="auto"/>
                <w:u w:val="none"/>
              </w:rPr>
              <w:t>、SO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、NO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、CO、O</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、TSP、NH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、H</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S</w:t>
            </w:r>
            <w:r>
              <w:rPr>
                <w:rFonts w:hint="eastAsia" w:ascii="Times New Roman" w:hAnsi="Times New Roman" w:cs="Times New Roman"/>
                <w:color w:val="auto"/>
                <w:u w:val="none"/>
                <w:lang w:eastAsia="zh-CN"/>
              </w:rPr>
              <w:t>、臭气浓度</w:t>
            </w:r>
          </w:p>
        </w:tc>
        <w:tc>
          <w:tcPr>
            <w:tcW w:w="1814" w:type="dxa"/>
            <w:noWrap w:val="0"/>
            <w:vAlign w:val="center"/>
          </w:tcPr>
          <w:p>
            <w:pPr>
              <w:pStyle w:val="73"/>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、H</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S、TSP</w:t>
            </w:r>
          </w:p>
        </w:tc>
        <w:tc>
          <w:tcPr>
            <w:tcW w:w="161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地表水</w:t>
            </w:r>
          </w:p>
        </w:tc>
        <w:tc>
          <w:tcPr>
            <w:tcW w:w="368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水温、pH、溶解氧、高锰酸盐指数、COD、BOD</w:t>
            </w:r>
            <w:r>
              <w:rPr>
                <w:rFonts w:hint="default" w:ascii="Times New Roman" w:hAnsi="Times New Roman" w:cs="Times New Roman"/>
                <w:color w:val="auto"/>
                <w:u w:val="none"/>
                <w:vertAlign w:val="subscript"/>
              </w:rPr>
              <w:t>5</w:t>
            </w:r>
            <w:r>
              <w:rPr>
                <w:rFonts w:hint="default" w:ascii="Times New Roman" w:hAnsi="Times New Roman" w:cs="Times New Roman"/>
                <w:color w:val="auto"/>
                <w:u w:val="none"/>
              </w:rPr>
              <w:t>、氨氮、总氮、总磷、铜、锌、石油类、阴离子表面活性剂、粪大肠菌群、砷、铅、铬（六价）、镉、硫化物</w:t>
            </w:r>
          </w:p>
        </w:tc>
        <w:tc>
          <w:tcPr>
            <w:tcW w:w="1814"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-N、TP</w:t>
            </w:r>
          </w:p>
        </w:tc>
        <w:tc>
          <w:tcPr>
            <w:tcW w:w="161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地下水</w:t>
            </w:r>
          </w:p>
        </w:tc>
        <w:tc>
          <w:tcPr>
            <w:tcW w:w="3686" w:type="dxa"/>
            <w:noWrap w:val="0"/>
            <w:vAlign w:val="center"/>
          </w:tcPr>
          <w:p>
            <w:pPr>
              <w:pStyle w:val="73"/>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pH、氨氮、耗氧量、硝酸盐、硫酸盐、氯化物、镉、铬（六价）、铅、砷、镍、铜、锌</w:t>
            </w:r>
            <w:r>
              <w:rPr>
                <w:rFonts w:hint="eastAsia" w:cs="Times New Roman"/>
                <w:color w:val="auto"/>
                <w:u w:val="none"/>
                <w:lang w:eastAsia="zh-CN"/>
              </w:rPr>
              <w:t>、八大离子</w:t>
            </w:r>
          </w:p>
        </w:tc>
        <w:tc>
          <w:tcPr>
            <w:tcW w:w="1814" w:type="dxa"/>
            <w:noWrap w:val="0"/>
            <w:vAlign w:val="center"/>
          </w:tcPr>
          <w:p>
            <w:pPr>
              <w:pStyle w:val="73"/>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w:t>
            </w:r>
          </w:p>
        </w:tc>
        <w:tc>
          <w:tcPr>
            <w:tcW w:w="161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噪声</w:t>
            </w:r>
          </w:p>
        </w:tc>
        <w:tc>
          <w:tcPr>
            <w:tcW w:w="368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等效连续A声级</w:t>
            </w:r>
          </w:p>
        </w:tc>
        <w:tc>
          <w:tcPr>
            <w:tcW w:w="1814"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等效连续A声级</w:t>
            </w:r>
          </w:p>
        </w:tc>
        <w:tc>
          <w:tcPr>
            <w:tcW w:w="161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土壤</w:t>
            </w:r>
          </w:p>
        </w:tc>
        <w:tc>
          <w:tcPr>
            <w:tcW w:w="3686" w:type="dxa"/>
            <w:noWrap w:val="0"/>
            <w:vAlign w:val="center"/>
          </w:tcPr>
          <w:p>
            <w:pPr>
              <w:pStyle w:val="73"/>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《土壤环境质量 建设用地土壤污染风险管控标准（试行）》（GB36600-2018）45项基本因子</w:t>
            </w:r>
          </w:p>
        </w:tc>
        <w:tc>
          <w:tcPr>
            <w:tcW w:w="1814"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61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固体废弃物</w:t>
            </w:r>
          </w:p>
        </w:tc>
        <w:tc>
          <w:tcPr>
            <w:tcW w:w="368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建筑垃圾、生活垃圾、土石方</w:t>
            </w:r>
          </w:p>
        </w:tc>
        <w:tc>
          <w:tcPr>
            <w:tcW w:w="1814"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建筑垃圾、生活垃圾、土石方</w:t>
            </w:r>
          </w:p>
        </w:tc>
        <w:tc>
          <w:tcPr>
            <w:tcW w:w="161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生态环境</w:t>
            </w:r>
          </w:p>
        </w:tc>
        <w:tc>
          <w:tcPr>
            <w:tcW w:w="3686" w:type="dxa"/>
            <w:noWrap w:val="0"/>
            <w:vAlign w:val="center"/>
          </w:tcPr>
          <w:p>
            <w:pPr>
              <w:pStyle w:val="13"/>
              <w:ind w:firstLine="0" w:firstLineChars="0"/>
              <w:rPr>
                <w:rFonts w:hint="default" w:ascii="Times New Roman" w:hAnsi="Times New Roman" w:eastAsia="宋体" w:cs="Times New Roman"/>
                <w:b w:val="0"/>
                <w:color w:val="auto"/>
                <w:kern w:val="0"/>
                <w:sz w:val="21"/>
                <w:szCs w:val="21"/>
                <w:u w:val="single"/>
                <w:lang w:val="en-US" w:eastAsia="zh-CN" w:bidi="ar-SA"/>
              </w:rPr>
            </w:pPr>
            <w:r>
              <w:rPr>
                <w:rFonts w:hint="eastAsia" w:ascii="Times New Roman" w:hAnsi="Times New Roman" w:eastAsia="宋体" w:cs="Times New Roman"/>
                <w:b w:val="0"/>
                <w:color w:val="auto"/>
                <w:kern w:val="0"/>
                <w:sz w:val="21"/>
                <w:szCs w:val="21"/>
                <w:u w:val="single"/>
                <w:lang w:val="en-US" w:eastAsia="zh-CN" w:bidi="ar-SA"/>
              </w:rPr>
              <w:t>珍稀动植物、土地利用现状、植被类型分布、生物量等</w:t>
            </w:r>
          </w:p>
        </w:tc>
        <w:tc>
          <w:tcPr>
            <w:tcW w:w="1814" w:type="dxa"/>
            <w:noWrap w:val="0"/>
            <w:vAlign w:val="center"/>
          </w:tcPr>
          <w:p>
            <w:pPr>
              <w:pStyle w:val="13"/>
              <w:ind w:firstLine="0" w:firstLineChars="0"/>
              <w:rPr>
                <w:rFonts w:hint="default" w:ascii="Times New Roman" w:hAnsi="Times New Roman" w:eastAsia="宋体" w:cs="Times New Roman"/>
                <w:b w:val="0"/>
                <w:color w:val="auto"/>
                <w:kern w:val="0"/>
                <w:sz w:val="21"/>
                <w:szCs w:val="21"/>
                <w:u w:val="single"/>
                <w:lang w:val="en-US" w:eastAsia="zh-CN" w:bidi="ar-SA"/>
              </w:rPr>
            </w:pPr>
            <w:r>
              <w:rPr>
                <w:rFonts w:hint="eastAsia" w:ascii="Times New Roman" w:hAnsi="Times New Roman" w:eastAsia="宋体" w:cs="Times New Roman"/>
                <w:b w:val="0"/>
                <w:color w:val="auto"/>
                <w:kern w:val="0"/>
                <w:sz w:val="21"/>
                <w:szCs w:val="21"/>
                <w:u w:val="single"/>
                <w:lang w:val="en-US" w:eastAsia="zh-CN" w:bidi="ar-SA"/>
              </w:rPr>
              <w:t>生物量、生态功能</w:t>
            </w:r>
          </w:p>
        </w:tc>
        <w:tc>
          <w:tcPr>
            <w:tcW w:w="161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pPr>
        <w:pStyle w:val="76"/>
        <w:spacing w:before="163" w:after="163"/>
        <w:rPr>
          <w:rFonts w:hint="eastAsia"/>
          <w:color w:val="auto"/>
          <w:kern w:val="0"/>
          <w:u w:val="none"/>
        </w:rPr>
      </w:pPr>
      <w:bookmarkStart w:id="58" w:name="_Toc489350110"/>
      <w:bookmarkStart w:id="59" w:name="_Toc489349341"/>
      <w:bookmarkStart w:id="60" w:name="_Toc15988"/>
      <w:r>
        <w:rPr>
          <w:rFonts w:hint="eastAsia"/>
          <w:color w:val="auto"/>
          <w:kern w:val="0"/>
          <w:u w:val="none"/>
        </w:rPr>
        <w:t>1.6 评价标准</w:t>
      </w:r>
      <w:bookmarkEnd w:id="58"/>
      <w:bookmarkEnd w:id="59"/>
      <w:bookmarkEnd w:id="60"/>
    </w:p>
    <w:p>
      <w:pPr>
        <w:pStyle w:val="6"/>
        <w:bidi w:val="0"/>
      </w:pPr>
      <w:bookmarkStart w:id="61" w:name="_Toc460351417"/>
      <w:bookmarkStart w:id="62" w:name="_Toc489350111"/>
      <w:bookmarkStart w:id="63" w:name="_Toc489349342"/>
      <w:bookmarkStart w:id="64" w:name="_Toc441075606"/>
      <w:bookmarkStart w:id="65" w:name="_Toc489350212"/>
      <w:bookmarkStart w:id="66" w:name="_Toc489349955"/>
      <w:r>
        <w:rPr>
          <w:rFonts w:hint="eastAsia"/>
        </w:rPr>
        <w:t>1.6.1</w:t>
      </w:r>
      <w:r>
        <w:t xml:space="preserve">  </w:t>
      </w:r>
      <w:r>
        <w:rPr>
          <w:rFonts w:hint="eastAsia"/>
        </w:rPr>
        <w:t>环境质量标准</w:t>
      </w:r>
      <w:bookmarkEnd w:id="61"/>
      <w:bookmarkEnd w:id="62"/>
      <w:bookmarkEnd w:id="63"/>
      <w:bookmarkEnd w:id="64"/>
      <w:bookmarkEnd w:id="65"/>
      <w:bookmarkEnd w:id="66"/>
    </w:p>
    <w:p>
      <w:pPr>
        <w:pStyle w:val="69"/>
        <w:bidi w:val="0"/>
        <w:rPr>
          <w:rFonts w:hint="eastAsia"/>
        </w:rPr>
      </w:pPr>
      <w:bookmarkStart w:id="67" w:name="_Toc460351418"/>
      <w:bookmarkStart w:id="68" w:name="_Toc489350213"/>
      <w:bookmarkStart w:id="69" w:name="_Toc489349956"/>
      <w:bookmarkStart w:id="70" w:name="_Toc489350112"/>
      <w:r>
        <w:rPr>
          <w:rFonts w:hint="eastAsia"/>
        </w:rPr>
        <w:t>1</w:t>
      </w:r>
      <w:r>
        <w:t>.</w:t>
      </w:r>
      <w:r>
        <w:rPr>
          <w:rFonts w:hint="eastAsia"/>
        </w:rPr>
        <w:t>6</w:t>
      </w:r>
      <w:r>
        <w:t xml:space="preserve">.1.1  </w:t>
      </w:r>
      <w:r>
        <w:rPr>
          <w:rFonts w:hint="eastAsia"/>
        </w:rPr>
        <w:t>环境空气质量标准</w:t>
      </w:r>
      <w:bookmarkEnd w:id="67"/>
      <w:bookmarkEnd w:id="68"/>
      <w:bookmarkEnd w:id="69"/>
      <w:bookmarkEnd w:id="70"/>
    </w:p>
    <w:p>
      <w:pPr>
        <w:ind w:firstLine="480"/>
        <w:jc w:val="both"/>
        <w:rPr>
          <w:rFonts w:hint="eastAsia"/>
          <w:b/>
          <w:color w:val="auto"/>
          <w:kern w:val="0"/>
          <w:u w:val="none"/>
        </w:rPr>
      </w:pPr>
      <w:r>
        <w:rPr>
          <w:rFonts w:hint="eastAsia"/>
          <w:color w:val="auto"/>
          <w:kern w:val="0"/>
          <w:u w:val="none"/>
        </w:rPr>
        <w:t>评价区域环境空气执行《环境空气质量标准》</w:t>
      </w:r>
      <w:r>
        <w:rPr>
          <w:color w:val="auto"/>
          <w:kern w:val="0"/>
          <w:u w:val="none"/>
        </w:rPr>
        <w:t>（GB3095-2012）</w:t>
      </w:r>
      <w:r>
        <w:rPr>
          <w:rFonts w:hint="eastAsia"/>
          <w:color w:val="auto"/>
          <w:kern w:val="0"/>
          <w:u w:val="none"/>
        </w:rPr>
        <w:t>中的二级标准，NH</w:t>
      </w:r>
      <w:r>
        <w:rPr>
          <w:rFonts w:hint="eastAsia"/>
          <w:color w:val="auto"/>
          <w:kern w:val="0"/>
          <w:u w:val="none"/>
          <w:vertAlign w:val="subscript"/>
        </w:rPr>
        <w:t>3</w:t>
      </w:r>
      <w:r>
        <w:rPr>
          <w:rFonts w:hint="eastAsia"/>
          <w:color w:val="auto"/>
          <w:kern w:val="0"/>
          <w:u w:val="none"/>
        </w:rPr>
        <w:t>、H</w:t>
      </w:r>
      <w:r>
        <w:rPr>
          <w:rFonts w:hint="eastAsia"/>
          <w:color w:val="auto"/>
          <w:kern w:val="0"/>
          <w:u w:val="none"/>
          <w:vertAlign w:val="subscript"/>
        </w:rPr>
        <w:t>2</w:t>
      </w:r>
      <w:r>
        <w:rPr>
          <w:rFonts w:hint="eastAsia"/>
          <w:color w:val="auto"/>
          <w:kern w:val="0"/>
          <w:u w:val="none"/>
        </w:rPr>
        <w:t>S执行《环境影响评价技术导则—大气环境》（HJ2.2-2018）附录D中质量浓度参考限值，具体标准限值见表</w:t>
      </w:r>
      <w:r>
        <w:rPr>
          <w:color w:val="auto"/>
          <w:kern w:val="0"/>
          <w:u w:val="none"/>
        </w:rPr>
        <w:t>1.</w:t>
      </w:r>
      <w:r>
        <w:rPr>
          <w:rFonts w:hint="eastAsia"/>
          <w:color w:val="auto"/>
          <w:kern w:val="0"/>
          <w:u w:val="none"/>
        </w:rPr>
        <w:t>6</w:t>
      </w:r>
      <w:r>
        <w:rPr>
          <w:color w:val="auto"/>
          <w:kern w:val="0"/>
          <w:u w:val="none"/>
        </w:rPr>
        <w:t>-1</w:t>
      </w:r>
      <w:r>
        <w:rPr>
          <w:rFonts w:hint="eastAsia"/>
          <w:color w:val="auto"/>
          <w:kern w:val="0"/>
          <w:u w:val="none"/>
        </w:rPr>
        <w:t>。</w:t>
      </w:r>
    </w:p>
    <w:p>
      <w:pPr>
        <w:ind w:firstLine="422"/>
        <w:jc w:val="center"/>
        <w:rPr>
          <w:b/>
          <w:color w:val="auto"/>
          <w:kern w:val="0"/>
          <w:sz w:val="21"/>
          <w:szCs w:val="21"/>
          <w:u w:val="none"/>
          <w:vertAlign w:val="superscript"/>
        </w:rPr>
      </w:pPr>
      <w:r>
        <w:rPr>
          <w:rStyle w:val="129"/>
        </w:rPr>
        <w:t>表1.</w:t>
      </w:r>
      <w:r>
        <w:rPr>
          <w:rStyle w:val="129"/>
          <w:rFonts w:hint="eastAsia"/>
        </w:rPr>
        <w:t>6</w:t>
      </w:r>
      <w:r>
        <w:rPr>
          <w:rStyle w:val="129"/>
        </w:rPr>
        <w:t>-1  环境空气质量标准</w:t>
      </w:r>
      <w:r>
        <w:rPr>
          <w:b/>
          <w:color w:val="auto"/>
          <w:kern w:val="0"/>
          <w:sz w:val="21"/>
          <w:szCs w:val="21"/>
          <w:u w:val="none"/>
        </w:rPr>
        <w:t xml:space="preserve"> </w:t>
      </w:r>
      <w:bookmarkStart w:id="71" w:name="_Toc460351419"/>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1658"/>
        <w:gridCol w:w="1082"/>
        <w:gridCol w:w="938"/>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污染物</w:t>
            </w: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取值时间</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标准限值</w:t>
            </w:r>
          </w:p>
        </w:tc>
        <w:tc>
          <w:tcPr>
            <w:tcW w:w="89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单位</w:t>
            </w:r>
          </w:p>
        </w:tc>
        <w:tc>
          <w:tcPr>
            <w:tcW w:w="315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PM</w:t>
            </w:r>
            <w:r>
              <w:rPr>
                <w:rFonts w:hint="default" w:ascii="Times New Roman" w:hAnsi="Times New Roman" w:cs="Times New Roman"/>
                <w:color w:val="auto"/>
                <w:u w:val="none"/>
                <w:vertAlign w:val="subscript"/>
              </w:rPr>
              <w:t>10</w:t>
            </w: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24小时平均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150</w:t>
            </w:r>
          </w:p>
        </w:tc>
        <w:tc>
          <w:tcPr>
            <w:tcW w:w="893"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r>
              <w:rPr>
                <w:rFonts w:hint="default" w:ascii="Times New Roman" w:hAnsi="Times New Roman" w:cs="Times New Roman"/>
                <w:b/>
                <w:color w:val="auto"/>
                <w:u w:val="none"/>
              </w:rPr>
              <w:t>u</w:t>
            </w:r>
            <w:r>
              <w:rPr>
                <w:rFonts w:hint="default" w:ascii="Times New Roman" w:hAnsi="Times New Roman" w:cs="Times New Roman"/>
                <w:color w:val="auto"/>
                <w:u w:val="none"/>
              </w:rPr>
              <w:t>g/m</w:t>
            </w:r>
            <w:r>
              <w:rPr>
                <w:rFonts w:hint="default" w:ascii="Times New Roman" w:hAnsi="Times New Roman" w:cs="Times New Roman"/>
                <w:color w:val="auto"/>
                <w:u w:val="none"/>
                <w:vertAlign w:val="superscript"/>
              </w:rPr>
              <w:t>3</w:t>
            </w:r>
          </w:p>
        </w:tc>
        <w:tc>
          <w:tcPr>
            <w:tcW w:w="3155"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《环境空气质量标准》</w:t>
            </w:r>
          </w:p>
          <w:p>
            <w:pPr>
              <w:pStyle w:val="73"/>
              <w:rPr>
                <w:rFonts w:hint="default" w:ascii="Times New Roman" w:hAnsi="Times New Roman" w:cs="Times New Roman"/>
                <w:color w:val="auto"/>
                <w:u w:val="none"/>
              </w:rPr>
            </w:pPr>
            <w:r>
              <w:rPr>
                <w:rFonts w:hint="default" w:ascii="Times New Roman" w:hAnsi="Times New Roman" w:cs="Times New Roman"/>
                <w:color w:val="auto"/>
                <w:u w:val="none"/>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PM</w:t>
            </w:r>
            <w:r>
              <w:rPr>
                <w:rFonts w:hint="default" w:ascii="Times New Roman" w:hAnsi="Times New Roman" w:cs="Times New Roman"/>
                <w:color w:val="auto"/>
                <w:sz w:val="21"/>
                <w:szCs w:val="21"/>
                <w:u w:val="none"/>
                <w:vertAlign w:val="subscript"/>
              </w:rPr>
              <w:t>2.5</w:t>
            </w:r>
          </w:p>
        </w:tc>
        <w:tc>
          <w:tcPr>
            <w:tcW w:w="169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年平均</w:t>
            </w:r>
          </w:p>
        </w:tc>
        <w:tc>
          <w:tcPr>
            <w:tcW w:w="1091"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35</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noWrap w:val="0"/>
            <w:vAlign w:val="center"/>
          </w:tcPr>
          <w:p>
            <w:pPr>
              <w:pStyle w:val="73"/>
              <w:rPr>
                <w:rFonts w:hint="default" w:ascii="Times New Roman" w:hAnsi="Times New Roman" w:cs="Times New Roman"/>
                <w:color w:val="auto"/>
                <w:u w:val="none"/>
              </w:rPr>
            </w:pP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24小时平均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75</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SO</w:t>
            </w:r>
            <w:r>
              <w:rPr>
                <w:rFonts w:hint="default" w:ascii="Times New Roman" w:hAnsi="Times New Roman" w:cs="Times New Roman"/>
                <w:color w:val="auto"/>
                <w:u w:val="none"/>
                <w:vertAlign w:val="subscript"/>
              </w:rPr>
              <w:t>2</w:t>
            </w: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24小时平均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150</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noWrap w:val="0"/>
            <w:vAlign w:val="center"/>
          </w:tcPr>
          <w:p>
            <w:pPr>
              <w:pStyle w:val="73"/>
              <w:rPr>
                <w:rFonts w:hint="default" w:ascii="Times New Roman" w:hAnsi="Times New Roman" w:cs="Times New Roman"/>
                <w:color w:val="auto"/>
                <w:u w:val="none"/>
              </w:rPr>
            </w:pP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500</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NO</w:t>
            </w:r>
            <w:r>
              <w:rPr>
                <w:rFonts w:hint="default" w:ascii="Times New Roman" w:hAnsi="Times New Roman" w:cs="Times New Roman"/>
                <w:color w:val="auto"/>
                <w:u w:val="none"/>
                <w:vertAlign w:val="subscript"/>
              </w:rPr>
              <w:t>2</w:t>
            </w: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24小时平均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80</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3" w:type="dxa"/>
            <w:vMerge w:val="continue"/>
            <w:noWrap w:val="0"/>
            <w:vAlign w:val="center"/>
          </w:tcPr>
          <w:p>
            <w:pPr>
              <w:pStyle w:val="73"/>
              <w:rPr>
                <w:rFonts w:hint="default" w:ascii="Times New Roman" w:hAnsi="Times New Roman" w:cs="Times New Roman"/>
                <w:color w:val="auto"/>
                <w:u w:val="none"/>
              </w:rPr>
            </w:pP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200</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69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TSP</w:t>
            </w: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24小时平均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300</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693"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CO</w:t>
            </w: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24小时平均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4000</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693" w:type="dxa"/>
            <w:vMerge w:val="continue"/>
            <w:noWrap w:val="0"/>
            <w:vAlign w:val="center"/>
          </w:tcPr>
          <w:p>
            <w:pPr>
              <w:pStyle w:val="73"/>
              <w:rPr>
                <w:rFonts w:hint="default" w:ascii="Times New Roman" w:hAnsi="Times New Roman" w:cs="Times New Roman"/>
                <w:color w:val="auto"/>
                <w:u w:val="none"/>
              </w:rPr>
            </w:pP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10000</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69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O</w:t>
            </w:r>
            <w:r>
              <w:rPr>
                <w:rFonts w:hint="default" w:ascii="Times New Roman" w:hAnsi="Times New Roman" w:cs="Times New Roman"/>
                <w:color w:val="auto"/>
                <w:u w:val="none"/>
                <w:vertAlign w:val="subscript"/>
              </w:rPr>
              <w:t>3</w:t>
            </w: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200</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69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200</w:t>
            </w:r>
          </w:p>
        </w:tc>
        <w:tc>
          <w:tcPr>
            <w:tcW w:w="893" w:type="dxa"/>
            <w:vMerge w:val="continue"/>
            <w:noWrap w:val="0"/>
            <w:vAlign w:val="center"/>
          </w:tcPr>
          <w:p>
            <w:pPr>
              <w:pStyle w:val="73"/>
              <w:rPr>
                <w:rFonts w:hint="default" w:ascii="Times New Roman" w:hAnsi="Times New Roman" w:cs="Times New Roman"/>
                <w:color w:val="auto"/>
                <w:u w:val="none"/>
              </w:rPr>
            </w:pPr>
          </w:p>
        </w:tc>
        <w:tc>
          <w:tcPr>
            <w:tcW w:w="3155"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《环境影响评价技术导则—大气环境》（HJ2.2-2018）附录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69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H</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S</w:t>
            </w:r>
          </w:p>
        </w:tc>
        <w:tc>
          <w:tcPr>
            <w:tcW w:w="169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1小时平均</w:t>
            </w:r>
          </w:p>
        </w:tc>
        <w:tc>
          <w:tcPr>
            <w:tcW w:w="109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893" w:type="dxa"/>
            <w:vMerge w:val="continue"/>
            <w:noWrap w:val="0"/>
            <w:vAlign w:val="top"/>
          </w:tcPr>
          <w:p>
            <w:pPr>
              <w:pStyle w:val="73"/>
              <w:rPr>
                <w:rFonts w:hint="default" w:ascii="Times New Roman" w:hAnsi="Times New Roman" w:cs="Times New Roman"/>
                <w:color w:val="auto"/>
                <w:u w:val="none"/>
              </w:rPr>
            </w:pPr>
          </w:p>
        </w:tc>
        <w:tc>
          <w:tcPr>
            <w:tcW w:w="3155" w:type="dxa"/>
            <w:vMerge w:val="continue"/>
            <w:noWrap w:val="0"/>
            <w:vAlign w:val="top"/>
          </w:tcPr>
          <w:p>
            <w:pPr>
              <w:pStyle w:val="73"/>
              <w:rPr>
                <w:rFonts w:hint="default" w:ascii="Times New Roman" w:hAnsi="Times New Roman" w:cs="Times New Roman"/>
                <w:color w:val="auto"/>
                <w:u w:val="none"/>
              </w:rPr>
            </w:pPr>
          </w:p>
        </w:tc>
      </w:tr>
    </w:tbl>
    <w:p>
      <w:pPr>
        <w:pStyle w:val="73"/>
        <w:rPr>
          <w:rFonts w:hint="eastAsia"/>
          <w:color w:val="auto"/>
          <w:u w:val="none"/>
        </w:rPr>
      </w:pPr>
    </w:p>
    <w:p>
      <w:pPr>
        <w:pStyle w:val="69"/>
        <w:rPr>
          <w:rFonts w:hint="eastAsia"/>
          <w:color w:val="auto"/>
          <w:u w:val="none"/>
        </w:rPr>
      </w:pPr>
      <w:bookmarkStart w:id="72" w:name="_Toc489350214"/>
      <w:bookmarkStart w:id="73" w:name="_Toc489349957"/>
      <w:bookmarkStart w:id="74" w:name="_Toc489350113"/>
      <w:r>
        <w:rPr>
          <w:rFonts w:hint="eastAsia"/>
          <w:color w:val="auto"/>
          <w:u w:val="none"/>
        </w:rPr>
        <w:t>1</w:t>
      </w:r>
      <w:r>
        <w:rPr>
          <w:color w:val="auto"/>
          <w:u w:val="none"/>
        </w:rPr>
        <w:t>.</w:t>
      </w:r>
      <w:r>
        <w:rPr>
          <w:rFonts w:hint="eastAsia"/>
          <w:color w:val="auto"/>
          <w:u w:val="none"/>
        </w:rPr>
        <w:t>6</w:t>
      </w:r>
      <w:r>
        <w:rPr>
          <w:color w:val="auto"/>
          <w:u w:val="none"/>
        </w:rPr>
        <w:t xml:space="preserve">.1.2 </w:t>
      </w:r>
      <w:r>
        <w:rPr>
          <w:rFonts w:hint="eastAsia"/>
          <w:color w:val="auto"/>
          <w:u w:val="none"/>
        </w:rPr>
        <w:t>地表水质量标准</w:t>
      </w:r>
      <w:bookmarkEnd w:id="71"/>
      <w:bookmarkEnd w:id="72"/>
      <w:bookmarkEnd w:id="73"/>
      <w:bookmarkEnd w:id="74"/>
    </w:p>
    <w:p>
      <w:pPr>
        <w:ind w:firstLine="480"/>
        <w:jc w:val="both"/>
        <w:rPr>
          <w:rFonts w:hint="eastAsia"/>
          <w:color w:val="auto"/>
          <w:kern w:val="0"/>
          <w:u w:val="single"/>
        </w:rPr>
      </w:pPr>
      <w:r>
        <w:rPr>
          <w:rFonts w:hint="eastAsia"/>
          <w:color w:val="auto"/>
          <w:kern w:val="0"/>
          <w:u w:val="single"/>
          <w:lang w:eastAsia="zh-CN"/>
        </w:rPr>
        <w:t>根据《湘西土家族苗族自治州水功能区划（审查修改版）》，本项目排污口位于猛洞河永顺景观娱乐用水区，该段现状水质为</w:t>
      </w:r>
      <w:r>
        <w:rPr>
          <w:rFonts w:hint="eastAsia" w:cs="宋体"/>
          <w:color w:val="auto"/>
          <w:kern w:val="0"/>
          <w:u w:val="single"/>
        </w:rPr>
        <w:t>Ⅲ类</w:t>
      </w:r>
      <w:r>
        <w:rPr>
          <w:rFonts w:hint="eastAsia" w:cs="宋体"/>
          <w:color w:val="auto"/>
          <w:kern w:val="0"/>
          <w:u w:val="single"/>
          <w:lang w:eastAsia="zh-CN"/>
        </w:rPr>
        <w:t>，其水质管理目标也为</w:t>
      </w:r>
      <w:r>
        <w:rPr>
          <w:rFonts w:hint="eastAsia" w:cs="宋体"/>
          <w:color w:val="auto"/>
          <w:kern w:val="0"/>
          <w:u w:val="single"/>
        </w:rPr>
        <w:t>Ⅲ类</w:t>
      </w:r>
      <w:r>
        <w:rPr>
          <w:rFonts w:hint="eastAsia" w:cs="宋体"/>
          <w:color w:val="auto"/>
          <w:kern w:val="0"/>
          <w:u w:val="single"/>
          <w:lang w:eastAsia="zh-CN"/>
        </w:rPr>
        <w:t>，故</w:t>
      </w:r>
      <w:r>
        <w:rPr>
          <w:rFonts w:hint="eastAsia"/>
          <w:color w:val="auto"/>
          <w:kern w:val="0"/>
          <w:u w:val="single"/>
        </w:rPr>
        <w:t>本项目地表水环境质量执行《地表水环境质量标准》（GB3838-2002）</w:t>
      </w:r>
      <w:r>
        <w:rPr>
          <w:rFonts w:hint="eastAsia" w:cs="宋体"/>
          <w:color w:val="auto"/>
          <w:kern w:val="0"/>
          <w:u w:val="single"/>
        </w:rPr>
        <w:t>Ⅲ类标准，标准值详见下表</w:t>
      </w:r>
      <w:r>
        <w:rPr>
          <w:color w:val="auto"/>
          <w:kern w:val="0"/>
          <w:u w:val="single"/>
        </w:rPr>
        <w:t>1.</w:t>
      </w:r>
      <w:r>
        <w:rPr>
          <w:rFonts w:hint="eastAsia"/>
          <w:color w:val="auto"/>
          <w:kern w:val="0"/>
          <w:u w:val="single"/>
        </w:rPr>
        <w:t>6</w:t>
      </w:r>
      <w:r>
        <w:rPr>
          <w:color w:val="auto"/>
          <w:kern w:val="0"/>
          <w:u w:val="single"/>
        </w:rPr>
        <w:t>-2</w:t>
      </w:r>
      <w:r>
        <w:rPr>
          <w:rFonts w:hint="eastAsia"/>
          <w:color w:val="auto"/>
          <w:kern w:val="0"/>
          <w:u w:val="single"/>
        </w:rPr>
        <w:t>。</w:t>
      </w:r>
    </w:p>
    <w:p>
      <w:pPr>
        <w:pStyle w:val="124"/>
        <w:bidi w:val="0"/>
        <w:rPr>
          <w:rFonts w:hint="eastAsia"/>
          <w:b w:val="0"/>
          <w:color w:val="auto"/>
          <w:kern w:val="0"/>
          <w:szCs w:val="21"/>
          <w:u w:val="none"/>
        </w:rPr>
      </w:pPr>
      <w:r>
        <w:rPr>
          <w:rFonts w:hint="eastAsia"/>
        </w:rPr>
        <w:t>表1.6-2 地表水环境质量标准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267"/>
        <w:gridCol w:w="3649"/>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b/>
                <w:bCs/>
                <w:color w:val="auto"/>
                <w:kern w:val="0"/>
                <w:sz w:val="21"/>
                <w:szCs w:val="21"/>
              </w:rPr>
            </w:pPr>
            <w:bookmarkStart w:id="75" w:name="_Toc489349958"/>
            <w:bookmarkStart w:id="76" w:name="_Toc489350215"/>
            <w:bookmarkStart w:id="77" w:name="_Toc489350114"/>
            <w:r>
              <w:rPr>
                <w:rFonts w:hint="default" w:ascii="Times New Roman" w:hAnsi="Times New Roman" w:cs="Times New Roman"/>
                <w:b/>
                <w:bCs/>
                <w:color w:val="auto"/>
                <w:kern w:val="0"/>
                <w:sz w:val="21"/>
                <w:szCs w:val="21"/>
              </w:rPr>
              <w:t>污染物名称</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单位</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标准限值（Ⅲ类标准）</w:t>
            </w:r>
          </w:p>
        </w:tc>
        <w:tc>
          <w:tcPr>
            <w:tcW w:w="1893" w:type="dxa"/>
            <w:noWrap w:val="0"/>
            <w:vAlign w:val="center"/>
          </w:tcPr>
          <w:p>
            <w:pPr>
              <w:snapToGrid w:val="0"/>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水温</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人为造成的环境水温变化应限制在：周平均最大温升≤1；周平均最大温降≤2</w:t>
            </w:r>
          </w:p>
        </w:tc>
        <w:tc>
          <w:tcPr>
            <w:tcW w:w="1893" w:type="dxa"/>
            <w:vMerge w:val="restart"/>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《地表水环境质量》（GB3838-2002）Ⅲ类标准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无量纲</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6-9</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溶解氧</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高锰酸盐指数</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-N</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TP</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≤0.2</w:t>
            </w:r>
          </w:p>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（湖、库 0.05）</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总氮（湖、库、以 N 计）</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铜</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锌</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石油类</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≤0.05</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硒</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≤0.01</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砷</w:t>
            </w:r>
          </w:p>
        </w:tc>
        <w:tc>
          <w:tcPr>
            <w:tcW w:w="1275" w:type="dxa"/>
            <w:noWrap w:val="0"/>
            <w:vAlign w:val="top"/>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≤0.05</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汞</w:t>
            </w:r>
          </w:p>
        </w:tc>
        <w:tc>
          <w:tcPr>
            <w:tcW w:w="1275" w:type="dxa"/>
            <w:noWrap w:val="0"/>
            <w:vAlign w:val="top"/>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≤0.0001</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铅</w:t>
            </w:r>
          </w:p>
        </w:tc>
        <w:tc>
          <w:tcPr>
            <w:tcW w:w="1275" w:type="dxa"/>
            <w:noWrap w:val="0"/>
            <w:vAlign w:val="top"/>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≤0.05</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铬（六价）</w:t>
            </w:r>
          </w:p>
        </w:tc>
        <w:tc>
          <w:tcPr>
            <w:tcW w:w="1275" w:type="dxa"/>
            <w:noWrap w:val="0"/>
            <w:vAlign w:val="top"/>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≤0.05</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镉</w:t>
            </w:r>
          </w:p>
        </w:tc>
        <w:tc>
          <w:tcPr>
            <w:tcW w:w="1275" w:type="dxa"/>
            <w:noWrap w:val="0"/>
            <w:vAlign w:val="top"/>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≤0.005</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硫化物</w:t>
            </w:r>
          </w:p>
        </w:tc>
        <w:tc>
          <w:tcPr>
            <w:tcW w:w="1275" w:type="dxa"/>
            <w:noWrap w:val="0"/>
            <w:vAlign w:val="top"/>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≤0.2</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氰化物</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≤0.2</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挥发酚</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≤0.005</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阴离子表面活性剂</w:t>
            </w:r>
          </w:p>
        </w:tc>
        <w:tc>
          <w:tcPr>
            <w:tcW w:w="1275"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≤0.2</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氟化物</w:t>
            </w:r>
          </w:p>
        </w:tc>
        <w:tc>
          <w:tcPr>
            <w:tcW w:w="1275" w:type="dxa"/>
            <w:noWrap w:val="0"/>
            <w:vAlign w:val="top"/>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粪大肠菌群</w:t>
            </w:r>
          </w:p>
        </w:tc>
        <w:tc>
          <w:tcPr>
            <w:tcW w:w="1275" w:type="dxa"/>
            <w:noWrap w:val="0"/>
            <w:vAlign w:val="top"/>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个/L</w:t>
            </w:r>
          </w:p>
        </w:tc>
        <w:tc>
          <w:tcPr>
            <w:tcW w:w="3686" w:type="dxa"/>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≤10000</w:t>
            </w:r>
          </w:p>
        </w:tc>
        <w:tc>
          <w:tcPr>
            <w:tcW w:w="1893" w:type="dxa"/>
            <w:vMerge w:val="continue"/>
            <w:noWrap w:val="0"/>
            <w:vAlign w:val="center"/>
          </w:tcPr>
          <w:p>
            <w:pPr>
              <w:snapToGrid w:val="0"/>
              <w:spacing w:line="240" w:lineRule="auto"/>
              <w:ind w:firstLine="0" w:firstLineChars="0"/>
              <w:jc w:val="center"/>
              <w:rPr>
                <w:rFonts w:hint="default" w:ascii="Times New Roman" w:hAnsi="Times New Roman" w:cs="Times New Roman"/>
                <w:color w:val="auto"/>
                <w:kern w:val="0"/>
                <w:sz w:val="21"/>
                <w:szCs w:val="21"/>
              </w:rPr>
            </w:pPr>
          </w:p>
        </w:tc>
      </w:tr>
    </w:tbl>
    <w:p>
      <w:pPr>
        <w:pStyle w:val="69"/>
        <w:rPr>
          <w:rFonts w:hint="eastAsia"/>
          <w:color w:val="auto"/>
          <w:u w:val="none"/>
        </w:rPr>
      </w:pPr>
      <w:r>
        <w:rPr>
          <w:rFonts w:hint="eastAsia"/>
          <w:color w:val="auto"/>
          <w:u w:val="none"/>
        </w:rPr>
        <w:t>1.6.1.3 土壤质量标准</w:t>
      </w:r>
      <w:bookmarkEnd w:id="75"/>
      <w:bookmarkEnd w:id="76"/>
      <w:bookmarkEnd w:id="77"/>
    </w:p>
    <w:p>
      <w:pPr>
        <w:ind w:firstLine="600" w:firstLineChars="250"/>
        <w:jc w:val="both"/>
        <w:rPr>
          <w:rFonts w:hint="eastAsia"/>
          <w:color w:val="auto"/>
          <w:kern w:val="0"/>
          <w:u w:val="none"/>
        </w:rPr>
      </w:pPr>
      <w:r>
        <w:rPr>
          <w:rFonts w:hint="eastAsia"/>
          <w:color w:val="auto"/>
          <w:kern w:val="0"/>
          <w:u w:val="none"/>
        </w:rPr>
        <w:t>土壤环境质量执行《土壤环境质量 建设用地土壤污染风险管控标准（试行）》（GB36600-2018），</w:t>
      </w:r>
      <w:r>
        <w:rPr>
          <w:rFonts w:hint="eastAsia" w:cs="宋体"/>
          <w:color w:val="auto"/>
          <w:kern w:val="0"/>
          <w:u w:val="none"/>
        </w:rPr>
        <w:t>标准值详见下表</w:t>
      </w:r>
      <w:r>
        <w:rPr>
          <w:color w:val="auto"/>
          <w:kern w:val="0"/>
          <w:u w:val="none"/>
        </w:rPr>
        <w:t>1.</w:t>
      </w:r>
      <w:r>
        <w:rPr>
          <w:rFonts w:hint="eastAsia"/>
          <w:color w:val="auto"/>
          <w:kern w:val="0"/>
          <w:u w:val="none"/>
        </w:rPr>
        <w:t>6-3。</w:t>
      </w:r>
    </w:p>
    <w:p>
      <w:pPr>
        <w:ind w:firstLine="422"/>
        <w:jc w:val="right"/>
        <w:rPr>
          <w:b/>
          <w:color w:val="auto"/>
          <w:kern w:val="0"/>
          <w:sz w:val="21"/>
          <w:szCs w:val="21"/>
          <w:u w:val="none"/>
        </w:rPr>
      </w:pPr>
      <w:r>
        <w:rPr>
          <w:rStyle w:val="129"/>
          <w:rFonts w:hint="eastAsia"/>
        </w:rPr>
        <w:t xml:space="preserve">表1.6-3 《土壤环境质量 建设用地土壤污染风险管控标准（试行）》（GB36600-2018） </w:t>
      </w:r>
      <w:r>
        <w:rPr>
          <w:rFonts w:hint="eastAsia"/>
          <w:b/>
          <w:color w:val="auto"/>
          <w:kern w:val="0"/>
          <w:sz w:val="21"/>
          <w:szCs w:val="21"/>
          <w:u w:val="none"/>
        </w:rPr>
        <w:t>单位：mg/kg</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2142"/>
        <w:gridCol w:w="1404"/>
        <w:gridCol w:w="1404"/>
        <w:gridCol w:w="1404"/>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restart"/>
            <w:noWrap w:val="0"/>
            <w:vAlign w:val="center"/>
          </w:tcPr>
          <w:p>
            <w:pPr>
              <w:snapToGrid w:val="0"/>
              <w:spacing w:line="240" w:lineRule="auto"/>
              <w:ind w:firstLine="0" w:firstLineChars="0"/>
              <w:jc w:val="center"/>
              <w:rPr>
                <w:b/>
                <w:bCs/>
                <w:color w:val="auto"/>
                <w:kern w:val="0"/>
                <w:sz w:val="21"/>
                <w:szCs w:val="21"/>
              </w:rPr>
            </w:pPr>
            <w:bookmarkStart w:id="78" w:name="_Toc489349959"/>
            <w:bookmarkStart w:id="79" w:name="_Toc489350115"/>
            <w:bookmarkStart w:id="80" w:name="_Toc489350216"/>
            <w:r>
              <w:rPr>
                <w:b/>
                <w:bCs/>
                <w:color w:val="auto"/>
                <w:kern w:val="0"/>
                <w:sz w:val="21"/>
                <w:szCs w:val="21"/>
              </w:rPr>
              <w:t>序号</w:t>
            </w:r>
          </w:p>
        </w:tc>
        <w:tc>
          <w:tcPr>
            <w:tcW w:w="1265" w:type="pct"/>
            <w:vMerge w:val="restart"/>
            <w:noWrap w:val="0"/>
            <w:vAlign w:val="center"/>
          </w:tcPr>
          <w:p>
            <w:pPr>
              <w:snapToGrid w:val="0"/>
              <w:spacing w:line="240" w:lineRule="auto"/>
              <w:ind w:firstLine="0" w:firstLineChars="0"/>
              <w:jc w:val="center"/>
              <w:rPr>
                <w:b/>
                <w:bCs/>
                <w:color w:val="auto"/>
                <w:kern w:val="0"/>
                <w:sz w:val="21"/>
                <w:szCs w:val="21"/>
              </w:rPr>
            </w:pPr>
            <w:r>
              <w:rPr>
                <w:b/>
                <w:bCs/>
                <w:color w:val="auto"/>
                <w:kern w:val="0"/>
                <w:sz w:val="21"/>
                <w:szCs w:val="21"/>
              </w:rPr>
              <w:t>污染物项目</w:t>
            </w:r>
          </w:p>
        </w:tc>
        <w:tc>
          <w:tcPr>
            <w:tcW w:w="1658" w:type="pct"/>
            <w:gridSpan w:val="2"/>
            <w:noWrap w:val="0"/>
            <w:vAlign w:val="center"/>
          </w:tcPr>
          <w:p>
            <w:pPr>
              <w:snapToGrid w:val="0"/>
              <w:spacing w:line="240" w:lineRule="auto"/>
              <w:ind w:firstLine="0" w:firstLineChars="0"/>
              <w:jc w:val="center"/>
              <w:rPr>
                <w:b/>
                <w:bCs/>
                <w:color w:val="auto"/>
                <w:kern w:val="0"/>
                <w:sz w:val="21"/>
                <w:szCs w:val="21"/>
              </w:rPr>
            </w:pPr>
            <w:r>
              <w:rPr>
                <w:b/>
                <w:bCs/>
                <w:color w:val="auto"/>
                <w:kern w:val="0"/>
                <w:sz w:val="21"/>
                <w:szCs w:val="21"/>
              </w:rPr>
              <w:t>筛选值</w:t>
            </w:r>
          </w:p>
        </w:tc>
        <w:tc>
          <w:tcPr>
            <w:tcW w:w="1659" w:type="pct"/>
            <w:gridSpan w:val="2"/>
            <w:noWrap w:val="0"/>
            <w:vAlign w:val="center"/>
          </w:tcPr>
          <w:p>
            <w:pPr>
              <w:snapToGrid w:val="0"/>
              <w:spacing w:line="240" w:lineRule="auto"/>
              <w:ind w:firstLine="0" w:firstLineChars="0"/>
              <w:jc w:val="center"/>
              <w:rPr>
                <w:b/>
                <w:bCs/>
                <w:color w:val="auto"/>
                <w:kern w:val="0"/>
                <w:sz w:val="21"/>
                <w:szCs w:val="21"/>
              </w:rPr>
            </w:pPr>
            <w:r>
              <w:rPr>
                <w:b/>
                <w:bCs/>
                <w:color w:val="auto"/>
                <w:kern w:val="0"/>
                <w:sz w:val="21"/>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continue"/>
            <w:noWrap w:val="0"/>
            <w:vAlign w:val="center"/>
          </w:tcPr>
          <w:p>
            <w:pPr>
              <w:snapToGrid w:val="0"/>
              <w:spacing w:line="240" w:lineRule="auto"/>
              <w:ind w:firstLine="0" w:firstLineChars="0"/>
              <w:jc w:val="center"/>
              <w:rPr>
                <w:b/>
                <w:bCs/>
                <w:color w:val="auto"/>
                <w:kern w:val="0"/>
                <w:sz w:val="21"/>
                <w:szCs w:val="21"/>
              </w:rPr>
            </w:pPr>
          </w:p>
        </w:tc>
        <w:tc>
          <w:tcPr>
            <w:tcW w:w="1265" w:type="pct"/>
            <w:vMerge w:val="continue"/>
            <w:noWrap w:val="0"/>
            <w:vAlign w:val="center"/>
          </w:tcPr>
          <w:p>
            <w:pPr>
              <w:snapToGrid w:val="0"/>
              <w:spacing w:line="240" w:lineRule="auto"/>
              <w:ind w:firstLine="0" w:firstLineChars="0"/>
              <w:jc w:val="center"/>
              <w:rPr>
                <w:b/>
                <w:bCs/>
                <w:color w:val="auto"/>
                <w:kern w:val="0"/>
                <w:sz w:val="21"/>
                <w:szCs w:val="21"/>
              </w:rPr>
            </w:pPr>
          </w:p>
        </w:tc>
        <w:tc>
          <w:tcPr>
            <w:tcW w:w="829" w:type="pct"/>
            <w:noWrap w:val="0"/>
            <w:vAlign w:val="center"/>
          </w:tcPr>
          <w:p>
            <w:pPr>
              <w:snapToGrid w:val="0"/>
              <w:spacing w:line="240" w:lineRule="auto"/>
              <w:ind w:firstLine="0" w:firstLineChars="0"/>
              <w:jc w:val="center"/>
              <w:rPr>
                <w:b/>
                <w:bCs/>
                <w:color w:val="auto"/>
                <w:kern w:val="0"/>
                <w:sz w:val="21"/>
                <w:szCs w:val="21"/>
              </w:rPr>
            </w:pPr>
            <w:r>
              <w:rPr>
                <w:b/>
                <w:bCs/>
                <w:color w:val="auto"/>
                <w:kern w:val="0"/>
                <w:sz w:val="21"/>
                <w:szCs w:val="21"/>
              </w:rPr>
              <w:t>第</w:t>
            </w:r>
            <w:r>
              <w:rPr>
                <w:rFonts w:hint="eastAsia"/>
                <w:b/>
                <w:bCs/>
                <w:color w:val="auto"/>
                <w:kern w:val="0"/>
                <w:sz w:val="21"/>
                <w:szCs w:val="21"/>
              </w:rPr>
              <w:t>一</w:t>
            </w:r>
            <w:r>
              <w:rPr>
                <w:b/>
                <w:bCs/>
                <w:color w:val="auto"/>
                <w:kern w:val="0"/>
                <w:sz w:val="21"/>
                <w:szCs w:val="21"/>
              </w:rPr>
              <w:t>类用地</w:t>
            </w:r>
          </w:p>
        </w:tc>
        <w:tc>
          <w:tcPr>
            <w:tcW w:w="829" w:type="pct"/>
            <w:noWrap w:val="0"/>
            <w:vAlign w:val="center"/>
          </w:tcPr>
          <w:p>
            <w:pPr>
              <w:snapToGrid w:val="0"/>
              <w:spacing w:line="240" w:lineRule="auto"/>
              <w:ind w:firstLine="0" w:firstLineChars="0"/>
              <w:jc w:val="center"/>
              <w:rPr>
                <w:b/>
                <w:bCs/>
                <w:color w:val="auto"/>
                <w:kern w:val="0"/>
                <w:sz w:val="21"/>
                <w:szCs w:val="21"/>
              </w:rPr>
            </w:pPr>
            <w:r>
              <w:rPr>
                <w:b/>
                <w:bCs/>
                <w:color w:val="auto"/>
                <w:kern w:val="0"/>
                <w:sz w:val="21"/>
                <w:szCs w:val="21"/>
              </w:rPr>
              <w:t>第二类用地</w:t>
            </w:r>
          </w:p>
        </w:tc>
        <w:tc>
          <w:tcPr>
            <w:tcW w:w="829" w:type="pct"/>
            <w:noWrap w:val="0"/>
            <w:vAlign w:val="center"/>
          </w:tcPr>
          <w:p>
            <w:pPr>
              <w:snapToGrid w:val="0"/>
              <w:spacing w:line="240" w:lineRule="auto"/>
              <w:ind w:firstLine="0" w:firstLineChars="0"/>
              <w:jc w:val="center"/>
              <w:rPr>
                <w:b/>
                <w:bCs/>
                <w:color w:val="auto"/>
                <w:kern w:val="0"/>
                <w:sz w:val="21"/>
                <w:szCs w:val="21"/>
              </w:rPr>
            </w:pPr>
            <w:r>
              <w:rPr>
                <w:b/>
                <w:bCs/>
                <w:color w:val="auto"/>
                <w:kern w:val="0"/>
                <w:sz w:val="21"/>
                <w:szCs w:val="21"/>
              </w:rPr>
              <w:t>第</w:t>
            </w:r>
            <w:r>
              <w:rPr>
                <w:rFonts w:hint="eastAsia"/>
                <w:b/>
                <w:bCs/>
                <w:color w:val="auto"/>
                <w:kern w:val="0"/>
                <w:sz w:val="21"/>
                <w:szCs w:val="21"/>
              </w:rPr>
              <w:t>一</w:t>
            </w:r>
            <w:r>
              <w:rPr>
                <w:b/>
                <w:bCs/>
                <w:color w:val="auto"/>
                <w:kern w:val="0"/>
                <w:sz w:val="21"/>
                <w:szCs w:val="21"/>
              </w:rPr>
              <w:t>类用地</w:t>
            </w:r>
          </w:p>
        </w:tc>
        <w:tc>
          <w:tcPr>
            <w:tcW w:w="830" w:type="pct"/>
            <w:noWrap w:val="0"/>
            <w:vAlign w:val="center"/>
          </w:tcPr>
          <w:p>
            <w:pPr>
              <w:snapToGrid w:val="0"/>
              <w:spacing w:line="240" w:lineRule="auto"/>
              <w:ind w:firstLine="0" w:firstLineChars="0"/>
              <w:jc w:val="center"/>
              <w:rPr>
                <w:b/>
                <w:bCs/>
                <w:color w:val="auto"/>
                <w:kern w:val="0"/>
                <w:sz w:val="21"/>
                <w:szCs w:val="21"/>
              </w:rPr>
            </w:pPr>
            <w:r>
              <w:rPr>
                <w:b/>
                <w:bCs/>
                <w:color w:val="auto"/>
                <w:kern w:val="0"/>
                <w:sz w:val="21"/>
                <w:szCs w:val="21"/>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00" w:type="pct"/>
            <w:gridSpan w:val="6"/>
            <w:noWrap w:val="0"/>
            <w:vAlign w:val="center"/>
          </w:tcPr>
          <w:p>
            <w:pPr>
              <w:widowControl w:val="0"/>
              <w:snapToGrid w:val="0"/>
              <w:spacing w:line="240" w:lineRule="auto"/>
              <w:ind w:firstLine="0" w:firstLineChars="0"/>
              <w:jc w:val="center"/>
              <w:rPr>
                <w:color w:val="auto"/>
                <w:kern w:val="0"/>
                <w:sz w:val="21"/>
                <w:szCs w:val="21"/>
              </w:rPr>
            </w:pPr>
            <w:r>
              <w:rPr>
                <w:b/>
                <w:bCs/>
                <w:color w:val="auto"/>
                <w:kern w:val="0"/>
                <w:sz w:val="21"/>
                <w:szCs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0</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60</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20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镉</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0</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65</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4</w:t>
            </w:r>
            <w:r>
              <w:rPr>
                <w:color w:val="auto"/>
                <w:kern w:val="0"/>
                <w:sz w:val="21"/>
                <w:szCs w:val="21"/>
              </w:rPr>
              <w:t>7</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铬(六价)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3</w:t>
            </w:r>
            <w:r>
              <w:rPr>
                <w:color w:val="auto"/>
                <w:kern w:val="0"/>
                <w:sz w:val="21"/>
                <w:szCs w:val="21"/>
              </w:rPr>
              <w:t>.0</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5.7</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3</w:t>
            </w:r>
            <w:r>
              <w:rPr>
                <w:color w:val="auto"/>
                <w:kern w:val="0"/>
                <w:sz w:val="21"/>
                <w:szCs w:val="21"/>
              </w:rPr>
              <w:t>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铜</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000</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18000</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8</w:t>
            </w:r>
            <w:r>
              <w:rPr>
                <w:color w:val="auto"/>
                <w:kern w:val="0"/>
                <w:sz w:val="21"/>
                <w:szCs w:val="21"/>
              </w:rPr>
              <w:t>000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5</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铅</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4</w:t>
            </w:r>
            <w:r>
              <w:rPr>
                <w:color w:val="auto"/>
                <w:kern w:val="0"/>
                <w:sz w:val="21"/>
                <w:szCs w:val="21"/>
              </w:rPr>
              <w:t>00</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800</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8</w:t>
            </w:r>
            <w:r>
              <w:rPr>
                <w:color w:val="auto"/>
                <w:kern w:val="0"/>
                <w:sz w:val="21"/>
                <w:szCs w:val="21"/>
              </w:rPr>
              <w:t>00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6</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汞</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8</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38</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3</w:t>
            </w:r>
            <w:r>
              <w:rPr>
                <w:color w:val="auto"/>
                <w:kern w:val="0"/>
                <w:sz w:val="21"/>
                <w:szCs w:val="21"/>
              </w:rPr>
              <w:t>3</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7</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镍</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50</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900</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6</w:t>
            </w:r>
            <w:r>
              <w:rPr>
                <w:color w:val="auto"/>
                <w:kern w:val="0"/>
                <w:sz w:val="21"/>
                <w:szCs w:val="21"/>
              </w:rPr>
              <w:t>00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00" w:type="pct"/>
            <w:gridSpan w:val="6"/>
            <w:noWrap w:val="0"/>
            <w:vAlign w:val="center"/>
          </w:tcPr>
          <w:p>
            <w:pPr>
              <w:snapToGrid w:val="0"/>
              <w:spacing w:line="240" w:lineRule="auto"/>
              <w:ind w:firstLine="0" w:firstLineChars="0"/>
              <w:jc w:val="center"/>
              <w:rPr>
                <w:color w:val="auto"/>
                <w:kern w:val="0"/>
                <w:sz w:val="21"/>
                <w:szCs w:val="21"/>
              </w:rPr>
            </w:pPr>
            <w:r>
              <w:rPr>
                <w:b/>
                <w:bCs/>
                <w:color w:val="auto"/>
                <w:kern w:val="0"/>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8</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四氯化碳</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0</w:t>
            </w:r>
            <w:r>
              <w:rPr>
                <w:color w:val="auto"/>
                <w:kern w:val="0"/>
                <w:sz w:val="21"/>
                <w:szCs w:val="21"/>
              </w:rPr>
              <w:t>.8</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2.8</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9</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9</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氯仿</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0</w:t>
            </w:r>
            <w:r>
              <w:rPr>
                <w:color w:val="auto"/>
                <w:kern w:val="0"/>
                <w:sz w:val="21"/>
                <w:szCs w:val="21"/>
              </w:rPr>
              <w:t>.3</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0.9</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5</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10</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氯甲烷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2</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37</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1</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11</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1,1-二氯乙烷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3</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9</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12</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1,2-二氯乙烷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0</w:t>
            </w:r>
            <w:r>
              <w:rPr>
                <w:color w:val="auto"/>
                <w:kern w:val="0"/>
                <w:sz w:val="21"/>
                <w:szCs w:val="21"/>
              </w:rPr>
              <w:t>.52</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5</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6</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13</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1,1-二氯乙烯</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2</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66</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4</w:t>
            </w:r>
            <w:r>
              <w:rPr>
                <w:color w:val="auto"/>
                <w:kern w:val="0"/>
                <w:sz w:val="21"/>
                <w:szCs w:val="21"/>
              </w:rPr>
              <w:t>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14</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顺-1,2-二氯乙烯</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6</w:t>
            </w:r>
            <w:r>
              <w:rPr>
                <w:color w:val="auto"/>
                <w:kern w:val="0"/>
                <w:sz w:val="21"/>
                <w:szCs w:val="21"/>
              </w:rPr>
              <w:t>6</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596</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00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15</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反-1,2-二氯乙烯</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0</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54</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3</w:t>
            </w:r>
            <w:r>
              <w:rPr>
                <w:color w:val="auto"/>
                <w:kern w:val="0"/>
                <w:sz w:val="21"/>
                <w:szCs w:val="21"/>
              </w:rPr>
              <w:t>1</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16</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二氯甲烷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9</w:t>
            </w:r>
            <w:r>
              <w:rPr>
                <w:color w:val="auto"/>
                <w:kern w:val="0"/>
                <w:sz w:val="21"/>
                <w:szCs w:val="21"/>
              </w:rPr>
              <w:t>4</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616</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3</w:t>
            </w:r>
            <w:r>
              <w:rPr>
                <w:color w:val="auto"/>
                <w:kern w:val="0"/>
                <w:sz w:val="21"/>
                <w:szCs w:val="21"/>
              </w:rPr>
              <w:t>00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17</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1,2-二氯丙烷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5</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5</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18</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1,1,1,2-四氯乙烷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.6</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10</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6</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19</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1,1,2,2-四氯乙烷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.6</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6.8</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4</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20</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四氯乙烯</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1</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53</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3</w:t>
            </w:r>
            <w:r>
              <w:rPr>
                <w:color w:val="auto"/>
                <w:kern w:val="0"/>
                <w:sz w:val="21"/>
                <w:szCs w:val="21"/>
              </w:rPr>
              <w:t>4</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21</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1,1,1-三氯乙烷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7</w:t>
            </w:r>
            <w:r>
              <w:rPr>
                <w:color w:val="auto"/>
                <w:kern w:val="0"/>
                <w:sz w:val="21"/>
                <w:szCs w:val="21"/>
              </w:rPr>
              <w:t>01</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840</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8</w:t>
            </w:r>
            <w:r>
              <w:rPr>
                <w:color w:val="auto"/>
                <w:kern w:val="0"/>
                <w:sz w:val="21"/>
                <w:szCs w:val="21"/>
              </w:rPr>
              <w:t>40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22</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1,1,2-三氯乙烷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0</w:t>
            </w:r>
            <w:r>
              <w:rPr>
                <w:color w:val="auto"/>
                <w:kern w:val="0"/>
                <w:sz w:val="21"/>
                <w:szCs w:val="21"/>
              </w:rPr>
              <w:t>.6</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2.8</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5</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23</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三氯乙烯</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0</w:t>
            </w:r>
            <w:r>
              <w:rPr>
                <w:color w:val="auto"/>
                <w:kern w:val="0"/>
                <w:sz w:val="21"/>
                <w:szCs w:val="21"/>
              </w:rPr>
              <w:t>.7</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2.8</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7</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24</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1,2,3-三氯丙烷</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0</w:t>
            </w:r>
            <w:r>
              <w:rPr>
                <w:color w:val="auto"/>
                <w:kern w:val="0"/>
                <w:sz w:val="21"/>
                <w:szCs w:val="21"/>
              </w:rPr>
              <w:t>.05</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0.5</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0</w:t>
            </w:r>
            <w:r>
              <w:rPr>
                <w:color w:val="auto"/>
                <w:kern w:val="0"/>
                <w:sz w:val="21"/>
                <w:szCs w:val="21"/>
              </w:rPr>
              <w:t>.5</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25</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氯乙烯</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0.12</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0.43</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.2</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26</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苯</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27</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氯苯</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6</w:t>
            </w:r>
            <w:r>
              <w:rPr>
                <w:color w:val="auto"/>
                <w:kern w:val="0"/>
                <w:sz w:val="21"/>
                <w:szCs w:val="21"/>
              </w:rPr>
              <w:t>8</w:t>
            </w:r>
          </w:p>
        </w:tc>
        <w:tc>
          <w:tcPr>
            <w:tcW w:w="829"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270</w:t>
            </w:r>
          </w:p>
        </w:tc>
        <w:tc>
          <w:tcPr>
            <w:tcW w:w="829"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00</w:t>
            </w:r>
          </w:p>
        </w:tc>
        <w:tc>
          <w:tcPr>
            <w:tcW w:w="830"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rPr>
            </w:pPr>
            <w:r>
              <w:rPr>
                <w:color w:val="auto"/>
                <w:kern w:val="0"/>
                <w:sz w:val="21"/>
                <w:szCs w:val="21"/>
              </w:rPr>
              <w:t>28</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1,2-</w:t>
            </w:r>
            <w:r>
              <w:rPr>
                <w:rFonts w:hint="eastAsia"/>
                <w:color w:val="auto"/>
                <w:kern w:val="0"/>
                <w:sz w:val="21"/>
                <w:szCs w:val="21"/>
              </w:rPr>
              <w:t>二氯苯</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60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60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60</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29</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1,4-</w:t>
            </w:r>
            <w:r>
              <w:rPr>
                <w:rFonts w:hint="eastAsia"/>
                <w:color w:val="auto"/>
                <w:kern w:val="0"/>
                <w:sz w:val="21"/>
                <w:szCs w:val="21"/>
              </w:rPr>
              <w:t>二氯苯</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.6</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6</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30</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乙苯</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7</w:t>
            </w:r>
            <w:r>
              <w:rPr>
                <w:color w:val="auto"/>
                <w:kern w:val="0"/>
                <w:sz w:val="21"/>
                <w:szCs w:val="21"/>
              </w:rPr>
              <w:t>.1</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8</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7</w:t>
            </w:r>
            <w:r>
              <w:rPr>
                <w:color w:val="auto"/>
                <w:kern w:val="0"/>
                <w:sz w:val="21"/>
                <w:szCs w:val="21"/>
              </w:rPr>
              <w:t>2</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31</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苯乙烯</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290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290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290</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32</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甲苯</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200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200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200</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33</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邻</w:t>
            </w:r>
            <w:r>
              <w:rPr>
                <w:color w:val="auto"/>
                <w:kern w:val="0"/>
                <w:sz w:val="21"/>
                <w:szCs w:val="21"/>
              </w:rPr>
              <w:t>-</w:t>
            </w:r>
            <w:r>
              <w:rPr>
                <w:rFonts w:hint="eastAsia"/>
                <w:color w:val="auto"/>
                <w:kern w:val="0"/>
                <w:sz w:val="21"/>
                <w:szCs w:val="21"/>
              </w:rPr>
              <w:t>二甲苯</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22</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6</w:t>
            </w:r>
            <w:r>
              <w:rPr>
                <w:color w:val="auto"/>
                <w:kern w:val="0"/>
                <w:sz w:val="21"/>
                <w:szCs w:val="21"/>
              </w:rPr>
              <w:t>40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6</w:t>
            </w:r>
            <w:r>
              <w:rPr>
                <w:color w:val="auto"/>
                <w:kern w:val="0"/>
                <w:sz w:val="21"/>
                <w:szCs w:val="21"/>
              </w:rPr>
              <w:t>40</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6</w:t>
            </w:r>
            <w:r>
              <w:rPr>
                <w:color w:val="auto"/>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34</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间</w:t>
            </w:r>
            <w:r>
              <w:rPr>
                <w:color w:val="auto"/>
                <w:kern w:val="0"/>
                <w:sz w:val="21"/>
                <w:szCs w:val="21"/>
              </w:rPr>
              <w:t>-</w:t>
            </w:r>
            <w:r>
              <w:rPr>
                <w:rFonts w:hint="eastAsia"/>
                <w:color w:val="auto"/>
                <w:kern w:val="0"/>
                <w:sz w:val="21"/>
                <w:szCs w:val="21"/>
              </w:rPr>
              <w:t>二甲苯</w:t>
            </w:r>
            <w:r>
              <w:rPr>
                <w:color w:val="auto"/>
                <w:kern w:val="0"/>
                <w:sz w:val="21"/>
                <w:szCs w:val="21"/>
              </w:rPr>
              <w:t>+</w:t>
            </w:r>
            <w:r>
              <w:rPr>
                <w:rFonts w:hint="eastAsia"/>
                <w:color w:val="auto"/>
                <w:kern w:val="0"/>
                <w:sz w:val="21"/>
                <w:szCs w:val="21"/>
              </w:rPr>
              <w:t>对</w:t>
            </w:r>
            <w:r>
              <w:rPr>
                <w:color w:val="auto"/>
                <w:kern w:val="0"/>
                <w:sz w:val="21"/>
                <w:szCs w:val="21"/>
              </w:rPr>
              <w:t>-</w:t>
            </w:r>
            <w:r>
              <w:rPr>
                <w:rFonts w:hint="eastAsia"/>
                <w:color w:val="auto"/>
                <w:kern w:val="0"/>
                <w:sz w:val="21"/>
                <w:szCs w:val="21"/>
              </w:rPr>
              <w:t>二甲苯</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63</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70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00</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00" w:type="pct"/>
            <w:gridSpan w:val="6"/>
            <w:noWrap w:val="0"/>
            <w:vAlign w:val="center"/>
          </w:tcPr>
          <w:p>
            <w:pPr>
              <w:snapToGrid w:val="0"/>
              <w:spacing w:line="240" w:lineRule="auto"/>
              <w:ind w:firstLine="0" w:firstLineChars="0"/>
              <w:jc w:val="center"/>
              <w:rPr>
                <w:rFonts w:hint="eastAsia"/>
                <w:color w:val="auto"/>
                <w:kern w:val="0"/>
                <w:sz w:val="21"/>
                <w:szCs w:val="21"/>
              </w:rPr>
            </w:pPr>
            <w:r>
              <w:rPr>
                <w:rFonts w:hint="eastAsia"/>
                <w:b/>
                <w:bCs/>
                <w:color w:val="auto"/>
                <w:kern w:val="0"/>
                <w:sz w:val="21"/>
                <w:szCs w:val="21"/>
              </w:rPr>
              <w:t>半</w:t>
            </w:r>
            <w:r>
              <w:rPr>
                <w:b/>
                <w:bCs/>
                <w:color w:val="auto"/>
                <w:kern w:val="0"/>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35</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硝基苯</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3</w:t>
            </w:r>
            <w:r>
              <w:rPr>
                <w:color w:val="auto"/>
                <w:kern w:val="0"/>
                <w:sz w:val="21"/>
                <w:szCs w:val="21"/>
              </w:rPr>
              <w:t>4</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7</w:t>
            </w:r>
            <w:r>
              <w:rPr>
                <w:color w:val="auto"/>
                <w:kern w:val="0"/>
                <w:sz w:val="21"/>
                <w:szCs w:val="21"/>
              </w:rPr>
              <w:t>6</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90</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7</w:t>
            </w:r>
            <w:r>
              <w:rPr>
                <w:color w:val="auto"/>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36</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苯胺</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9</w:t>
            </w:r>
            <w:r>
              <w:rPr>
                <w:color w:val="auto"/>
                <w:kern w:val="0"/>
                <w:sz w:val="21"/>
                <w:szCs w:val="21"/>
              </w:rPr>
              <w:t>2</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60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11</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6</w:t>
            </w:r>
            <w:r>
              <w:rPr>
                <w:color w:val="auto"/>
                <w:kern w:val="0"/>
                <w:sz w:val="21"/>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37</w:t>
            </w:r>
          </w:p>
        </w:tc>
        <w:tc>
          <w:tcPr>
            <w:tcW w:w="1265"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2-</w:t>
            </w:r>
            <w:r>
              <w:rPr>
                <w:rFonts w:hint="eastAsia"/>
                <w:color w:val="auto"/>
                <w:kern w:val="0"/>
                <w:sz w:val="21"/>
                <w:szCs w:val="21"/>
              </w:rPr>
              <w:t>氯酚</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50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256</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00</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4</w:t>
            </w:r>
            <w:r>
              <w:rPr>
                <w:color w:val="auto"/>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38</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苯并</w:t>
            </w:r>
            <w:r>
              <w:rPr>
                <w:color w:val="auto"/>
                <w:kern w:val="0"/>
                <w:sz w:val="21"/>
                <w:szCs w:val="21"/>
              </w:rPr>
              <w:t>(a)</w:t>
            </w:r>
            <w:r>
              <w:rPr>
                <w:rFonts w:hint="eastAsia"/>
                <w:color w:val="auto"/>
                <w:kern w:val="0"/>
                <w:sz w:val="21"/>
                <w:szCs w:val="21"/>
              </w:rPr>
              <w:t>蒽</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5</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39</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苯并</w:t>
            </w:r>
            <w:r>
              <w:rPr>
                <w:color w:val="auto"/>
                <w:kern w:val="0"/>
                <w:sz w:val="21"/>
                <w:szCs w:val="21"/>
              </w:rPr>
              <w:t>(a)</w:t>
            </w:r>
            <w:r>
              <w:rPr>
                <w:rFonts w:hint="eastAsia"/>
                <w:color w:val="auto"/>
                <w:kern w:val="0"/>
                <w:sz w:val="21"/>
                <w:szCs w:val="21"/>
              </w:rPr>
              <w:t>芘</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0</w:t>
            </w:r>
            <w:r>
              <w:rPr>
                <w:color w:val="auto"/>
                <w:kern w:val="0"/>
                <w:sz w:val="21"/>
                <w:szCs w:val="21"/>
              </w:rPr>
              <w:t>.55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.5</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40</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苯并</w:t>
            </w:r>
            <w:r>
              <w:rPr>
                <w:color w:val="auto"/>
                <w:kern w:val="0"/>
                <w:sz w:val="21"/>
                <w:szCs w:val="21"/>
              </w:rPr>
              <w:t>(b)</w:t>
            </w:r>
            <w:r>
              <w:rPr>
                <w:rFonts w:hint="eastAsia"/>
                <w:color w:val="auto"/>
                <w:kern w:val="0"/>
                <w:sz w:val="21"/>
                <w:szCs w:val="21"/>
              </w:rPr>
              <w:t>荧蒽</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5</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41</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苯并</w:t>
            </w:r>
            <w:r>
              <w:rPr>
                <w:color w:val="auto"/>
                <w:kern w:val="0"/>
                <w:sz w:val="21"/>
                <w:szCs w:val="21"/>
              </w:rPr>
              <w:t>(k)</w:t>
            </w:r>
            <w:r>
              <w:rPr>
                <w:rFonts w:hint="eastAsia"/>
                <w:color w:val="auto"/>
                <w:kern w:val="0"/>
                <w:sz w:val="21"/>
                <w:szCs w:val="21"/>
              </w:rPr>
              <w:t>荧蒽</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51</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50</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42</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䓛</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4</w:t>
            </w:r>
            <w:r>
              <w:rPr>
                <w:color w:val="auto"/>
                <w:kern w:val="0"/>
                <w:sz w:val="21"/>
                <w:szCs w:val="21"/>
              </w:rPr>
              <w:t>90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293</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4</w:t>
            </w:r>
            <w:r>
              <w:rPr>
                <w:color w:val="auto"/>
                <w:kern w:val="0"/>
                <w:sz w:val="21"/>
                <w:szCs w:val="21"/>
              </w:rPr>
              <w:t>900</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43</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二苯并</w:t>
            </w:r>
            <w:r>
              <w:rPr>
                <w:color w:val="auto"/>
                <w:kern w:val="0"/>
                <w:sz w:val="21"/>
                <w:szCs w:val="21"/>
              </w:rPr>
              <w:t>(a, h)</w:t>
            </w:r>
            <w:r>
              <w:rPr>
                <w:rFonts w:hint="eastAsia"/>
                <w:color w:val="auto"/>
                <w:kern w:val="0"/>
                <w:sz w:val="21"/>
                <w:szCs w:val="21"/>
              </w:rPr>
              <w:t>蒽</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0</w:t>
            </w:r>
            <w:r>
              <w:rPr>
                <w:color w:val="auto"/>
                <w:kern w:val="0"/>
                <w:sz w:val="21"/>
                <w:szCs w:val="21"/>
              </w:rPr>
              <w:t>.55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.5</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44</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茚并</w:t>
            </w:r>
            <w:r>
              <w:rPr>
                <w:color w:val="auto"/>
                <w:kern w:val="0"/>
                <w:sz w:val="21"/>
                <w:szCs w:val="21"/>
              </w:rPr>
              <w:t>(1,2,3-c,d)</w:t>
            </w:r>
            <w:r>
              <w:rPr>
                <w:rFonts w:hint="eastAsia"/>
                <w:color w:val="auto"/>
                <w:kern w:val="0"/>
                <w:sz w:val="21"/>
                <w:szCs w:val="21"/>
              </w:rPr>
              <w:t>芘</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1</w:t>
            </w:r>
            <w:r>
              <w:rPr>
                <w:color w:val="auto"/>
                <w:kern w:val="0"/>
                <w:sz w:val="21"/>
                <w:szCs w:val="21"/>
              </w:rPr>
              <w:t>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5</w:t>
            </w:r>
            <w:r>
              <w:rPr>
                <w:color w:val="auto"/>
                <w:kern w:val="0"/>
                <w:sz w:val="21"/>
                <w:szCs w:val="21"/>
              </w:rPr>
              <w:t>5</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color w:val="auto"/>
                <w:kern w:val="0"/>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noWrap w:val="0"/>
            <w:vAlign w:val="center"/>
          </w:tcPr>
          <w:p>
            <w:pPr>
              <w:snapToGrid w:val="0"/>
              <w:spacing w:line="240" w:lineRule="auto"/>
              <w:ind w:firstLine="0" w:firstLineChars="0"/>
              <w:jc w:val="center"/>
              <w:rPr>
                <w:color w:val="auto"/>
                <w:kern w:val="0"/>
                <w:sz w:val="21"/>
                <w:szCs w:val="21"/>
              </w:rPr>
            </w:pPr>
            <w:r>
              <w:rPr>
                <w:color w:val="auto"/>
                <w:kern w:val="0"/>
                <w:sz w:val="21"/>
                <w:szCs w:val="21"/>
              </w:rPr>
              <w:t>45</w:t>
            </w:r>
          </w:p>
        </w:tc>
        <w:tc>
          <w:tcPr>
            <w:tcW w:w="1265" w:type="pct"/>
            <w:noWrap w:val="0"/>
            <w:vAlign w:val="center"/>
          </w:tcPr>
          <w:p>
            <w:pPr>
              <w:snapToGrid w:val="0"/>
              <w:spacing w:line="240" w:lineRule="auto"/>
              <w:ind w:firstLine="0" w:firstLineChars="0"/>
              <w:jc w:val="center"/>
              <w:rPr>
                <w:color w:val="auto"/>
                <w:kern w:val="0"/>
                <w:sz w:val="21"/>
                <w:szCs w:val="21"/>
              </w:rPr>
            </w:pPr>
            <w:r>
              <w:rPr>
                <w:rFonts w:hint="eastAsia"/>
                <w:color w:val="auto"/>
                <w:kern w:val="0"/>
                <w:sz w:val="21"/>
                <w:szCs w:val="21"/>
              </w:rPr>
              <w:t>萘</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5</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7</w:t>
            </w:r>
            <w:r>
              <w:rPr>
                <w:color w:val="auto"/>
                <w:kern w:val="0"/>
                <w:sz w:val="21"/>
                <w:szCs w:val="21"/>
              </w:rPr>
              <w:t>0</w:t>
            </w:r>
          </w:p>
        </w:tc>
        <w:tc>
          <w:tcPr>
            <w:tcW w:w="829"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2</w:t>
            </w:r>
            <w:r>
              <w:rPr>
                <w:color w:val="auto"/>
                <w:kern w:val="0"/>
                <w:sz w:val="21"/>
                <w:szCs w:val="21"/>
              </w:rPr>
              <w:t>55</w:t>
            </w:r>
          </w:p>
        </w:tc>
        <w:tc>
          <w:tcPr>
            <w:tcW w:w="830" w:type="pct"/>
            <w:noWrap w:val="0"/>
            <w:vAlign w:val="center"/>
          </w:tcPr>
          <w:p>
            <w:pPr>
              <w:snapToGrid w:val="0"/>
              <w:spacing w:line="240" w:lineRule="auto"/>
              <w:ind w:firstLine="0" w:firstLineChars="0"/>
              <w:jc w:val="center"/>
              <w:rPr>
                <w:rFonts w:hint="eastAsia"/>
                <w:color w:val="auto"/>
                <w:kern w:val="0"/>
                <w:sz w:val="21"/>
                <w:szCs w:val="21"/>
              </w:rPr>
            </w:pPr>
            <w:r>
              <w:rPr>
                <w:rFonts w:hint="eastAsia"/>
                <w:color w:val="auto"/>
                <w:kern w:val="0"/>
                <w:sz w:val="21"/>
                <w:szCs w:val="21"/>
              </w:rPr>
              <w:t>7</w:t>
            </w:r>
            <w:r>
              <w:rPr>
                <w:color w:val="auto"/>
                <w:kern w:val="0"/>
                <w:sz w:val="21"/>
                <w:szCs w:val="21"/>
              </w:rPr>
              <w:t>00</w:t>
            </w:r>
          </w:p>
        </w:tc>
      </w:tr>
    </w:tbl>
    <w:p>
      <w:pPr>
        <w:pStyle w:val="69"/>
        <w:rPr>
          <w:rFonts w:hint="eastAsia"/>
          <w:color w:val="auto"/>
          <w:u w:val="none"/>
        </w:rPr>
      </w:pPr>
      <w:r>
        <w:rPr>
          <w:rFonts w:hint="eastAsia"/>
          <w:color w:val="auto"/>
          <w:u w:val="none"/>
        </w:rPr>
        <w:t>1.6.1.4 声环境质量标准</w:t>
      </w:r>
      <w:bookmarkEnd w:id="78"/>
      <w:bookmarkEnd w:id="79"/>
      <w:bookmarkEnd w:id="80"/>
    </w:p>
    <w:p>
      <w:pPr>
        <w:ind w:firstLine="480"/>
        <w:jc w:val="both"/>
        <w:rPr>
          <w:rFonts w:hint="eastAsia"/>
          <w:color w:val="auto"/>
          <w:kern w:val="0"/>
          <w:u w:val="none"/>
        </w:rPr>
      </w:pPr>
      <w:r>
        <w:rPr>
          <w:rFonts w:hint="eastAsia"/>
          <w:color w:val="auto"/>
          <w:kern w:val="0"/>
          <w:szCs w:val="21"/>
          <w:u w:val="none"/>
          <w:lang w:eastAsia="zh-CN"/>
        </w:rPr>
        <w:t>项目位于</w:t>
      </w:r>
      <w:r>
        <w:rPr>
          <w:rFonts w:hint="eastAsia" w:cs="宋体"/>
          <w:b w:val="0"/>
          <w:bCs/>
          <w:color w:val="auto"/>
          <w:kern w:val="0"/>
          <w:u w:val="single"/>
          <w:lang w:eastAsia="zh-CN"/>
        </w:rPr>
        <w:t>湘西州永顺县灵溪镇岔那村（猛洞河产业园内）</w:t>
      </w:r>
      <w:r>
        <w:rPr>
          <w:rFonts w:hint="eastAsia"/>
          <w:color w:val="auto"/>
          <w:kern w:val="0"/>
          <w:szCs w:val="21"/>
          <w:u w:val="none"/>
          <w:lang w:eastAsia="zh-CN"/>
        </w:rPr>
        <w:t>，区域以工业生产、仓储物流为主要功能</w:t>
      </w:r>
      <w:r>
        <w:rPr>
          <w:rFonts w:hint="eastAsia"/>
          <w:color w:val="auto"/>
          <w:kern w:val="0"/>
          <w:u w:val="none"/>
        </w:rPr>
        <w:t>。故区域内声环境质量执行《声环境质量标准》（GB3096-2008）中的</w:t>
      </w:r>
      <w:r>
        <w:rPr>
          <w:rFonts w:hint="eastAsia"/>
          <w:color w:val="auto"/>
          <w:kern w:val="0"/>
          <w:u w:val="none"/>
          <w:lang w:val="en-US" w:eastAsia="zh-CN"/>
        </w:rPr>
        <w:t>3</w:t>
      </w:r>
      <w:r>
        <w:rPr>
          <w:rFonts w:hint="eastAsia"/>
          <w:color w:val="auto"/>
          <w:kern w:val="0"/>
          <w:u w:val="none"/>
        </w:rPr>
        <w:t>类区标准，</w:t>
      </w:r>
      <w:r>
        <w:rPr>
          <w:rFonts w:hint="eastAsia" w:cs="宋体"/>
          <w:color w:val="auto"/>
          <w:kern w:val="0"/>
          <w:u w:val="none"/>
        </w:rPr>
        <w:t>标准值详见下表</w:t>
      </w:r>
      <w:r>
        <w:rPr>
          <w:color w:val="auto"/>
          <w:kern w:val="0"/>
          <w:u w:val="none"/>
        </w:rPr>
        <w:t>1.</w:t>
      </w:r>
      <w:r>
        <w:rPr>
          <w:rFonts w:hint="eastAsia"/>
          <w:color w:val="auto"/>
          <w:kern w:val="0"/>
          <w:u w:val="none"/>
        </w:rPr>
        <w:t>6-</w:t>
      </w:r>
      <w:r>
        <w:rPr>
          <w:color w:val="auto"/>
          <w:kern w:val="0"/>
          <w:u w:val="none"/>
        </w:rPr>
        <w:t>4</w:t>
      </w:r>
      <w:r>
        <w:rPr>
          <w:rFonts w:hint="eastAsia"/>
          <w:color w:val="auto"/>
          <w:kern w:val="0"/>
          <w:u w:val="none"/>
        </w:rPr>
        <w:t>。</w:t>
      </w:r>
    </w:p>
    <w:p>
      <w:pPr>
        <w:pStyle w:val="124"/>
        <w:bidi w:val="0"/>
        <w:rPr>
          <w:rFonts w:hint="eastAsia"/>
        </w:rPr>
      </w:pPr>
      <w:r>
        <w:rPr>
          <w:rFonts w:hint="eastAsia"/>
        </w:rPr>
        <w:t>表1.6-</w:t>
      </w:r>
      <w:r>
        <w:t xml:space="preserve">4 </w:t>
      </w:r>
      <w:r>
        <w:rPr>
          <w:rFonts w:hint="eastAsia"/>
        </w:rPr>
        <w:t xml:space="preserve"> 声环境质量标准 单位：dB（A）</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1"/>
        <w:gridCol w:w="2822"/>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422"/>
              <w:jc w:val="center"/>
              <w:rPr>
                <w:rFonts w:hint="eastAsia"/>
                <w:b/>
                <w:color w:val="auto"/>
                <w:kern w:val="0"/>
                <w:sz w:val="21"/>
                <w:szCs w:val="21"/>
                <w:u w:val="none"/>
              </w:rPr>
            </w:pPr>
            <w:r>
              <w:rPr>
                <w:rFonts w:hint="eastAsia"/>
                <w:b/>
                <w:color w:val="auto"/>
                <w:kern w:val="0"/>
                <w:sz w:val="21"/>
                <w:szCs w:val="21"/>
                <w:u w:val="none"/>
              </w:rPr>
              <w:t>执行标准</w:t>
            </w:r>
          </w:p>
        </w:tc>
        <w:tc>
          <w:tcPr>
            <w:tcW w:w="2841" w:type="dxa"/>
            <w:noWrap w:val="0"/>
            <w:vAlign w:val="center"/>
          </w:tcPr>
          <w:p>
            <w:pPr>
              <w:spacing w:line="240" w:lineRule="auto"/>
              <w:ind w:firstLine="422"/>
              <w:jc w:val="center"/>
              <w:rPr>
                <w:rFonts w:hint="eastAsia"/>
                <w:b/>
                <w:color w:val="auto"/>
                <w:kern w:val="0"/>
                <w:sz w:val="21"/>
                <w:szCs w:val="21"/>
                <w:u w:val="none"/>
              </w:rPr>
            </w:pPr>
            <w:r>
              <w:rPr>
                <w:rFonts w:hint="eastAsia"/>
                <w:b/>
                <w:color w:val="auto"/>
                <w:kern w:val="0"/>
                <w:sz w:val="21"/>
                <w:szCs w:val="21"/>
                <w:u w:val="none"/>
              </w:rPr>
              <w:t>昼间</w:t>
            </w:r>
          </w:p>
        </w:tc>
        <w:tc>
          <w:tcPr>
            <w:tcW w:w="2841" w:type="dxa"/>
            <w:noWrap w:val="0"/>
            <w:vAlign w:val="center"/>
          </w:tcPr>
          <w:p>
            <w:pPr>
              <w:spacing w:line="240" w:lineRule="auto"/>
              <w:ind w:firstLine="422"/>
              <w:jc w:val="center"/>
              <w:rPr>
                <w:rFonts w:hint="eastAsia"/>
                <w:b/>
                <w:color w:val="auto"/>
                <w:kern w:val="0"/>
                <w:sz w:val="21"/>
                <w:szCs w:val="21"/>
                <w:u w:val="none"/>
              </w:rPr>
            </w:pPr>
            <w:r>
              <w:rPr>
                <w:rFonts w:hint="eastAsia"/>
                <w:b/>
                <w:color w:val="auto"/>
                <w:kern w:val="0"/>
                <w:sz w:val="21"/>
                <w:szCs w:val="21"/>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420"/>
              <w:jc w:val="center"/>
              <w:rPr>
                <w:rFonts w:hint="eastAsia"/>
                <w:color w:val="auto"/>
                <w:kern w:val="0"/>
                <w:sz w:val="21"/>
                <w:szCs w:val="21"/>
                <w:u w:val="none"/>
              </w:rPr>
            </w:pPr>
            <w:r>
              <w:rPr>
                <w:rFonts w:hint="eastAsia"/>
                <w:color w:val="auto"/>
                <w:kern w:val="0"/>
                <w:sz w:val="21"/>
                <w:szCs w:val="21"/>
                <w:u w:val="none"/>
                <w:lang w:val="en-US" w:eastAsia="zh-CN"/>
              </w:rPr>
              <w:t>3</w:t>
            </w:r>
            <w:r>
              <w:rPr>
                <w:rFonts w:hint="eastAsia"/>
                <w:color w:val="auto"/>
                <w:kern w:val="0"/>
                <w:sz w:val="21"/>
                <w:szCs w:val="21"/>
                <w:u w:val="none"/>
              </w:rPr>
              <w:t>类</w:t>
            </w:r>
          </w:p>
        </w:tc>
        <w:tc>
          <w:tcPr>
            <w:tcW w:w="2841" w:type="dxa"/>
            <w:noWrap w:val="0"/>
            <w:vAlign w:val="center"/>
          </w:tcPr>
          <w:p>
            <w:pPr>
              <w:spacing w:line="240" w:lineRule="auto"/>
              <w:ind w:firstLine="42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65</w:t>
            </w:r>
          </w:p>
        </w:tc>
        <w:tc>
          <w:tcPr>
            <w:tcW w:w="2841" w:type="dxa"/>
            <w:noWrap w:val="0"/>
            <w:vAlign w:val="center"/>
          </w:tcPr>
          <w:p>
            <w:pPr>
              <w:spacing w:line="240" w:lineRule="auto"/>
              <w:ind w:firstLine="42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55</w:t>
            </w:r>
          </w:p>
        </w:tc>
      </w:tr>
    </w:tbl>
    <w:p>
      <w:pPr>
        <w:pStyle w:val="69"/>
        <w:rPr>
          <w:rFonts w:hint="eastAsia"/>
          <w:color w:val="auto"/>
          <w:u w:val="none"/>
        </w:rPr>
      </w:pPr>
      <w:bookmarkStart w:id="81" w:name="_Toc489350217"/>
      <w:bookmarkStart w:id="82" w:name="_Toc489350116"/>
      <w:bookmarkStart w:id="83" w:name="_Toc489349960"/>
      <w:r>
        <w:rPr>
          <w:rFonts w:hint="eastAsia"/>
          <w:color w:val="auto"/>
          <w:u w:val="none"/>
        </w:rPr>
        <w:t>1.6.1.</w:t>
      </w:r>
      <w:r>
        <w:rPr>
          <w:color w:val="auto"/>
          <w:u w:val="none"/>
        </w:rPr>
        <w:t>5</w:t>
      </w:r>
      <w:r>
        <w:rPr>
          <w:rFonts w:hint="eastAsia"/>
          <w:color w:val="auto"/>
          <w:u w:val="none"/>
        </w:rPr>
        <w:t xml:space="preserve"> 地下水质量标准</w:t>
      </w:r>
    </w:p>
    <w:p>
      <w:pPr>
        <w:ind w:firstLine="480"/>
        <w:rPr>
          <w:color w:val="auto"/>
          <w:u w:val="none"/>
        </w:rPr>
      </w:pPr>
      <w:r>
        <w:rPr>
          <w:color w:val="auto"/>
          <w:u w:val="none"/>
        </w:rPr>
        <w:t>执行</w:t>
      </w:r>
      <w:bookmarkStart w:id="84" w:name="_Hlk25826795"/>
      <w:r>
        <w:rPr>
          <w:color w:val="auto"/>
          <w:u w:val="none"/>
        </w:rPr>
        <w:t>《地下水质量标准》（GB/T14848-2017）</w:t>
      </w:r>
      <w:bookmarkEnd w:id="84"/>
      <w:r>
        <w:rPr>
          <w:rFonts w:hint="eastAsia" w:cs="宋体"/>
          <w:color w:val="auto"/>
          <w:u w:val="none"/>
        </w:rPr>
        <w:t>Ⅲ</w:t>
      </w:r>
      <w:r>
        <w:rPr>
          <w:color w:val="auto"/>
          <w:u w:val="none"/>
        </w:rPr>
        <w:t>类标准。见表1.6-5。</w:t>
      </w:r>
    </w:p>
    <w:p>
      <w:pPr>
        <w:pStyle w:val="124"/>
        <w:bidi w:val="0"/>
        <w:rPr>
          <w:color w:val="auto"/>
          <w:szCs w:val="21"/>
          <w:u w:val="none"/>
        </w:rPr>
      </w:pPr>
      <w:r>
        <w:t>表1.6-5 《地下水质量标准》（GB/T14848-2017）</w:t>
      </w:r>
      <w:r>
        <w:rPr>
          <w:rFonts w:hint="eastAsia"/>
        </w:rPr>
        <w:t>Ⅲ</w:t>
      </w:r>
      <w:r>
        <w:t>类</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16"/>
        <w:gridCol w:w="4864"/>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419" w:type="pct"/>
            <w:gridSpan w:val="2"/>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b/>
                <w:bCs/>
                <w:color w:val="auto"/>
                <w:u w:val="none"/>
              </w:rPr>
            </w:pPr>
            <w:r>
              <w:rPr>
                <w:rFonts w:hint="default" w:ascii="Times New Roman" w:hAnsi="Times New Roman" w:cs="Times New Roman"/>
                <w:b/>
                <w:bCs/>
                <w:color w:val="auto"/>
                <w:u w:val="none"/>
              </w:rPr>
              <w:t>污染物名称</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b/>
                <w:bCs/>
                <w:color w:val="auto"/>
                <w:u w:val="none"/>
              </w:rPr>
            </w:pPr>
            <w:r>
              <w:rPr>
                <w:rFonts w:hint="default" w:ascii="Times New Roman" w:hAnsi="Times New Roman" w:cs="Times New Roman"/>
                <w:b/>
                <w:bCs/>
                <w:color w:val="auto"/>
                <w:u w:val="no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1</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pH</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2</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cs="Times New Roman"/>
                <w:color w:val="auto"/>
                <w:u w:val="none"/>
              </w:rPr>
              <w:t>氨氮(NH</w:t>
            </w:r>
            <w:r>
              <w:rPr>
                <w:rFonts w:hint="default" w:ascii="Times New Roman" w:hAnsi="Times New Roman" w:eastAsia="Times New Roman" w:cs="Times New Roman"/>
                <w:color w:val="auto"/>
                <w:u w:val="none"/>
                <w:vertAlign w:val="subscript"/>
              </w:rPr>
              <w:t>4</w:t>
            </w:r>
            <w:r>
              <w:rPr>
                <w:rFonts w:hint="default" w:ascii="Times New Roman" w:hAnsi="Times New Roman" w:eastAsia="Times New Roman" w:cs="Times New Roman"/>
                <w:color w:val="auto"/>
                <w:u w:val="none"/>
              </w:rPr>
              <w:t>)(mg/L)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eastAsia="Times New Roman" w:cs="Times New Roman"/>
                <w:color w:val="auto"/>
                <w:u w:val="none"/>
              </w:rPr>
              <w:t>≤0.</w:t>
            </w:r>
            <w:r>
              <w:rPr>
                <w:rFonts w:hint="default" w:ascii="Times New Roman" w:hAnsi="Times New Roman" w:cs="Times New Roman"/>
                <w:color w:val="auto"/>
                <w:u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3</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cs="Times New Roman"/>
                <w:color w:val="auto"/>
                <w:u w:val="none"/>
              </w:rPr>
              <w:t>耗氧量(mg/L)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4</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cs="Times New Roman"/>
                <w:color w:val="auto"/>
                <w:u w:val="none"/>
              </w:rPr>
              <w:t>硫酸盐(mg/L)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5</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cs="Times New Roman"/>
                <w:color w:val="auto"/>
                <w:u w:val="none"/>
              </w:rPr>
              <w:t>氯化物(mg/L)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6</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cs="Times New Roman"/>
                <w:color w:val="auto"/>
                <w:u w:val="none"/>
              </w:rPr>
              <w:t>硝酸盐(以N计)(mg/L)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eastAsia="Times New Roman" w:cs="Times New Roman"/>
                <w:color w:val="auto"/>
                <w:u w:val="none"/>
              </w:rPr>
              <w:t>≤20</w:t>
            </w:r>
            <w:r>
              <w:rPr>
                <w:rFonts w:hint="default" w:ascii="Times New Roman" w:hAnsi="Times New Roman" w:cs="Times New Roman"/>
                <w:color w:val="auto"/>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7</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cs="Times New Roman"/>
                <w:color w:val="auto"/>
                <w:u w:val="none"/>
              </w:rPr>
              <w:t>镉(Cd)(mg/L)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eastAsia="Times New Roman" w:cs="Times New Roman"/>
                <w:color w:val="auto"/>
                <w:u w:val="none"/>
              </w:rPr>
              <w:t>≤0.0</w:t>
            </w:r>
            <w:r>
              <w:rPr>
                <w:rFonts w:hint="default" w:ascii="Times New Roman" w:hAnsi="Times New Roman" w:cs="Times New Roman"/>
                <w:color w:val="auto"/>
                <w:u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8</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cs="Times New Roman"/>
                <w:color w:val="auto"/>
                <w:u w:val="none"/>
              </w:rPr>
              <w:t>铬(六价)(Cr</w:t>
            </w:r>
            <w:r>
              <w:rPr>
                <w:rFonts w:hint="default" w:ascii="Times New Roman" w:hAnsi="Times New Roman" w:eastAsia="Times New Roman" w:cs="Times New Roman"/>
                <w:color w:val="auto"/>
                <w:u w:val="none"/>
                <w:vertAlign w:val="superscript"/>
              </w:rPr>
              <w:t>6+</w:t>
            </w:r>
            <w:r>
              <w:rPr>
                <w:rFonts w:hint="default" w:ascii="Times New Roman" w:hAnsi="Times New Roman" w:eastAsia="Times New Roman" w:cs="Times New Roman"/>
                <w:color w:val="auto"/>
                <w:u w:val="none"/>
              </w:rPr>
              <w:t>)(mg/L)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9</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cs="Times New Roman"/>
                <w:color w:val="auto"/>
                <w:u w:val="none"/>
              </w:rPr>
              <w:t>砷(As)(mg/L)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eastAsia="Times New Roman" w:cs="Times New Roman"/>
                <w:color w:val="auto"/>
                <w:u w:val="none"/>
              </w:rPr>
              <w:t>≤0.0</w:t>
            </w:r>
            <w:r>
              <w:rPr>
                <w:rFonts w:hint="default" w:ascii="Times New Roman" w:hAnsi="Times New Roman" w:cs="Times New Roman"/>
                <w:color w:val="auto"/>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≤0.0</w:t>
            </w:r>
            <w:r>
              <w:rPr>
                <w:rFonts w:hint="default" w:ascii="Times New Roman" w:hAnsi="Times New Roman" w:cs="Times New Roman"/>
                <w:color w:val="auto"/>
                <w:u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≤0.0</w:t>
            </w:r>
            <w:r>
              <w:rPr>
                <w:rFonts w:hint="default" w:ascii="Times New Roman" w:hAnsi="Times New Roman" w:cs="Times New Roman"/>
                <w:color w:val="auto"/>
                <w:u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w:t>
            </w:r>
            <w:r>
              <w:rPr>
                <w:rFonts w:hint="default" w:ascii="Times New Roman" w:hAnsi="Times New Roman" w:cs="Times New Roman"/>
                <w:color w:val="auto"/>
                <w:u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13</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锌</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eastAsia="Times New Roman" w:cs="Times New Roman"/>
                <w:color w:val="auto"/>
                <w:u w:val="none"/>
              </w:rPr>
              <w:t>≤</w:t>
            </w:r>
            <w:r>
              <w:rPr>
                <w:rFonts w:hint="default" w:ascii="Times New Roman" w:hAnsi="Times New Roman" w:cs="Times New Roman"/>
                <w:color w:val="auto"/>
                <w:u w:val="none"/>
              </w:rPr>
              <w:t>1.0</w:t>
            </w:r>
          </w:p>
        </w:tc>
      </w:tr>
    </w:tbl>
    <w:p>
      <w:pPr>
        <w:pStyle w:val="6"/>
        <w:bidi w:val="0"/>
        <w:rPr>
          <w:rFonts w:hint="eastAsia"/>
        </w:rPr>
      </w:pPr>
      <w:r>
        <w:rPr>
          <w:rFonts w:hint="eastAsia"/>
        </w:rPr>
        <w:t>1.6.2 污染物排放标准</w:t>
      </w:r>
      <w:bookmarkEnd w:id="81"/>
      <w:bookmarkEnd w:id="82"/>
      <w:bookmarkEnd w:id="83"/>
    </w:p>
    <w:p>
      <w:pPr>
        <w:pStyle w:val="69"/>
        <w:rPr>
          <w:rFonts w:hint="eastAsia"/>
          <w:color w:val="auto"/>
          <w:u w:val="none"/>
        </w:rPr>
      </w:pPr>
      <w:bookmarkStart w:id="85" w:name="_Toc489349961"/>
      <w:bookmarkStart w:id="86" w:name="_Toc489350218"/>
      <w:bookmarkStart w:id="87" w:name="_Toc489350117"/>
      <w:r>
        <w:rPr>
          <w:rFonts w:hint="eastAsia"/>
          <w:color w:val="auto"/>
          <w:u w:val="none"/>
        </w:rPr>
        <w:t>1.6.2.1施工期</w:t>
      </w:r>
      <w:bookmarkEnd w:id="85"/>
      <w:bookmarkEnd w:id="86"/>
      <w:bookmarkEnd w:id="87"/>
    </w:p>
    <w:p>
      <w:pPr>
        <w:ind w:firstLine="480"/>
        <w:rPr>
          <w:rFonts w:hint="eastAsia"/>
          <w:color w:val="auto"/>
          <w:kern w:val="0"/>
          <w:u w:val="none"/>
        </w:rPr>
      </w:pPr>
      <w:r>
        <w:rPr>
          <w:rFonts w:hint="eastAsia"/>
          <w:color w:val="auto"/>
          <w:kern w:val="0"/>
          <w:u w:val="none"/>
        </w:rPr>
        <w:t>（1）废气执行《大气污染物综合排放标准》（GB16297-1996）表2二级标准要求，标准值见下表1.6-</w:t>
      </w:r>
      <w:r>
        <w:rPr>
          <w:rFonts w:hint="eastAsia"/>
          <w:color w:val="auto"/>
          <w:kern w:val="0"/>
          <w:u w:val="none"/>
          <w:lang w:val="en-US" w:eastAsia="zh-CN"/>
        </w:rPr>
        <w:t>6</w:t>
      </w:r>
      <w:r>
        <w:rPr>
          <w:rFonts w:hint="eastAsia"/>
          <w:color w:val="auto"/>
          <w:kern w:val="0"/>
          <w:u w:val="none"/>
        </w:rPr>
        <w:t>。</w:t>
      </w:r>
    </w:p>
    <w:p>
      <w:pPr>
        <w:pStyle w:val="124"/>
        <w:bidi w:val="0"/>
        <w:rPr>
          <w:rFonts w:hint="eastAsia"/>
        </w:rPr>
      </w:pPr>
      <w:r>
        <w:rPr>
          <w:rFonts w:hint="eastAsia"/>
        </w:rPr>
        <w:t>表1.6-</w:t>
      </w:r>
      <w:r>
        <w:rPr>
          <w:rFonts w:hint="eastAsia"/>
          <w:lang w:val="en-US" w:eastAsia="zh-CN"/>
        </w:rPr>
        <w:t>6</w:t>
      </w:r>
      <w:r>
        <w:rPr>
          <w:rFonts w:hint="eastAsia"/>
        </w:rPr>
        <w:t xml:space="preserve"> 大气污染物综合排放标准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4"/>
        <w:gridCol w:w="2821"/>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0" w:type="dxa"/>
            <w:noWrap w:val="0"/>
            <w:vAlign w:val="center"/>
          </w:tcPr>
          <w:p>
            <w:pPr>
              <w:pStyle w:val="97"/>
              <w:rPr>
                <w:rFonts w:hint="eastAsia"/>
                <w:b/>
                <w:bCs/>
                <w:color w:val="auto"/>
                <w:u w:val="none"/>
              </w:rPr>
            </w:pPr>
            <w:r>
              <w:rPr>
                <w:rFonts w:hint="eastAsia"/>
                <w:b/>
                <w:bCs/>
                <w:color w:val="auto"/>
                <w:u w:val="none"/>
              </w:rPr>
              <w:t>污染物</w:t>
            </w:r>
          </w:p>
        </w:tc>
        <w:tc>
          <w:tcPr>
            <w:tcW w:w="2841" w:type="dxa"/>
            <w:noWrap w:val="0"/>
            <w:vAlign w:val="center"/>
          </w:tcPr>
          <w:p>
            <w:pPr>
              <w:pStyle w:val="97"/>
              <w:rPr>
                <w:rFonts w:hint="eastAsia"/>
                <w:b/>
                <w:bCs/>
                <w:color w:val="auto"/>
                <w:u w:val="none"/>
              </w:rPr>
            </w:pPr>
            <w:r>
              <w:rPr>
                <w:rFonts w:hint="eastAsia"/>
                <w:b/>
                <w:bCs/>
                <w:color w:val="auto"/>
                <w:u w:val="none"/>
              </w:rPr>
              <w:t>无组织排放监控浓度（mg/m）</w:t>
            </w:r>
          </w:p>
        </w:tc>
        <w:tc>
          <w:tcPr>
            <w:tcW w:w="2841" w:type="dxa"/>
            <w:noWrap w:val="0"/>
            <w:vAlign w:val="center"/>
          </w:tcPr>
          <w:p>
            <w:pPr>
              <w:pStyle w:val="97"/>
              <w:rPr>
                <w:rFonts w:hint="eastAsia"/>
                <w:b/>
                <w:bCs/>
                <w:color w:val="auto"/>
                <w:u w:val="none"/>
              </w:rPr>
            </w:pPr>
            <w:r>
              <w:rPr>
                <w:rFonts w:hint="eastAsia"/>
                <w:b/>
                <w:bCs/>
                <w:color w:val="auto"/>
                <w:u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840" w:type="dxa"/>
            <w:noWrap w:val="0"/>
            <w:vAlign w:val="center"/>
          </w:tcPr>
          <w:p>
            <w:pPr>
              <w:pStyle w:val="97"/>
              <w:rPr>
                <w:rFonts w:hint="eastAsia"/>
                <w:color w:val="auto"/>
                <w:u w:val="none"/>
              </w:rPr>
            </w:pPr>
            <w:r>
              <w:rPr>
                <w:rFonts w:hint="eastAsia"/>
                <w:color w:val="auto"/>
                <w:u w:val="none"/>
              </w:rPr>
              <w:t>SO</w:t>
            </w:r>
            <w:r>
              <w:rPr>
                <w:rFonts w:hint="eastAsia"/>
                <w:color w:val="auto"/>
                <w:u w:val="none"/>
                <w:vertAlign w:val="subscript"/>
              </w:rPr>
              <w:t>2</w:t>
            </w:r>
          </w:p>
        </w:tc>
        <w:tc>
          <w:tcPr>
            <w:tcW w:w="2841" w:type="dxa"/>
            <w:noWrap w:val="0"/>
            <w:vAlign w:val="center"/>
          </w:tcPr>
          <w:p>
            <w:pPr>
              <w:pStyle w:val="97"/>
              <w:rPr>
                <w:rFonts w:hint="eastAsia"/>
                <w:color w:val="auto"/>
                <w:u w:val="none"/>
              </w:rPr>
            </w:pPr>
            <w:r>
              <w:rPr>
                <w:rFonts w:hint="eastAsia"/>
                <w:color w:val="auto"/>
                <w:u w:val="none"/>
              </w:rPr>
              <w:t>0.40</w:t>
            </w:r>
          </w:p>
        </w:tc>
        <w:tc>
          <w:tcPr>
            <w:tcW w:w="2841" w:type="dxa"/>
            <w:vMerge w:val="restart"/>
            <w:noWrap w:val="0"/>
            <w:vAlign w:val="center"/>
          </w:tcPr>
          <w:p>
            <w:pPr>
              <w:pStyle w:val="97"/>
              <w:rPr>
                <w:color w:val="auto"/>
                <w:u w:val="none"/>
              </w:rPr>
            </w:pPr>
            <w:r>
              <w:rPr>
                <w:color w:val="auto"/>
                <w:u w:val="none"/>
              </w:rP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noWrap w:val="0"/>
            <w:vAlign w:val="center"/>
          </w:tcPr>
          <w:p>
            <w:pPr>
              <w:pStyle w:val="97"/>
              <w:rPr>
                <w:rFonts w:hint="eastAsia"/>
                <w:color w:val="auto"/>
                <w:u w:val="none"/>
              </w:rPr>
            </w:pPr>
            <w:r>
              <w:rPr>
                <w:rFonts w:hint="eastAsia"/>
                <w:color w:val="auto"/>
                <w:u w:val="none"/>
              </w:rPr>
              <w:t>颗粒物</w:t>
            </w:r>
          </w:p>
        </w:tc>
        <w:tc>
          <w:tcPr>
            <w:tcW w:w="2841" w:type="dxa"/>
            <w:noWrap w:val="0"/>
            <w:vAlign w:val="center"/>
          </w:tcPr>
          <w:p>
            <w:pPr>
              <w:pStyle w:val="97"/>
              <w:rPr>
                <w:rFonts w:hint="eastAsia"/>
                <w:color w:val="auto"/>
                <w:u w:val="none"/>
              </w:rPr>
            </w:pPr>
            <w:r>
              <w:rPr>
                <w:rFonts w:hint="eastAsia"/>
                <w:color w:val="auto"/>
                <w:u w:val="none"/>
              </w:rPr>
              <w:t>1.0</w:t>
            </w:r>
          </w:p>
        </w:tc>
        <w:tc>
          <w:tcPr>
            <w:tcW w:w="2841" w:type="dxa"/>
            <w:vMerge w:val="continue"/>
            <w:noWrap w:val="0"/>
            <w:vAlign w:val="center"/>
          </w:tcPr>
          <w:p>
            <w:pPr>
              <w:pStyle w:val="97"/>
              <w:rPr>
                <w:rFonts w:hint="eastAsia"/>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2840" w:type="dxa"/>
            <w:noWrap w:val="0"/>
            <w:vAlign w:val="center"/>
          </w:tcPr>
          <w:p>
            <w:pPr>
              <w:pStyle w:val="97"/>
              <w:rPr>
                <w:rFonts w:hint="eastAsia"/>
                <w:color w:val="auto"/>
                <w:u w:val="none"/>
                <w:vertAlign w:val="subscript"/>
              </w:rPr>
            </w:pPr>
            <w:r>
              <w:rPr>
                <w:rFonts w:hint="eastAsia"/>
                <w:color w:val="auto"/>
                <w:u w:val="none"/>
              </w:rPr>
              <w:t>NO</w:t>
            </w:r>
            <w:r>
              <w:rPr>
                <w:rFonts w:hint="eastAsia"/>
                <w:color w:val="auto"/>
                <w:u w:val="none"/>
                <w:vertAlign w:val="subscript"/>
              </w:rPr>
              <w:t>x</w:t>
            </w:r>
          </w:p>
        </w:tc>
        <w:tc>
          <w:tcPr>
            <w:tcW w:w="2841" w:type="dxa"/>
            <w:noWrap w:val="0"/>
            <w:vAlign w:val="center"/>
          </w:tcPr>
          <w:p>
            <w:pPr>
              <w:pStyle w:val="97"/>
              <w:rPr>
                <w:rFonts w:hint="eastAsia"/>
                <w:color w:val="auto"/>
                <w:u w:val="none"/>
              </w:rPr>
            </w:pPr>
            <w:r>
              <w:rPr>
                <w:rFonts w:hint="eastAsia"/>
                <w:color w:val="auto"/>
                <w:u w:val="none"/>
              </w:rPr>
              <w:t>0.1</w:t>
            </w:r>
          </w:p>
        </w:tc>
        <w:tc>
          <w:tcPr>
            <w:tcW w:w="2841" w:type="dxa"/>
            <w:vMerge w:val="continue"/>
            <w:noWrap w:val="0"/>
            <w:vAlign w:val="center"/>
          </w:tcPr>
          <w:p>
            <w:pPr>
              <w:pStyle w:val="97"/>
              <w:rPr>
                <w:rFonts w:hint="eastAsia"/>
                <w:color w:val="auto"/>
                <w:u w:val="none"/>
              </w:rPr>
            </w:pPr>
          </w:p>
        </w:tc>
      </w:tr>
    </w:tbl>
    <w:p>
      <w:pPr>
        <w:ind w:firstLine="480"/>
        <w:rPr>
          <w:rFonts w:hint="eastAsia"/>
          <w:color w:val="auto"/>
          <w:kern w:val="0"/>
          <w:u w:val="none"/>
        </w:rPr>
      </w:pPr>
      <w:r>
        <w:rPr>
          <w:rFonts w:hint="eastAsia"/>
          <w:color w:val="auto"/>
          <w:kern w:val="0"/>
          <w:u w:val="none"/>
        </w:rPr>
        <w:t>（</w:t>
      </w:r>
      <w:r>
        <w:rPr>
          <w:rFonts w:hint="eastAsia"/>
          <w:color w:val="auto"/>
          <w:kern w:val="0"/>
          <w:u w:val="none"/>
          <w:lang w:val="en-US" w:eastAsia="zh-CN"/>
        </w:rPr>
        <w:t>2</w:t>
      </w:r>
      <w:r>
        <w:rPr>
          <w:rFonts w:hint="eastAsia"/>
          <w:color w:val="auto"/>
          <w:kern w:val="0"/>
          <w:u w:val="none"/>
        </w:rPr>
        <w:t>）噪声排放执行《建筑施工场界环境噪声排放标准》（GB12523-2011）中标准，具体见下表1.6-</w:t>
      </w:r>
      <w:r>
        <w:rPr>
          <w:rFonts w:hint="eastAsia"/>
          <w:color w:val="auto"/>
          <w:kern w:val="0"/>
          <w:u w:val="none"/>
          <w:lang w:val="en-US" w:eastAsia="zh-CN"/>
        </w:rPr>
        <w:t>7</w:t>
      </w:r>
      <w:r>
        <w:rPr>
          <w:rFonts w:hint="eastAsia"/>
          <w:color w:val="auto"/>
          <w:kern w:val="0"/>
          <w:u w:val="none"/>
        </w:rPr>
        <w:t>所示。</w:t>
      </w:r>
    </w:p>
    <w:p>
      <w:pPr>
        <w:pStyle w:val="124"/>
        <w:bidi w:val="0"/>
        <w:rPr>
          <w:rFonts w:hint="eastAsia"/>
        </w:rPr>
      </w:pPr>
      <w:r>
        <w:rPr>
          <w:rFonts w:hint="eastAsia"/>
        </w:rPr>
        <w:t>表1.6-</w:t>
      </w:r>
      <w:r>
        <w:rPr>
          <w:rFonts w:hint="eastAsia"/>
          <w:lang w:val="en-US" w:eastAsia="zh-CN"/>
        </w:rPr>
        <w:t>7</w:t>
      </w:r>
      <w:r>
        <w:t xml:space="preserve">  </w:t>
      </w:r>
      <w:r>
        <w:rPr>
          <w:rFonts w:hint="eastAsia"/>
        </w:rPr>
        <w:t>施工期噪声排放限值</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2817"/>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1" w:type="dxa"/>
            <w:gridSpan w:val="2"/>
            <w:noWrap w:val="0"/>
            <w:vAlign w:val="center"/>
          </w:tcPr>
          <w:p>
            <w:pPr>
              <w:pStyle w:val="13"/>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噪声限值</w:t>
            </w:r>
          </w:p>
        </w:tc>
        <w:tc>
          <w:tcPr>
            <w:tcW w:w="2841" w:type="dxa"/>
            <w:noWrap w:val="0"/>
            <w:vAlign w:val="center"/>
          </w:tcPr>
          <w:p>
            <w:pPr>
              <w:pStyle w:val="13"/>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昼间</w:t>
            </w:r>
          </w:p>
        </w:tc>
        <w:tc>
          <w:tcPr>
            <w:tcW w:w="2841" w:type="dxa"/>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夜间</w:t>
            </w:r>
          </w:p>
        </w:tc>
        <w:tc>
          <w:tcPr>
            <w:tcW w:w="2841" w:type="dxa"/>
            <w:vMerge w:val="restart"/>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70</w:t>
            </w:r>
          </w:p>
        </w:tc>
        <w:tc>
          <w:tcPr>
            <w:tcW w:w="2841" w:type="dxa"/>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55</w:t>
            </w:r>
          </w:p>
        </w:tc>
        <w:tc>
          <w:tcPr>
            <w:tcW w:w="2841" w:type="dxa"/>
            <w:vMerge w:val="continue"/>
            <w:noWrap w:val="0"/>
            <w:vAlign w:val="center"/>
          </w:tcPr>
          <w:p>
            <w:pPr>
              <w:pStyle w:val="13"/>
              <w:rPr>
                <w:rFonts w:hint="default" w:ascii="Times New Roman" w:hAnsi="Times New Roman" w:cs="Times New Roman"/>
                <w:color w:val="auto"/>
                <w:sz w:val="21"/>
                <w:szCs w:val="21"/>
                <w:u w:val="none"/>
              </w:rPr>
            </w:pPr>
          </w:p>
        </w:tc>
      </w:tr>
    </w:tbl>
    <w:p>
      <w:pPr>
        <w:ind w:firstLine="480"/>
        <w:jc w:val="both"/>
        <w:rPr>
          <w:rFonts w:hint="eastAsia"/>
          <w:color w:val="auto"/>
          <w:kern w:val="0"/>
          <w:u w:val="none"/>
        </w:rPr>
      </w:pPr>
      <w:r>
        <w:rPr>
          <w:rFonts w:hint="eastAsia"/>
          <w:color w:val="auto"/>
          <w:kern w:val="0"/>
          <w:u w:val="none"/>
        </w:rPr>
        <w:t>（</w:t>
      </w:r>
      <w:r>
        <w:rPr>
          <w:rFonts w:hint="eastAsia"/>
          <w:color w:val="auto"/>
          <w:kern w:val="0"/>
          <w:u w:val="none"/>
          <w:lang w:val="en-US" w:eastAsia="zh-CN"/>
        </w:rPr>
        <w:t>3</w:t>
      </w:r>
      <w:r>
        <w:rPr>
          <w:rFonts w:hint="eastAsia"/>
          <w:color w:val="auto"/>
          <w:kern w:val="0"/>
          <w:u w:val="none"/>
        </w:rPr>
        <w:t>）施工期生活垃圾储存及处置执行《生活垃圾填埋场污染控制标准》（GB16889-2008），其他固体废弃物执行《</w:t>
      </w:r>
      <w:r>
        <w:rPr>
          <w:rFonts w:hint="eastAsia"/>
          <w:color w:val="auto"/>
        </w:rPr>
        <w:t>一般工业固体废物贮存和填埋污染控制标准（</w:t>
      </w:r>
      <w:r>
        <w:rPr>
          <w:color w:val="auto"/>
        </w:rPr>
        <w:t>GB18599-2020</w:t>
      </w:r>
      <w:r>
        <w:rPr>
          <w:rFonts w:hint="eastAsia"/>
          <w:color w:val="auto"/>
          <w:kern w:val="0"/>
          <w:u w:val="none"/>
        </w:rPr>
        <w:t>）的相关规定。</w:t>
      </w:r>
    </w:p>
    <w:p>
      <w:pPr>
        <w:pStyle w:val="69"/>
        <w:rPr>
          <w:rFonts w:hint="eastAsia"/>
          <w:color w:val="auto"/>
          <w:u w:val="none"/>
        </w:rPr>
      </w:pPr>
      <w:bookmarkStart w:id="88" w:name="_Toc489350118"/>
      <w:bookmarkStart w:id="89" w:name="_Toc489350219"/>
      <w:bookmarkStart w:id="90" w:name="_Toc489349962"/>
      <w:r>
        <w:rPr>
          <w:rFonts w:hint="eastAsia"/>
          <w:color w:val="auto"/>
          <w:u w:val="none"/>
        </w:rPr>
        <w:t>1.6.2.2 运营期</w:t>
      </w:r>
      <w:bookmarkEnd w:id="88"/>
      <w:bookmarkEnd w:id="89"/>
      <w:bookmarkEnd w:id="90"/>
    </w:p>
    <w:p>
      <w:pPr>
        <w:ind w:firstLine="480"/>
        <w:jc w:val="both"/>
        <w:rPr>
          <w:rFonts w:hint="eastAsia"/>
          <w:color w:val="auto"/>
          <w:kern w:val="0"/>
          <w:u w:val="single"/>
        </w:rPr>
      </w:pPr>
      <w:r>
        <w:rPr>
          <w:rFonts w:hint="eastAsia"/>
          <w:color w:val="auto"/>
          <w:kern w:val="0"/>
          <w:u w:val="single"/>
        </w:rPr>
        <w:t>（1）废水</w:t>
      </w:r>
    </w:p>
    <w:p>
      <w:pPr>
        <w:wordWrap w:val="0"/>
        <w:ind w:firstLine="480"/>
        <w:jc w:val="both"/>
        <w:rPr>
          <w:rFonts w:hint="eastAsia" w:eastAsia="宋体"/>
          <w:color w:val="auto"/>
          <w:kern w:val="0"/>
          <w:u w:val="single"/>
          <w:lang w:eastAsia="zh-CN"/>
        </w:rPr>
      </w:pPr>
      <w:bookmarkStart w:id="91" w:name="_Hlk23778012"/>
      <w:r>
        <w:rPr>
          <w:rFonts w:hint="eastAsia"/>
          <w:color w:val="auto"/>
          <w:u w:val="single"/>
        </w:rPr>
        <w:t>本项目排水实行“雨污分流”制，尾水排入</w:t>
      </w:r>
      <w:r>
        <w:rPr>
          <w:rFonts w:hint="eastAsia"/>
          <w:color w:val="auto"/>
          <w:u w:val="single"/>
          <w:lang w:eastAsia="zh-CN"/>
        </w:rPr>
        <w:t>猛洞河</w:t>
      </w:r>
      <w:r>
        <w:rPr>
          <w:rFonts w:hint="eastAsia"/>
          <w:color w:val="auto"/>
          <w:u w:val="single"/>
        </w:rPr>
        <w:t>，雨水经园区雨水管网排入</w:t>
      </w:r>
      <w:r>
        <w:rPr>
          <w:rFonts w:hint="eastAsia"/>
          <w:color w:val="auto"/>
          <w:u w:val="single"/>
          <w:lang w:eastAsia="zh-CN"/>
        </w:rPr>
        <w:t>猛洞河</w:t>
      </w:r>
      <w:r>
        <w:rPr>
          <w:rFonts w:hint="eastAsia"/>
          <w:color w:val="auto"/>
          <w:u w:val="single"/>
        </w:rPr>
        <w:t>。废水接管标准执行</w:t>
      </w:r>
      <w:r>
        <w:rPr>
          <w:rFonts w:hint="eastAsia"/>
          <w:color w:val="auto"/>
          <w:kern w:val="0"/>
          <w:u w:val="single"/>
          <w:lang w:val="en-US" w:eastAsia="zh-CN"/>
        </w:rPr>
        <w:t>《污水综合排放标准</w:t>
      </w:r>
      <w:r>
        <w:rPr>
          <w:rFonts w:hint="default" w:ascii="Times New Roman" w:hAnsi="Times New Roman" w:cs="Times New Roman"/>
          <w:color w:val="auto"/>
          <w:kern w:val="0"/>
          <w:u w:val="single"/>
          <w:lang w:val="en-US" w:eastAsia="zh-CN"/>
        </w:rPr>
        <w:t>》（GB8978-1996）中</w:t>
      </w:r>
      <w:r>
        <w:rPr>
          <w:rFonts w:hint="eastAsia"/>
          <w:color w:val="auto"/>
          <w:kern w:val="0"/>
          <w:u w:val="single"/>
          <w:lang w:val="en-US" w:eastAsia="zh-CN"/>
        </w:rPr>
        <w:t>的</w:t>
      </w:r>
      <w:r>
        <w:rPr>
          <w:rFonts w:hint="default" w:ascii="Times New Roman" w:hAnsi="Times New Roman" w:cs="Times New Roman"/>
          <w:color w:val="auto"/>
          <w:kern w:val="0"/>
          <w:u w:val="single"/>
          <w:lang w:val="en-US" w:eastAsia="zh-CN"/>
        </w:rPr>
        <w:t>三级标准</w:t>
      </w:r>
      <w:r>
        <w:rPr>
          <w:rFonts w:hint="eastAsia" w:cs="Times New Roman"/>
          <w:color w:val="auto"/>
          <w:kern w:val="0"/>
          <w:u w:val="single"/>
          <w:lang w:val="en-US" w:eastAsia="zh-CN"/>
        </w:rPr>
        <w:t>及《污水排入城镇下水道水质标准》（GB/T31962-2015）中C级标准</w:t>
      </w:r>
      <w:r>
        <w:rPr>
          <w:rFonts w:hint="eastAsia"/>
          <w:color w:val="auto"/>
          <w:u w:val="single"/>
        </w:rPr>
        <w:t>，尾水排放标准执行《城镇污水处理厂污染物排放标准》（GB18918-2002）表1中一级A标准</w:t>
      </w:r>
      <w:r>
        <w:rPr>
          <w:rFonts w:hint="eastAsia"/>
          <w:color w:val="auto"/>
          <w:kern w:val="0"/>
          <w:u w:val="single"/>
        </w:rPr>
        <w:t>，具体标准限值见下表1.6-</w:t>
      </w:r>
      <w:r>
        <w:rPr>
          <w:rFonts w:hint="eastAsia"/>
          <w:color w:val="auto"/>
          <w:kern w:val="0"/>
          <w:u w:val="single"/>
          <w:lang w:val="en-US" w:eastAsia="zh-CN"/>
        </w:rPr>
        <w:t>8</w:t>
      </w:r>
      <w:r>
        <w:rPr>
          <w:rFonts w:hint="eastAsia"/>
          <w:color w:val="auto"/>
          <w:kern w:val="0"/>
          <w:u w:val="single"/>
          <w:lang w:eastAsia="zh-CN"/>
        </w:rPr>
        <w:t>、</w:t>
      </w:r>
      <w:r>
        <w:rPr>
          <w:rFonts w:hint="eastAsia"/>
          <w:color w:val="auto"/>
          <w:kern w:val="0"/>
          <w:u w:val="single"/>
        </w:rPr>
        <w:t>表1.6-</w:t>
      </w:r>
      <w:r>
        <w:rPr>
          <w:rFonts w:hint="eastAsia"/>
          <w:color w:val="auto"/>
          <w:kern w:val="0"/>
          <w:u w:val="single"/>
          <w:lang w:val="en-US" w:eastAsia="zh-CN"/>
        </w:rPr>
        <w:t>9</w:t>
      </w:r>
      <w:r>
        <w:rPr>
          <w:rFonts w:hint="eastAsia"/>
          <w:color w:val="auto"/>
          <w:kern w:val="0"/>
          <w:u w:val="single"/>
        </w:rPr>
        <w:t>。</w:t>
      </w:r>
      <w:r>
        <w:rPr>
          <w:rFonts w:hint="eastAsia"/>
          <w:color w:val="000000"/>
          <w:kern w:val="0"/>
          <w:u w:val="single"/>
        </w:rPr>
        <w:t>同时考虑</w:t>
      </w:r>
      <w:r>
        <w:rPr>
          <w:rFonts w:hint="eastAsia"/>
          <w:color w:val="000000"/>
          <w:kern w:val="0"/>
          <w:u w:val="single"/>
          <w:lang w:eastAsia="zh-CN"/>
        </w:rPr>
        <w:t>产业园内有酱腌菜等企业，其废水中</w:t>
      </w:r>
      <w:r>
        <w:rPr>
          <w:rFonts w:hint="eastAsia"/>
          <w:color w:val="000000"/>
          <w:szCs w:val="22"/>
          <w:u w:val="single"/>
        </w:rPr>
        <w:t>可能含有大量盐分，</w:t>
      </w:r>
      <w:r>
        <w:rPr>
          <w:color w:val="000000"/>
          <w:szCs w:val="22"/>
          <w:u w:val="single"/>
        </w:rPr>
        <w:t>如果含盐量过高，对微生物具有抑制甚至毒害作用</w:t>
      </w:r>
      <w:r>
        <w:rPr>
          <w:rFonts w:hint="eastAsia"/>
          <w:color w:val="000000"/>
          <w:szCs w:val="22"/>
          <w:u w:val="single"/>
        </w:rPr>
        <w:t>，故本项目接收的</w:t>
      </w:r>
      <w:r>
        <w:rPr>
          <w:color w:val="000000"/>
          <w:szCs w:val="22"/>
          <w:u w:val="single"/>
        </w:rPr>
        <w:t>废水盐分不超过5000 mg/L</w:t>
      </w:r>
      <w:r>
        <w:rPr>
          <w:rFonts w:hint="eastAsia"/>
          <w:color w:val="000000"/>
          <w:szCs w:val="22"/>
          <w:u w:val="single"/>
          <w:lang w:eastAsia="zh-CN"/>
        </w:rPr>
        <w:t>。</w:t>
      </w:r>
    </w:p>
    <w:p>
      <w:pPr>
        <w:pStyle w:val="124"/>
        <w:bidi w:val="0"/>
      </w:pPr>
      <w:r>
        <w:rPr>
          <w:rFonts w:hint="eastAsia"/>
        </w:rPr>
        <w:t>表</w:t>
      </w:r>
      <w:r>
        <w:t>1.6-</w:t>
      </w:r>
      <w:r>
        <w:rPr>
          <w:rFonts w:hint="eastAsia"/>
          <w:lang w:val="en-US" w:eastAsia="zh-CN"/>
        </w:rPr>
        <w:t>8</w:t>
      </w:r>
      <w:r>
        <w:t xml:space="preserve">  </w:t>
      </w:r>
      <w:r>
        <w:rPr>
          <w:rFonts w:hint="eastAsia"/>
        </w:rPr>
        <w:t>废水接入污水处理厂控制标准</w:t>
      </w:r>
      <w:r>
        <w:rPr>
          <w:rFonts w:hint="eastAsia"/>
          <w:lang w:eastAsia="ko-KR"/>
        </w:rPr>
        <w:t xml:space="preserve">  </w:t>
      </w:r>
      <w:r>
        <w:t>(mg/L)</w:t>
      </w:r>
    </w:p>
    <w:tbl>
      <w:tblPr>
        <w:tblStyle w:val="36"/>
        <w:tblW w:w="483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905"/>
        <w:gridCol w:w="833"/>
        <w:gridCol w:w="718"/>
        <w:gridCol w:w="846"/>
        <w:gridCol w:w="787"/>
        <w:gridCol w:w="869"/>
        <w:gridCol w:w="870"/>
        <w:gridCol w:w="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11"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 xml:space="preserve">     </w:t>
            </w:r>
            <w:r>
              <w:rPr>
                <w:rFonts w:hint="default" w:ascii="Times New Roman" w:hAnsi="Times New Roman" w:cs="Times New Roman"/>
                <w:b/>
                <w:bCs/>
                <w:color w:val="auto"/>
                <w:u w:val="single"/>
                <w:lang w:val="en-US" w:eastAsia="zh-CN"/>
              </w:rPr>
              <w:t xml:space="preserve">    </w:t>
            </w:r>
            <w:r>
              <w:rPr>
                <w:rFonts w:hint="default" w:ascii="Times New Roman" w:hAnsi="Times New Roman" w:cs="Times New Roman"/>
                <w:b/>
                <w:bCs/>
                <w:color w:val="auto"/>
                <w:u w:val="single"/>
              </w:rPr>
              <w:t>因子</w:t>
            </w:r>
          </w:p>
          <w:p>
            <w:pPr>
              <w:pStyle w:val="73"/>
              <w:jc w:val="left"/>
              <w:rPr>
                <w:rFonts w:hint="default" w:ascii="Times New Roman" w:hAnsi="Times New Roman" w:cs="Times New Roman"/>
                <w:b/>
                <w:bCs/>
                <w:color w:val="auto"/>
                <w:u w:val="single"/>
              </w:rPr>
            </w:pPr>
            <w:r>
              <w:rPr>
                <w:rFonts w:hint="default" w:ascii="Times New Roman" w:hAnsi="Times New Roman" w:cs="Times New Roman"/>
                <w:b/>
                <w:bCs/>
                <w:color w:val="auto"/>
                <w:u w:val="single"/>
              </w:rPr>
              <w:t>标准值</w:t>
            </w:r>
          </w:p>
        </w:tc>
        <w:tc>
          <w:tcPr>
            <w:tcW w:w="552"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COD</w:t>
            </w:r>
          </w:p>
        </w:tc>
        <w:tc>
          <w:tcPr>
            <w:tcW w:w="50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BOD</w:t>
            </w:r>
            <w:r>
              <w:rPr>
                <w:rFonts w:hint="default" w:ascii="Times New Roman" w:hAnsi="Times New Roman" w:cs="Times New Roman"/>
                <w:b/>
                <w:bCs/>
                <w:color w:val="auto"/>
                <w:u w:val="single"/>
                <w:vertAlign w:val="subscript"/>
              </w:rPr>
              <w:t>5</w:t>
            </w:r>
          </w:p>
        </w:tc>
        <w:tc>
          <w:tcPr>
            <w:tcW w:w="43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SS</w:t>
            </w:r>
          </w:p>
        </w:tc>
        <w:tc>
          <w:tcPr>
            <w:tcW w:w="516"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b/>
                <w:bCs/>
                <w:color w:val="auto"/>
                <w:u w:val="single"/>
                <w:lang w:eastAsia="zh-CN"/>
              </w:rPr>
            </w:pPr>
            <w:r>
              <w:rPr>
                <w:rFonts w:hint="default" w:ascii="Times New Roman" w:hAnsi="Times New Roman" w:cs="Times New Roman"/>
                <w:b/>
                <w:bCs/>
                <w:color w:val="auto"/>
                <w:u w:val="single"/>
              </w:rPr>
              <w:t>总</w:t>
            </w:r>
            <w:r>
              <w:rPr>
                <w:rFonts w:hint="default" w:ascii="Times New Roman" w:hAnsi="Times New Roman" w:cs="Times New Roman"/>
                <w:b/>
                <w:bCs/>
                <w:color w:val="auto"/>
                <w:u w:val="single"/>
                <w:lang w:eastAsia="zh-CN"/>
              </w:rPr>
              <w:t>氮</w:t>
            </w:r>
          </w:p>
        </w:tc>
        <w:tc>
          <w:tcPr>
            <w:tcW w:w="480"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b/>
                <w:bCs/>
                <w:color w:val="auto"/>
                <w:u w:val="single"/>
                <w:lang w:eastAsia="zh-CN"/>
              </w:rPr>
            </w:pPr>
            <w:r>
              <w:rPr>
                <w:rFonts w:hint="default" w:ascii="Times New Roman" w:hAnsi="Times New Roman" w:cs="Times New Roman"/>
                <w:b/>
                <w:bCs/>
                <w:color w:val="auto"/>
                <w:u w:val="single"/>
              </w:rPr>
              <w:t>总</w:t>
            </w:r>
            <w:r>
              <w:rPr>
                <w:rFonts w:hint="default" w:ascii="Times New Roman" w:hAnsi="Times New Roman" w:cs="Times New Roman"/>
                <w:b/>
                <w:bCs/>
                <w:color w:val="auto"/>
                <w:u w:val="single"/>
                <w:lang w:eastAsia="zh-CN"/>
              </w:rPr>
              <w:t>磷</w:t>
            </w:r>
          </w:p>
        </w:tc>
        <w:tc>
          <w:tcPr>
            <w:tcW w:w="530"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b/>
                <w:bCs/>
                <w:color w:val="auto"/>
                <w:u w:val="single"/>
                <w:lang w:eastAsia="zh-CN"/>
              </w:rPr>
            </w:pPr>
            <w:r>
              <w:rPr>
                <w:rFonts w:hint="default" w:ascii="Times New Roman" w:hAnsi="Times New Roman" w:cs="Times New Roman"/>
                <w:b/>
                <w:bCs/>
                <w:color w:val="auto"/>
                <w:u w:val="single"/>
                <w:lang w:eastAsia="zh-CN"/>
              </w:rPr>
              <w:t>氨氮</w:t>
            </w:r>
          </w:p>
        </w:tc>
        <w:tc>
          <w:tcPr>
            <w:tcW w:w="530"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b/>
                <w:bCs/>
                <w:color w:val="auto"/>
                <w:u w:val="single"/>
                <w:lang w:eastAsia="zh-CN"/>
              </w:rPr>
            </w:pPr>
            <w:r>
              <w:rPr>
                <w:rFonts w:hint="eastAsia" w:cs="Times New Roman"/>
                <w:b/>
                <w:bCs/>
                <w:color w:val="auto"/>
                <w:u w:val="single"/>
                <w:lang w:eastAsia="zh-CN"/>
              </w:rPr>
              <w:t>石油类</w:t>
            </w:r>
          </w:p>
        </w:tc>
        <w:tc>
          <w:tcPr>
            <w:tcW w:w="530"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b/>
                <w:bCs/>
                <w:color w:val="auto"/>
                <w:u w:val="single"/>
                <w:lang w:eastAsia="zh-CN"/>
              </w:rPr>
            </w:pPr>
            <w:r>
              <w:rPr>
                <w:rFonts w:hint="eastAsia" w:cs="Times New Roman"/>
                <w:b/>
                <w:bCs/>
                <w:color w:val="auto"/>
                <w:u w:val="single"/>
                <w:lang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11"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lang w:eastAsia="zh-CN"/>
              </w:rPr>
              <w:t>设计进水标准</w:t>
            </w:r>
          </w:p>
        </w:tc>
        <w:tc>
          <w:tcPr>
            <w:tcW w:w="552"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rPr>
              <w:t>≤</w:t>
            </w:r>
            <w:r>
              <w:rPr>
                <w:rFonts w:hint="default" w:ascii="Times New Roman" w:hAnsi="Times New Roman" w:cs="Times New Roman"/>
                <w:color w:val="auto"/>
                <w:u w:val="single"/>
                <w:lang w:val="en-US" w:eastAsia="zh-CN"/>
              </w:rPr>
              <w:t>500</w:t>
            </w:r>
          </w:p>
        </w:tc>
        <w:tc>
          <w:tcPr>
            <w:tcW w:w="50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rPr>
              <w:t>≤</w:t>
            </w:r>
            <w:r>
              <w:rPr>
                <w:rFonts w:hint="default" w:ascii="Times New Roman" w:hAnsi="Times New Roman" w:cs="Times New Roman"/>
                <w:color w:val="auto"/>
                <w:u w:val="single"/>
                <w:lang w:val="en-US" w:eastAsia="zh-CN"/>
              </w:rPr>
              <w:t>300</w:t>
            </w:r>
          </w:p>
        </w:tc>
        <w:tc>
          <w:tcPr>
            <w:tcW w:w="438"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rPr>
              <w:t>≤</w:t>
            </w:r>
            <w:r>
              <w:rPr>
                <w:rFonts w:hint="default" w:ascii="Times New Roman" w:hAnsi="Times New Roman" w:cs="Times New Roman"/>
                <w:color w:val="auto"/>
                <w:u w:val="single"/>
                <w:lang w:val="en-US" w:eastAsia="zh-CN"/>
              </w:rPr>
              <w:t>400</w:t>
            </w:r>
          </w:p>
        </w:tc>
        <w:tc>
          <w:tcPr>
            <w:tcW w:w="516"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rPr>
              <w:t>≤</w:t>
            </w:r>
            <w:r>
              <w:rPr>
                <w:rFonts w:hint="default" w:ascii="Times New Roman" w:hAnsi="Times New Roman" w:cs="Times New Roman"/>
                <w:color w:val="auto"/>
                <w:u w:val="single"/>
                <w:lang w:val="en-US" w:eastAsia="zh-CN"/>
              </w:rPr>
              <w:t>45</w:t>
            </w:r>
          </w:p>
        </w:tc>
        <w:tc>
          <w:tcPr>
            <w:tcW w:w="480"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rPr>
              <w:t>≤</w:t>
            </w:r>
            <w:r>
              <w:rPr>
                <w:rFonts w:hint="default" w:ascii="Times New Roman" w:hAnsi="Times New Roman" w:cs="Times New Roman"/>
                <w:color w:val="auto"/>
                <w:u w:val="single"/>
                <w:lang w:val="en-US" w:eastAsia="zh-CN"/>
              </w:rPr>
              <w:t>5</w:t>
            </w:r>
          </w:p>
        </w:tc>
        <w:tc>
          <w:tcPr>
            <w:tcW w:w="530"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color w:val="auto"/>
                <w:u w:val="single"/>
                <w:lang w:val="en-US" w:eastAsia="zh-CN"/>
              </w:rPr>
            </w:pPr>
            <w:r>
              <w:rPr>
                <w:rFonts w:hint="eastAsia" w:cs="Times New Roman"/>
                <w:color w:val="auto"/>
                <w:u w:val="single"/>
                <w:lang w:val="en-US" w:eastAsia="zh-CN"/>
              </w:rPr>
              <w:t>25</w:t>
            </w:r>
          </w:p>
        </w:tc>
        <w:tc>
          <w:tcPr>
            <w:tcW w:w="530"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rPr>
              <w:t>≤</w:t>
            </w:r>
            <w:r>
              <w:rPr>
                <w:rFonts w:hint="eastAsia" w:ascii="Times New Roman" w:hAnsi="Times New Roman" w:cs="Times New Roman"/>
                <w:color w:val="auto"/>
                <w:u w:val="single"/>
                <w:lang w:val="en-US" w:eastAsia="zh-CN"/>
              </w:rPr>
              <w:t>20</w:t>
            </w:r>
          </w:p>
        </w:tc>
        <w:tc>
          <w:tcPr>
            <w:tcW w:w="530" w:type="pct"/>
            <w:tcBorders>
              <w:top w:val="single" w:color="auto" w:sz="4" w:space="0"/>
              <w:left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rPr>
              <w:t>≤</w:t>
            </w:r>
            <w:r>
              <w:rPr>
                <w:rFonts w:hint="eastAsia" w:ascii="Times New Roman" w:hAnsi="Times New Roman" w:cs="Times New Roman"/>
                <w:color w:val="auto"/>
                <w:u w:val="single"/>
                <w:lang w:val="en-US" w:eastAsia="zh-CN"/>
              </w:rPr>
              <w:t>100</w:t>
            </w:r>
          </w:p>
        </w:tc>
      </w:tr>
    </w:tbl>
    <w:p>
      <w:pPr>
        <w:pStyle w:val="124"/>
        <w:bidi w:val="0"/>
        <w:rPr>
          <w:b/>
          <w:color w:val="auto"/>
          <w:kern w:val="0"/>
          <w:szCs w:val="21"/>
          <w:u w:val="single"/>
        </w:rPr>
      </w:pPr>
      <w:r>
        <w:rPr>
          <w:rFonts w:hint="eastAsia"/>
        </w:rPr>
        <w:t>表1.6-</w:t>
      </w:r>
      <w:r>
        <w:rPr>
          <w:rFonts w:hint="eastAsia"/>
          <w:lang w:val="en-US" w:eastAsia="zh-CN"/>
        </w:rPr>
        <w:t>9</w:t>
      </w:r>
      <w:r>
        <w:rPr>
          <w:rFonts w:hint="eastAsia"/>
        </w:rPr>
        <w:t xml:space="preserve"> 废水排放标准 单位：mg/L</w:t>
      </w:r>
    </w:p>
    <w:tbl>
      <w:tblPr>
        <w:tblStyle w:val="36"/>
        <w:tblW w:w="8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858"/>
        <w:gridCol w:w="891"/>
        <w:gridCol w:w="846"/>
        <w:gridCol w:w="857"/>
        <w:gridCol w:w="834"/>
        <w:gridCol w:w="869"/>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897" w:type="dxa"/>
            <w:tcBorders>
              <w:tl2br w:val="single" w:color="auto" w:sz="4" w:space="0"/>
            </w:tcBorders>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 xml:space="preserve">    </w:t>
            </w:r>
            <w:r>
              <w:rPr>
                <w:rFonts w:hint="eastAsia" w:cs="Times New Roman"/>
                <w:b/>
                <w:bCs/>
                <w:color w:val="auto"/>
                <w:u w:val="single"/>
                <w:lang w:val="en-US" w:eastAsia="zh-CN"/>
              </w:rPr>
              <w:t xml:space="preserve">    </w:t>
            </w:r>
            <w:r>
              <w:rPr>
                <w:rFonts w:hint="default" w:ascii="Times New Roman" w:hAnsi="Times New Roman" w:cs="Times New Roman"/>
                <w:b/>
                <w:bCs/>
                <w:color w:val="auto"/>
                <w:u w:val="single"/>
              </w:rPr>
              <w:t>因子</w:t>
            </w:r>
          </w:p>
          <w:p>
            <w:pPr>
              <w:pStyle w:val="73"/>
              <w:jc w:val="left"/>
              <w:rPr>
                <w:rFonts w:hint="default" w:ascii="Times New Roman" w:hAnsi="Times New Roman" w:cs="Times New Roman"/>
                <w:b/>
                <w:bCs/>
                <w:color w:val="auto"/>
                <w:u w:val="single"/>
              </w:rPr>
            </w:pPr>
            <w:r>
              <w:rPr>
                <w:rFonts w:hint="default" w:ascii="Times New Roman" w:hAnsi="Times New Roman" w:cs="Times New Roman"/>
                <w:b/>
                <w:bCs/>
                <w:color w:val="auto"/>
                <w:u w:val="single"/>
              </w:rPr>
              <w:t>标准值</w:t>
            </w:r>
          </w:p>
        </w:tc>
        <w:tc>
          <w:tcPr>
            <w:tcW w:w="858"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COD</w:t>
            </w:r>
          </w:p>
        </w:tc>
        <w:tc>
          <w:tcPr>
            <w:tcW w:w="891"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BOD</w:t>
            </w:r>
            <w:r>
              <w:rPr>
                <w:rFonts w:hint="default" w:ascii="Times New Roman" w:hAnsi="Times New Roman" w:cs="Times New Roman"/>
                <w:b/>
                <w:bCs/>
                <w:color w:val="auto"/>
                <w:u w:val="single"/>
                <w:vertAlign w:val="subscript"/>
              </w:rPr>
              <w:t>5</w:t>
            </w:r>
          </w:p>
        </w:tc>
        <w:tc>
          <w:tcPr>
            <w:tcW w:w="846"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-N</w:t>
            </w:r>
          </w:p>
        </w:tc>
        <w:tc>
          <w:tcPr>
            <w:tcW w:w="857"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TP</w:t>
            </w:r>
          </w:p>
        </w:tc>
        <w:tc>
          <w:tcPr>
            <w:tcW w:w="834"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SS</w:t>
            </w:r>
          </w:p>
        </w:tc>
        <w:tc>
          <w:tcPr>
            <w:tcW w:w="869"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总氮</w:t>
            </w:r>
          </w:p>
        </w:tc>
        <w:tc>
          <w:tcPr>
            <w:tcW w:w="869" w:type="dxa"/>
            <w:noWrap w:val="0"/>
            <w:vAlign w:val="center"/>
          </w:tcPr>
          <w:p>
            <w:pPr>
              <w:pStyle w:val="73"/>
              <w:ind w:firstLine="0" w:firstLineChars="0"/>
              <w:rPr>
                <w:rFonts w:hint="default" w:ascii="Times New Roman" w:hAnsi="Times New Roman" w:cs="Times New Roman"/>
                <w:b/>
                <w:bCs/>
                <w:color w:val="auto"/>
                <w:u w:val="single"/>
              </w:rPr>
            </w:pPr>
            <w:r>
              <w:rPr>
                <w:rFonts w:hint="eastAsia" w:cs="Times New Roman"/>
                <w:b/>
                <w:bCs/>
                <w:color w:val="auto"/>
                <w:u w:val="single"/>
                <w:lang w:eastAsia="zh-CN"/>
              </w:rPr>
              <w:t>石油类</w:t>
            </w:r>
          </w:p>
        </w:tc>
        <w:tc>
          <w:tcPr>
            <w:tcW w:w="869" w:type="dxa"/>
            <w:noWrap w:val="0"/>
            <w:vAlign w:val="center"/>
          </w:tcPr>
          <w:p>
            <w:pPr>
              <w:pStyle w:val="73"/>
              <w:ind w:firstLine="0" w:firstLineChars="0"/>
              <w:rPr>
                <w:rFonts w:hint="default" w:ascii="Times New Roman" w:hAnsi="Times New Roman" w:cs="Times New Roman"/>
                <w:b/>
                <w:bCs/>
                <w:color w:val="auto"/>
                <w:u w:val="single"/>
              </w:rPr>
            </w:pPr>
            <w:r>
              <w:rPr>
                <w:rFonts w:hint="eastAsia" w:cs="Times New Roman"/>
                <w:b/>
                <w:bCs/>
                <w:color w:val="auto"/>
                <w:u w:val="single"/>
                <w:lang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897" w:type="dxa"/>
            <w:noWrap w:val="0"/>
            <w:vAlign w:val="center"/>
          </w:tcPr>
          <w:p>
            <w:pPr>
              <w:pStyle w:val="73"/>
              <w:rPr>
                <w:rFonts w:hint="default" w:ascii="Times New Roman" w:hAnsi="Times New Roman" w:cs="Times New Roman"/>
                <w:color w:val="auto"/>
                <w:u w:val="single"/>
              </w:rPr>
            </w:pPr>
            <w:r>
              <w:rPr>
                <w:rFonts w:hint="eastAsia" w:cs="Times New Roman"/>
                <w:color w:val="auto"/>
                <w:sz w:val="21"/>
                <w:szCs w:val="21"/>
                <w:u w:val="single"/>
                <w:lang w:eastAsia="zh-CN"/>
              </w:rPr>
              <w:t>《城市污水处理厂污染物排放标准》（</w:t>
            </w:r>
            <w:r>
              <w:rPr>
                <w:rFonts w:hint="default" w:ascii="Times New Roman" w:hAnsi="Times New Roman" w:cs="Times New Roman"/>
                <w:color w:val="auto"/>
                <w:sz w:val="21"/>
                <w:szCs w:val="21"/>
                <w:u w:val="single"/>
                <w:lang w:eastAsia="zh-CN"/>
              </w:rPr>
              <w:t>GB18918-2002）一级标准的A标</w:t>
            </w:r>
            <w:r>
              <w:rPr>
                <w:rFonts w:hint="eastAsia" w:cs="Times New Roman"/>
                <w:color w:val="auto"/>
                <w:sz w:val="21"/>
                <w:szCs w:val="21"/>
                <w:u w:val="single"/>
                <w:lang w:eastAsia="zh-CN"/>
              </w:rPr>
              <w:t>准</w:t>
            </w:r>
          </w:p>
        </w:tc>
        <w:tc>
          <w:tcPr>
            <w:tcW w:w="85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≤50</w:t>
            </w:r>
          </w:p>
        </w:tc>
        <w:tc>
          <w:tcPr>
            <w:tcW w:w="891"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≤10</w:t>
            </w:r>
          </w:p>
        </w:tc>
        <w:tc>
          <w:tcPr>
            <w:tcW w:w="84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≤5</w:t>
            </w:r>
          </w:p>
        </w:tc>
        <w:tc>
          <w:tcPr>
            <w:tcW w:w="857"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≤0.5</w:t>
            </w:r>
          </w:p>
        </w:tc>
        <w:tc>
          <w:tcPr>
            <w:tcW w:w="834"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≤10</w:t>
            </w:r>
          </w:p>
        </w:tc>
        <w:tc>
          <w:tcPr>
            <w:tcW w:w="86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≤15</w:t>
            </w:r>
          </w:p>
        </w:tc>
        <w:tc>
          <w:tcPr>
            <w:tcW w:w="869"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w:t>
            </w:r>
            <w:r>
              <w:rPr>
                <w:rFonts w:hint="eastAsia" w:ascii="Times New Roman" w:hAnsi="Times New Roman" w:cs="Times New Roman"/>
                <w:color w:val="auto"/>
                <w:u w:val="single"/>
                <w:lang w:val="en-US" w:eastAsia="zh-CN"/>
              </w:rPr>
              <w:t>1</w:t>
            </w:r>
          </w:p>
        </w:tc>
        <w:tc>
          <w:tcPr>
            <w:tcW w:w="869"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w:t>
            </w:r>
            <w:r>
              <w:rPr>
                <w:rFonts w:hint="eastAsia" w:ascii="Times New Roman" w:hAnsi="Times New Roman" w:cs="Times New Roman"/>
                <w:color w:val="auto"/>
                <w:u w:val="single"/>
                <w:lang w:val="en-US" w:eastAsia="zh-CN"/>
              </w:rPr>
              <w:t>1</w:t>
            </w:r>
          </w:p>
        </w:tc>
      </w:tr>
    </w:tbl>
    <w:p>
      <w:pPr>
        <w:pStyle w:val="103"/>
        <w:rPr>
          <w:rFonts w:hint="eastAsia"/>
          <w:color w:val="auto"/>
          <w:szCs w:val="21"/>
          <w:u w:val="none"/>
        </w:rPr>
      </w:pPr>
      <w:r>
        <w:rPr>
          <w:rFonts w:hint="eastAsia"/>
          <w:b w:val="0"/>
          <w:bCs/>
          <w:color w:val="auto"/>
          <w:kern w:val="0"/>
          <w:sz w:val="21"/>
          <w:szCs w:val="21"/>
          <w:u w:val="single"/>
        </w:rPr>
        <w:t>注：括号外数值为水温＞12℃时的控制指标，括号外数值为水温≤12℃时的控制指标。</w:t>
      </w:r>
    </w:p>
    <w:bookmarkEnd w:id="91"/>
    <w:p>
      <w:pPr>
        <w:ind w:firstLine="480"/>
        <w:rPr>
          <w:rFonts w:hint="eastAsia"/>
          <w:color w:val="auto"/>
          <w:u w:val="none"/>
        </w:rPr>
      </w:pPr>
      <w:r>
        <w:rPr>
          <w:rFonts w:hint="eastAsia"/>
          <w:color w:val="auto"/>
          <w:u w:val="none"/>
        </w:rPr>
        <w:t>（2）废气</w:t>
      </w:r>
    </w:p>
    <w:p>
      <w:pPr>
        <w:ind w:firstLine="480"/>
        <w:jc w:val="both"/>
        <w:rPr>
          <w:color w:val="auto"/>
          <w:kern w:val="0"/>
          <w:u w:val="none"/>
        </w:rPr>
      </w:pPr>
      <w:r>
        <w:rPr>
          <w:rFonts w:hint="eastAsia"/>
          <w:color w:val="auto"/>
          <w:kern w:val="0"/>
          <w:u w:val="none"/>
        </w:rPr>
        <w:t>本项目运营期污泥脱水间的氨、硫化氢、臭气浓度执行《恶臭污染物排放标准》（GB 14554-1993）表2中标准；厂界无组织氨、硫化氢、臭气浓度执行《城镇污水处理厂污染物排放标准》（GB18918-2002）中表 4“厂界（防护带边缘）废气排放最高允许浓度”。具体排放限值见下表1.6-1</w:t>
      </w:r>
      <w:r>
        <w:rPr>
          <w:color w:val="auto"/>
          <w:kern w:val="0"/>
          <w:u w:val="none"/>
        </w:rPr>
        <w:t>0</w:t>
      </w:r>
      <w:r>
        <w:rPr>
          <w:rFonts w:hint="eastAsia"/>
          <w:color w:val="auto"/>
          <w:kern w:val="0"/>
          <w:u w:val="none"/>
        </w:rPr>
        <w:t>、1.6-1</w:t>
      </w:r>
      <w:r>
        <w:rPr>
          <w:color w:val="auto"/>
          <w:kern w:val="0"/>
          <w:u w:val="none"/>
        </w:rPr>
        <w:t>1</w:t>
      </w:r>
      <w:r>
        <w:rPr>
          <w:rFonts w:hint="eastAsia"/>
          <w:color w:val="auto"/>
          <w:kern w:val="0"/>
          <w:u w:val="none"/>
        </w:rPr>
        <w:t>。</w:t>
      </w:r>
    </w:p>
    <w:p>
      <w:pPr>
        <w:pStyle w:val="103"/>
        <w:rPr>
          <w:color w:val="auto"/>
          <w:u w:val="none"/>
        </w:rPr>
      </w:pPr>
      <w:r>
        <w:rPr>
          <w:rFonts w:hint="eastAsia"/>
          <w:color w:val="auto"/>
          <w:u w:val="none"/>
        </w:rPr>
        <w:t>表 1.</w:t>
      </w:r>
      <w:r>
        <w:rPr>
          <w:color w:val="auto"/>
          <w:u w:val="none"/>
        </w:rPr>
        <w:t>6</w:t>
      </w:r>
      <w:r>
        <w:rPr>
          <w:rFonts w:hint="eastAsia"/>
          <w:color w:val="auto"/>
          <w:u w:val="none"/>
        </w:rPr>
        <w:t>-</w:t>
      </w:r>
      <w:r>
        <w:rPr>
          <w:color w:val="auto"/>
          <w:u w:val="none"/>
        </w:rPr>
        <w:t xml:space="preserve">10 </w:t>
      </w:r>
      <w:r>
        <w:rPr>
          <w:rFonts w:hint="eastAsia"/>
          <w:color w:val="auto"/>
          <w:u w:val="none"/>
        </w:rPr>
        <w:t>恶臭污染物排放标准值</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0"/>
        <w:gridCol w:w="2823"/>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控制项目</w:t>
            </w:r>
          </w:p>
        </w:tc>
        <w:tc>
          <w:tcPr>
            <w:tcW w:w="1667"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排气筒高度（m）</w:t>
            </w:r>
          </w:p>
        </w:tc>
        <w:tc>
          <w:tcPr>
            <w:tcW w:w="1667"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排放量（kg/h）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氨（NH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w:t>
            </w:r>
          </w:p>
        </w:tc>
        <w:tc>
          <w:tcPr>
            <w:tcW w:w="1667" w:type="pct"/>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166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硫化氢（H</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S）</w:t>
            </w:r>
          </w:p>
        </w:tc>
        <w:tc>
          <w:tcPr>
            <w:tcW w:w="1667" w:type="pct"/>
            <w:vMerge w:val="continue"/>
            <w:noWrap w:val="0"/>
            <w:vAlign w:val="center"/>
          </w:tcPr>
          <w:p>
            <w:pPr>
              <w:pStyle w:val="73"/>
              <w:rPr>
                <w:rFonts w:hint="default" w:ascii="Times New Roman" w:hAnsi="Times New Roman" w:cs="Times New Roman"/>
                <w:color w:val="auto"/>
                <w:u w:val="none"/>
              </w:rPr>
            </w:pPr>
          </w:p>
        </w:tc>
        <w:tc>
          <w:tcPr>
            <w:tcW w:w="166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臭气浓度（无量纲）</w:t>
            </w:r>
          </w:p>
        </w:tc>
        <w:tc>
          <w:tcPr>
            <w:tcW w:w="1667" w:type="pct"/>
            <w:vMerge w:val="continue"/>
            <w:noWrap w:val="0"/>
            <w:vAlign w:val="center"/>
          </w:tcPr>
          <w:p>
            <w:pPr>
              <w:pStyle w:val="73"/>
              <w:rPr>
                <w:rFonts w:hint="default" w:ascii="Times New Roman" w:hAnsi="Times New Roman" w:cs="Times New Roman"/>
                <w:color w:val="auto"/>
                <w:u w:val="none"/>
              </w:rPr>
            </w:pPr>
          </w:p>
        </w:tc>
        <w:tc>
          <w:tcPr>
            <w:tcW w:w="166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2000</w:t>
            </w:r>
          </w:p>
        </w:tc>
      </w:tr>
    </w:tbl>
    <w:p>
      <w:pPr>
        <w:pStyle w:val="73"/>
        <w:wordWrap w:val="0"/>
        <w:topLinePunct/>
        <w:jc w:val="left"/>
        <w:rPr>
          <w:rFonts w:hint="eastAsia"/>
          <w:color w:val="auto"/>
          <w:u w:val="none"/>
        </w:rPr>
      </w:pPr>
      <w:r>
        <w:rPr>
          <w:rFonts w:hint="eastAsia"/>
          <w:color w:val="auto"/>
          <w:u w:val="none"/>
        </w:rPr>
        <w:t>注：臭气浓度是指恶臭气体用无臭气体进行稀释，稀释到刚好无臭时的稀释倍数，无量纲。</w:t>
      </w:r>
    </w:p>
    <w:p>
      <w:pPr>
        <w:pStyle w:val="124"/>
        <w:bidi w:val="0"/>
        <w:rPr>
          <w:rFonts w:hint="eastAsia"/>
          <w:b w:val="0"/>
          <w:color w:val="auto"/>
          <w:kern w:val="0"/>
          <w:szCs w:val="21"/>
          <w:u w:val="none"/>
        </w:rPr>
      </w:pPr>
      <w:r>
        <w:rPr>
          <w:rFonts w:hint="eastAsia"/>
        </w:rPr>
        <w:t>表1.6-1</w:t>
      </w:r>
      <w:r>
        <w:t>1</w:t>
      </w:r>
      <w:r>
        <w:rPr>
          <w:rFonts w:hint="eastAsia"/>
        </w:rPr>
        <w:t xml:space="preserve"> 城镇污水处理厂厂界废气排放最高允许浓度</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1"/>
        <w:gridCol w:w="2114"/>
        <w:gridCol w:w="2116"/>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240" w:lineRule="auto"/>
              <w:ind w:firstLine="0" w:firstLineChars="0"/>
              <w:jc w:val="center"/>
              <w:rPr>
                <w:rFonts w:hint="default" w:ascii="Times New Roman" w:hAnsi="Times New Roman" w:cs="Times New Roman"/>
                <w:b/>
                <w:color w:val="auto"/>
                <w:kern w:val="0"/>
                <w:sz w:val="21"/>
                <w:szCs w:val="21"/>
                <w:u w:val="none"/>
              </w:rPr>
            </w:pPr>
            <w:r>
              <w:rPr>
                <w:rFonts w:hint="default" w:ascii="Times New Roman" w:hAnsi="Times New Roman" w:cs="Times New Roman"/>
                <w:b/>
                <w:color w:val="auto"/>
                <w:kern w:val="0"/>
                <w:sz w:val="21"/>
                <w:szCs w:val="21"/>
                <w:u w:val="none"/>
              </w:rPr>
              <w:t>项目</w:t>
            </w:r>
          </w:p>
        </w:tc>
        <w:tc>
          <w:tcPr>
            <w:tcW w:w="2130" w:type="dxa"/>
            <w:noWrap w:val="0"/>
            <w:vAlign w:val="center"/>
          </w:tcPr>
          <w:p>
            <w:pPr>
              <w:spacing w:line="240" w:lineRule="auto"/>
              <w:ind w:firstLine="0" w:firstLineChars="0"/>
              <w:jc w:val="center"/>
              <w:rPr>
                <w:rFonts w:hint="default" w:ascii="Times New Roman" w:hAnsi="Times New Roman" w:cs="Times New Roman"/>
                <w:b/>
                <w:color w:val="auto"/>
                <w:kern w:val="0"/>
                <w:sz w:val="21"/>
                <w:szCs w:val="21"/>
                <w:u w:val="none"/>
              </w:rPr>
            </w:pPr>
            <w:r>
              <w:rPr>
                <w:rFonts w:hint="default" w:ascii="Times New Roman" w:hAnsi="Times New Roman" w:cs="Times New Roman"/>
                <w:b/>
                <w:color w:val="auto"/>
                <w:kern w:val="0"/>
                <w:sz w:val="21"/>
                <w:szCs w:val="21"/>
                <w:u w:val="none"/>
              </w:rPr>
              <w:t>氨</w:t>
            </w:r>
          </w:p>
        </w:tc>
        <w:tc>
          <w:tcPr>
            <w:tcW w:w="2131" w:type="dxa"/>
            <w:noWrap w:val="0"/>
            <w:vAlign w:val="center"/>
          </w:tcPr>
          <w:p>
            <w:pPr>
              <w:spacing w:line="240" w:lineRule="auto"/>
              <w:ind w:firstLine="0" w:firstLineChars="0"/>
              <w:jc w:val="center"/>
              <w:rPr>
                <w:rFonts w:hint="default" w:ascii="Times New Roman" w:hAnsi="Times New Roman" w:cs="Times New Roman"/>
                <w:b/>
                <w:color w:val="auto"/>
                <w:kern w:val="0"/>
                <w:sz w:val="21"/>
                <w:szCs w:val="21"/>
                <w:u w:val="none"/>
              </w:rPr>
            </w:pPr>
            <w:r>
              <w:rPr>
                <w:rFonts w:hint="default" w:ascii="Times New Roman" w:hAnsi="Times New Roman" w:cs="Times New Roman"/>
                <w:b/>
                <w:color w:val="auto"/>
                <w:kern w:val="0"/>
                <w:sz w:val="21"/>
                <w:szCs w:val="21"/>
                <w:u w:val="none"/>
              </w:rPr>
              <w:t>硫化氢</w:t>
            </w:r>
          </w:p>
        </w:tc>
        <w:tc>
          <w:tcPr>
            <w:tcW w:w="2131" w:type="dxa"/>
            <w:noWrap w:val="0"/>
            <w:vAlign w:val="center"/>
          </w:tcPr>
          <w:p>
            <w:pPr>
              <w:spacing w:line="240" w:lineRule="auto"/>
              <w:ind w:firstLine="0" w:firstLineChars="0"/>
              <w:jc w:val="center"/>
              <w:rPr>
                <w:rFonts w:hint="default" w:ascii="Times New Roman" w:hAnsi="Times New Roman" w:cs="Times New Roman"/>
                <w:b/>
                <w:color w:val="auto"/>
                <w:kern w:val="0"/>
                <w:sz w:val="21"/>
                <w:szCs w:val="21"/>
                <w:u w:val="none"/>
              </w:rPr>
            </w:pPr>
            <w:r>
              <w:rPr>
                <w:rFonts w:hint="default" w:ascii="Times New Roman" w:hAnsi="Times New Roman" w:cs="Times New Roman"/>
                <w:b/>
                <w:color w:val="auto"/>
                <w:kern w:val="0"/>
                <w:sz w:val="21"/>
                <w:szCs w:val="21"/>
                <w:u w:val="none"/>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二级标准（mg/m</w:t>
            </w:r>
            <w:r>
              <w:rPr>
                <w:rFonts w:hint="default" w:ascii="Times New Roman" w:hAnsi="Times New Roman" w:cs="Times New Roman"/>
                <w:color w:val="auto"/>
                <w:kern w:val="0"/>
                <w:sz w:val="21"/>
                <w:szCs w:val="21"/>
                <w:u w:val="none"/>
                <w:vertAlign w:val="superscript"/>
              </w:rPr>
              <w:t>3</w:t>
            </w:r>
            <w:r>
              <w:rPr>
                <w:rFonts w:hint="default" w:ascii="Times New Roman" w:hAnsi="Times New Roman" w:cs="Times New Roman"/>
                <w:color w:val="auto"/>
                <w:kern w:val="0"/>
                <w:sz w:val="21"/>
                <w:szCs w:val="21"/>
                <w:u w:val="none"/>
              </w:rPr>
              <w:t>）</w:t>
            </w:r>
          </w:p>
        </w:tc>
        <w:tc>
          <w:tcPr>
            <w:tcW w:w="2130" w:type="dxa"/>
            <w:noWrap w:val="0"/>
            <w:vAlign w:val="center"/>
          </w:tcPr>
          <w:p>
            <w:pPr>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w:t>
            </w:r>
          </w:p>
        </w:tc>
        <w:tc>
          <w:tcPr>
            <w:tcW w:w="2131" w:type="dxa"/>
            <w:noWrap w:val="0"/>
            <w:vAlign w:val="center"/>
          </w:tcPr>
          <w:p>
            <w:pPr>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0.06</w:t>
            </w:r>
          </w:p>
        </w:tc>
        <w:tc>
          <w:tcPr>
            <w:tcW w:w="2131" w:type="dxa"/>
            <w:noWrap w:val="0"/>
            <w:vAlign w:val="center"/>
          </w:tcPr>
          <w:p>
            <w:pPr>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w:t>
            </w:r>
          </w:p>
        </w:tc>
      </w:tr>
    </w:tbl>
    <w:p>
      <w:pPr>
        <w:ind w:firstLine="480"/>
        <w:rPr>
          <w:rFonts w:hint="eastAsia"/>
          <w:color w:val="auto"/>
          <w:kern w:val="0"/>
          <w:u w:val="none"/>
        </w:rPr>
      </w:pPr>
      <w:r>
        <w:rPr>
          <w:rFonts w:hint="eastAsia"/>
          <w:color w:val="auto"/>
          <w:kern w:val="0"/>
          <w:u w:val="none"/>
        </w:rPr>
        <w:t>（3）噪声</w:t>
      </w:r>
    </w:p>
    <w:p>
      <w:pPr>
        <w:ind w:firstLine="480"/>
        <w:jc w:val="both"/>
        <w:rPr>
          <w:rFonts w:hint="eastAsia"/>
          <w:color w:val="auto"/>
          <w:kern w:val="0"/>
          <w:u w:val="none"/>
        </w:rPr>
      </w:pPr>
      <w:r>
        <w:rPr>
          <w:rFonts w:hint="eastAsia"/>
          <w:color w:val="auto"/>
          <w:kern w:val="0"/>
          <w:u w:val="none"/>
        </w:rPr>
        <w:t>本项目运营后，厂界噪声执行《工业企业厂界环境噪声排放标准》（GB12348-2008）表1中</w:t>
      </w:r>
      <w:r>
        <w:rPr>
          <w:rFonts w:hint="eastAsia"/>
          <w:color w:val="auto"/>
          <w:lang w:val="en-US" w:eastAsia="zh-CN"/>
        </w:rPr>
        <w:t>3</w:t>
      </w:r>
      <w:r>
        <w:rPr>
          <w:rFonts w:hint="eastAsia"/>
          <w:color w:val="auto"/>
          <w:kern w:val="0"/>
          <w:u w:val="none"/>
        </w:rPr>
        <w:t>类标准，具体限值见下表1.6-1</w:t>
      </w:r>
      <w:r>
        <w:rPr>
          <w:color w:val="auto"/>
          <w:kern w:val="0"/>
          <w:u w:val="none"/>
        </w:rPr>
        <w:t>2</w:t>
      </w:r>
      <w:r>
        <w:rPr>
          <w:rFonts w:hint="eastAsia"/>
          <w:color w:val="auto"/>
          <w:kern w:val="0"/>
          <w:u w:val="none"/>
        </w:rPr>
        <w:t>。</w:t>
      </w:r>
    </w:p>
    <w:p>
      <w:pPr>
        <w:pStyle w:val="124"/>
        <w:bidi w:val="0"/>
        <w:rPr>
          <w:b w:val="0"/>
          <w:color w:val="auto"/>
          <w:kern w:val="0"/>
          <w:szCs w:val="21"/>
          <w:u w:val="none"/>
        </w:rPr>
      </w:pPr>
      <w:r>
        <w:t>1.6-12 工业企业厂界噪声排放标准2类标准限值一览表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1"/>
        <w:gridCol w:w="2822"/>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422"/>
              <w:jc w:val="center"/>
              <w:rPr>
                <w:rFonts w:hint="eastAsia"/>
                <w:b/>
                <w:color w:val="auto"/>
                <w:kern w:val="0"/>
                <w:sz w:val="21"/>
                <w:szCs w:val="21"/>
                <w:u w:val="none"/>
              </w:rPr>
            </w:pPr>
            <w:r>
              <w:rPr>
                <w:rFonts w:hint="eastAsia"/>
                <w:b/>
                <w:color w:val="auto"/>
                <w:kern w:val="0"/>
                <w:sz w:val="21"/>
                <w:szCs w:val="21"/>
                <w:u w:val="none"/>
              </w:rPr>
              <w:t>执行标准</w:t>
            </w:r>
          </w:p>
        </w:tc>
        <w:tc>
          <w:tcPr>
            <w:tcW w:w="2841" w:type="dxa"/>
            <w:noWrap w:val="0"/>
            <w:vAlign w:val="center"/>
          </w:tcPr>
          <w:p>
            <w:pPr>
              <w:spacing w:line="240" w:lineRule="auto"/>
              <w:ind w:firstLine="422"/>
              <w:jc w:val="center"/>
              <w:rPr>
                <w:rFonts w:hint="eastAsia"/>
                <w:b/>
                <w:color w:val="auto"/>
                <w:kern w:val="0"/>
                <w:sz w:val="21"/>
                <w:szCs w:val="21"/>
                <w:u w:val="none"/>
              </w:rPr>
            </w:pPr>
            <w:r>
              <w:rPr>
                <w:rFonts w:hint="eastAsia"/>
                <w:b/>
                <w:color w:val="auto"/>
                <w:kern w:val="0"/>
                <w:sz w:val="21"/>
                <w:szCs w:val="21"/>
                <w:u w:val="none"/>
              </w:rPr>
              <w:t>昼间</w:t>
            </w:r>
          </w:p>
        </w:tc>
        <w:tc>
          <w:tcPr>
            <w:tcW w:w="2841" w:type="dxa"/>
            <w:noWrap w:val="0"/>
            <w:vAlign w:val="center"/>
          </w:tcPr>
          <w:p>
            <w:pPr>
              <w:spacing w:line="240" w:lineRule="auto"/>
              <w:ind w:firstLine="422"/>
              <w:jc w:val="center"/>
              <w:rPr>
                <w:rFonts w:hint="eastAsia"/>
                <w:b/>
                <w:color w:val="auto"/>
                <w:kern w:val="0"/>
                <w:sz w:val="21"/>
                <w:szCs w:val="21"/>
                <w:u w:val="none"/>
              </w:rPr>
            </w:pPr>
            <w:r>
              <w:rPr>
                <w:rFonts w:hint="eastAsia"/>
                <w:b/>
                <w:color w:val="auto"/>
                <w:kern w:val="0"/>
                <w:sz w:val="21"/>
                <w:szCs w:val="21"/>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420"/>
              <w:jc w:val="center"/>
              <w:rPr>
                <w:rFonts w:hint="eastAsia"/>
                <w:color w:val="auto"/>
                <w:kern w:val="0"/>
                <w:sz w:val="21"/>
                <w:szCs w:val="21"/>
                <w:u w:val="none"/>
              </w:rPr>
            </w:pPr>
            <w:r>
              <w:rPr>
                <w:rFonts w:hint="eastAsia"/>
                <w:color w:val="auto"/>
                <w:kern w:val="0"/>
                <w:sz w:val="21"/>
                <w:szCs w:val="21"/>
                <w:u w:val="none"/>
                <w:lang w:val="en-US" w:eastAsia="zh-CN"/>
              </w:rPr>
              <w:t>3</w:t>
            </w:r>
            <w:r>
              <w:rPr>
                <w:rFonts w:hint="eastAsia"/>
                <w:color w:val="auto"/>
                <w:kern w:val="0"/>
                <w:sz w:val="21"/>
                <w:szCs w:val="21"/>
                <w:u w:val="none"/>
              </w:rPr>
              <w:t>类</w:t>
            </w:r>
          </w:p>
        </w:tc>
        <w:tc>
          <w:tcPr>
            <w:tcW w:w="2841" w:type="dxa"/>
            <w:noWrap w:val="0"/>
            <w:vAlign w:val="center"/>
          </w:tcPr>
          <w:p>
            <w:pPr>
              <w:spacing w:line="240" w:lineRule="auto"/>
              <w:ind w:firstLine="42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65</w:t>
            </w:r>
          </w:p>
        </w:tc>
        <w:tc>
          <w:tcPr>
            <w:tcW w:w="2841" w:type="dxa"/>
            <w:noWrap w:val="0"/>
            <w:vAlign w:val="center"/>
          </w:tcPr>
          <w:p>
            <w:pPr>
              <w:spacing w:line="240" w:lineRule="auto"/>
              <w:ind w:firstLine="42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55</w:t>
            </w:r>
          </w:p>
        </w:tc>
      </w:tr>
    </w:tbl>
    <w:p>
      <w:pPr>
        <w:ind w:firstLine="480"/>
        <w:jc w:val="both"/>
        <w:rPr>
          <w:rFonts w:hint="eastAsia"/>
          <w:color w:val="auto"/>
          <w:kern w:val="0"/>
          <w:u w:val="none"/>
        </w:rPr>
      </w:pPr>
      <w:r>
        <w:rPr>
          <w:rFonts w:hint="eastAsia"/>
          <w:color w:val="auto"/>
          <w:kern w:val="0"/>
          <w:u w:val="none"/>
        </w:rPr>
        <w:t>（4）固体废物</w:t>
      </w:r>
    </w:p>
    <w:p>
      <w:pPr>
        <w:ind w:firstLine="480"/>
        <w:jc w:val="both"/>
        <w:rPr>
          <w:rFonts w:hint="eastAsia"/>
          <w:color w:val="auto"/>
          <w:kern w:val="0"/>
          <w:u w:val="none"/>
        </w:rPr>
      </w:pPr>
      <w:r>
        <w:rPr>
          <w:rFonts w:hint="eastAsia"/>
          <w:color w:val="auto"/>
          <w:kern w:val="0"/>
          <w:u w:val="none"/>
        </w:rPr>
        <w:t>项目运营后一般工业废物</w:t>
      </w:r>
      <w:r>
        <w:rPr>
          <w:rFonts w:hint="eastAsia" w:cs="宋体"/>
          <w:color w:val="auto"/>
          <w:kern w:val="0"/>
          <w:u w:val="none"/>
        </w:rPr>
        <w:t>贮</w:t>
      </w:r>
      <w:r>
        <w:rPr>
          <w:rFonts w:hint="eastAsia"/>
          <w:color w:val="auto"/>
          <w:kern w:val="0"/>
          <w:u w:val="none"/>
        </w:rPr>
        <w:t>存、处置执行《</w:t>
      </w:r>
      <w:r>
        <w:rPr>
          <w:rFonts w:hint="eastAsia"/>
          <w:color w:val="auto"/>
        </w:rPr>
        <w:t>一般工业固体废物贮存和填埋污染控制标准</w:t>
      </w:r>
      <w:r>
        <w:rPr>
          <w:rFonts w:hint="eastAsia"/>
          <w:color w:val="auto"/>
          <w:kern w:val="0"/>
          <w:u w:val="none"/>
        </w:rPr>
        <w:t>》</w:t>
      </w:r>
      <w:r>
        <w:rPr>
          <w:rFonts w:hint="eastAsia"/>
          <w:color w:val="auto"/>
        </w:rPr>
        <w:t>（</w:t>
      </w:r>
      <w:r>
        <w:rPr>
          <w:color w:val="auto"/>
        </w:rPr>
        <w:t>GB18599-2020</w:t>
      </w:r>
      <w:r>
        <w:rPr>
          <w:rFonts w:hint="eastAsia"/>
          <w:color w:val="auto"/>
        </w:rPr>
        <w:t>）</w:t>
      </w:r>
      <w:r>
        <w:rPr>
          <w:rFonts w:hint="eastAsia"/>
          <w:color w:val="auto"/>
          <w:kern w:val="0"/>
          <w:u w:val="none"/>
        </w:rPr>
        <w:t>的相关规定，生活垃圾执行《生活垃圾填埋污染控制标准》（GB16889-2008），危险</w:t>
      </w:r>
      <w:r>
        <w:rPr>
          <w:rFonts w:hint="eastAsia"/>
          <w:color w:val="auto"/>
          <w:kern w:val="0"/>
          <w:u w:val="none"/>
          <w:lang w:eastAsia="zh-CN"/>
        </w:rPr>
        <w:t>废物</w:t>
      </w:r>
      <w:r>
        <w:rPr>
          <w:rFonts w:hint="eastAsia"/>
          <w:color w:val="auto"/>
          <w:kern w:val="0"/>
          <w:u w:val="none"/>
        </w:rPr>
        <w:t>执行《危险废物</w:t>
      </w:r>
      <w:r>
        <w:rPr>
          <w:rFonts w:hint="eastAsia" w:cs="宋体"/>
          <w:color w:val="auto"/>
          <w:kern w:val="0"/>
          <w:u w:val="none"/>
        </w:rPr>
        <w:t>贮</w:t>
      </w:r>
      <w:r>
        <w:rPr>
          <w:rFonts w:hint="eastAsia"/>
          <w:color w:val="auto"/>
          <w:kern w:val="0"/>
          <w:u w:val="none"/>
        </w:rPr>
        <w:t>存污染控制标准》（GB18579-2001）及2013年修改单中的相关规定。</w:t>
      </w:r>
    </w:p>
    <w:p>
      <w:pPr>
        <w:pStyle w:val="76"/>
        <w:spacing w:before="163" w:after="163"/>
        <w:rPr>
          <w:rFonts w:hint="eastAsia"/>
          <w:color w:val="auto"/>
          <w:kern w:val="0"/>
          <w:u w:val="none"/>
        </w:rPr>
      </w:pPr>
      <w:bookmarkStart w:id="92" w:name="_Toc140"/>
      <w:bookmarkStart w:id="93" w:name="_Toc489350119"/>
      <w:r>
        <w:rPr>
          <w:rFonts w:hint="eastAsia"/>
          <w:color w:val="auto"/>
          <w:kern w:val="0"/>
          <w:u w:val="none"/>
        </w:rPr>
        <w:t>1.7 评价等级及评价范围</w:t>
      </w:r>
      <w:bookmarkEnd w:id="92"/>
      <w:bookmarkEnd w:id="93"/>
    </w:p>
    <w:p>
      <w:pPr>
        <w:bidi w:val="0"/>
        <w:rPr>
          <w:rFonts w:hint="eastAsia"/>
        </w:rPr>
      </w:pPr>
      <w:bookmarkStart w:id="94" w:name="_Toc489350221"/>
      <w:bookmarkStart w:id="95" w:name="_Toc489349963"/>
      <w:bookmarkStart w:id="96" w:name="_Toc489350120"/>
      <w:r>
        <w:rPr>
          <w:rFonts w:hint="eastAsia"/>
          <w:color w:val="auto"/>
          <w:u w:val="single"/>
          <w:lang w:eastAsia="zh-CN"/>
        </w:rPr>
        <w:t>本项目分两期建设，一期设计规模为</w:t>
      </w:r>
      <w:r>
        <w:rPr>
          <w:rFonts w:hint="eastAsia"/>
          <w:color w:val="auto"/>
          <w:u w:val="single"/>
          <w:lang w:val="en-US" w:eastAsia="zh-CN"/>
        </w:rPr>
        <w:t>400</w:t>
      </w:r>
      <w:r>
        <w:rPr>
          <w:color w:val="auto"/>
          <w:u w:val="single"/>
        </w:rPr>
        <w:t>m</w:t>
      </w:r>
      <w:r>
        <w:rPr>
          <w:color w:val="auto"/>
          <w:u w:val="single"/>
          <w:vertAlign w:val="superscript"/>
        </w:rPr>
        <w:t>3</w:t>
      </w:r>
      <w:r>
        <w:rPr>
          <w:color w:val="auto"/>
          <w:u w:val="single"/>
        </w:rPr>
        <w:t>/d</w:t>
      </w:r>
      <w:r>
        <w:rPr>
          <w:rFonts w:hint="eastAsia"/>
          <w:color w:val="auto"/>
          <w:u w:val="single"/>
          <w:lang w:eastAsia="zh-CN"/>
        </w:rPr>
        <w:t>，二期新增设备后总设计规模为</w:t>
      </w:r>
      <w:r>
        <w:rPr>
          <w:rFonts w:hint="eastAsia"/>
          <w:color w:val="auto"/>
          <w:u w:val="single"/>
          <w:lang w:val="en-US" w:eastAsia="zh-CN"/>
        </w:rPr>
        <w:t>1000</w:t>
      </w:r>
      <w:r>
        <w:rPr>
          <w:color w:val="auto"/>
          <w:u w:val="single"/>
        </w:rPr>
        <w:t>m</w:t>
      </w:r>
      <w:r>
        <w:rPr>
          <w:color w:val="auto"/>
          <w:u w:val="single"/>
          <w:vertAlign w:val="superscript"/>
        </w:rPr>
        <w:t>3</w:t>
      </w:r>
      <w:r>
        <w:rPr>
          <w:color w:val="auto"/>
          <w:u w:val="single"/>
        </w:rPr>
        <w:t>/d</w:t>
      </w:r>
      <w:r>
        <w:rPr>
          <w:rFonts w:hint="eastAsia"/>
          <w:color w:val="auto"/>
          <w:u w:val="single"/>
          <w:lang w:eastAsia="zh-CN"/>
        </w:rPr>
        <w:t>，本环评包含一期及二期内容，故本环评大气环境影响评价总规模为</w:t>
      </w:r>
      <w:r>
        <w:rPr>
          <w:rFonts w:hint="eastAsia"/>
          <w:color w:val="auto"/>
          <w:u w:val="single"/>
          <w:lang w:val="en-US" w:eastAsia="zh-CN"/>
        </w:rPr>
        <w:t>1000</w:t>
      </w:r>
      <w:r>
        <w:rPr>
          <w:color w:val="auto"/>
          <w:u w:val="single"/>
        </w:rPr>
        <w:t>m</w:t>
      </w:r>
      <w:r>
        <w:rPr>
          <w:color w:val="auto"/>
          <w:u w:val="single"/>
          <w:vertAlign w:val="superscript"/>
        </w:rPr>
        <w:t>3</w:t>
      </w:r>
      <w:r>
        <w:rPr>
          <w:color w:val="auto"/>
          <w:u w:val="single"/>
        </w:rPr>
        <w:t>/d</w:t>
      </w:r>
      <w:r>
        <w:rPr>
          <w:rFonts w:hint="eastAsia"/>
          <w:color w:val="auto"/>
          <w:u w:val="single"/>
          <w:lang w:eastAsia="zh-CN"/>
        </w:rPr>
        <w:t>。</w:t>
      </w:r>
    </w:p>
    <w:p>
      <w:pPr>
        <w:pStyle w:val="6"/>
        <w:bidi w:val="0"/>
        <w:rPr>
          <w:rFonts w:hint="eastAsia"/>
          <w:lang w:eastAsia="zh-CN"/>
        </w:rPr>
      </w:pPr>
      <w:r>
        <w:rPr>
          <w:rFonts w:hint="eastAsia"/>
        </w:rPr>
        <w:t>1.7.1 大气环境影响评价等级</w:t>
      </w:r>
      <w:bookmarkEnd w:id="94"/>
      <w:bookmarkEnd w:id="95"/>
      <w:bookmarkEnd w:id="96"/>
      <w:r>
        <w:rPr>
          <w:rFonts w:hint="eastAsia"/>
          <w:lang w:eastAsia="zh-CN"/>
        </w:rPr>
        <w:t>及评价范围</w:t>
      </w:r>
    </w:p>
    <w:p>
      <w:pPr>
        <w:ind w:firstLine="480"/>
        <w:jc w:val="both"/>
        <w:rPr>
          <w:color w:val="auto"/>
          <w:kern w:val="0"/>
          <w:u w:val="none"/>
        </w:rPr>
      </w:pPr>
      <w:r>
        <w:rPr>
          <w:rFonts w:hint="eastAsia"/>
          <w:color w:val="auto"/>
          <w:kern w:val="0"/>
          <w:u w:val="none"/>
        </w:rPr>
        <w:t>本项目大气污染物主</w:t>
      </w:r>
      <w:r>
        <w:rPr>
          <w:rFonts w:hint="eastAsia"/>
          <w:color w:val="auto"/>
          <w:kern w:val="0"/>
          <w:u w:val="none"/>
          <w:lang w:val="en-US" w:eastAsia="zh-CN"/>
        </w:rPr>
        <w:t xml:space="preserve"> </w:t>
      </w:r>
      <w:r>
        <w:rPr>
          <w:rFonts w:hint="eastAsia"/>
          <w:color w:val="auto"/>
          <w:kern w:val="0"/>
          <w:u w:val="none"/>
        </w:rPr>
        <w:t>要是有组织、无组织排放的少量恶臭气体，恶臭气体主要成分为</w:t>
      </w:r>
      <w:r>
        <w:rPr>
          <w:rFonts w:hint="eastAsia"/>
          <w:color w:val="auto"/>
          <w:kern w:val="0"/>
          <w:sz w:val="12"/>
          <w:szCs w:val="12"/>
          <w:u w:val="none"/>
        </w:rPr>
        <w:t xml:space="preserve"> </w:t>
      </w:r>
      <w:r>
        <w:rPr>
          <w:color w:val="auto"/>
          <w:kern w:val="0"/>
          <w:u w:val="none"/>
        </w:rPr>
        <w:t>H</w:t>
      </w:r>
      <w:r>
        <w:rPr>
          <w:color w:val="auto"/>
          <w:kern w:val="0"/>
          <w:sz w:val="16"/>
          <w:szCs w:val="16"/>
          <w:u w:val="none"/>
        </w:rPr>
        <w:t>2</w:t>
      </w:r>
      <w:r>
        <w:rPr>
          <w:color w:val="auto"/>
          <w:kern w:val="0"/>
          <w:u w:val="none"/>
        </w:rPr>
        <w:t>S</w:t>
      </w:r>
      <w:r>
        <w:rPr>
          <w:rFonts w:hint="eastAsia"/>
          <w:color w:val="auto"/>
          <w:kern w:val="0"/>
          <w:u w:val="none"/>
        </w:rPr>
        <w:t>、</w:t>
      </w:r>
      <w:r>
        <w:rPr>
          <w:color w:val="auto"/>
          <w:kern w:val="0"/>
          <w:u w:val="none"/>
        </w:rPr>
        <w:t>NH</w:t>
      </w:r>
      <w:r>
        <w:rPr>
          <w:color w:val="auto"/>
          <w:kern w:val="0"/>
          <w:sz w:val="16"/>
          <w:szCs w:val="16"/>
          <w:u w:val="none"/>
        </w:rPr>
        <w:t>3</w:t>
      </w:r>
      <w:r>
        <w:rPr>
          <w:rFonts w:hint="eastAsia"/>
          <w:color w:val="auto"/>
          <w:kern w:val="0"/>
          <w:u w:val="none"/>
        </w:rPr>
        <w:t>，根据《</w:t>
      </w:r>
      <w:r>
        <w:rPr>
          <w:rFonts w:hint="eastAsia"/>
          <w:color w:val="auto"/>
          <w:kern w:val="0"/>
          <w:sz w:val="4"/>
          <w:szCs w:val="4"/>
          <w:u w:val="none"/>
        </w:rPr>
        <w:t xml:space="preserve"> </w:t>
      </w:r>
      <w:r>
        <w:rPr>
          <w:rFonts w:hint="eastAsia"/>
          <w:color w:val="auto"/>
          <w:kern w:val="0"/>
          <w:u w:val="none"/>
        </w:rPr>
        <w:t>环境影响评价技术</w:t>
      </w:r>
      <w:r>
        <w:rPr>
          <w:rFonts w:hint="eastAsia"/>
          <w:color w:val="auto"/>
          <w:kern w:val="0"/>
          <w:sz w:val="4"/>
          <w:szCs w:val="4"/>
          <w:u w:val="none"/>
        </w:rPr>
        <w:t xml:space="preserve"> </w:t>
      </w:r>
      <w:r>
        <w:rPr>
          <w:rFonts w:hint="eastAsia"/>
          <w:color w:val="auto"/>
          <w:kern w:val="0"/>
          <w:u w:val="none"/>
        </w:rPr>
        <w:t>导则</w:t>
      </w:r>
      <w:r>
        <w:rPr>
          <w:color w:val="auto"/>
          <w:kern w:val="0"/>
          <w:u w:val="none"/>
        </w:rPr>
        <w:t>—</w:t>
      </w:r>
      <w:r>
        <w:rPr>
          <w:rFonts w:hint="eastAsia"/>
          <w:color w:val="auto"/>
          <w:kern w:val="0"/>
          <w:u w:val="none"/>
        </w:rPr>
        <w:t>大气环境》（</w:t>
      </w:r>
      <w:r>
        <w:rPr>
          <w:rFonts w:hint="eastAsia"/>
          <w:color w:val="auto"/>
          <w:kern w:val="0"/>
          <w:sz w:val="4"/>
          <w:szCs w:val="4"/>
          <w:u w:val="none"/>
        </w:rPr>
        <w:t xml:space="preserve"> </w:t>
      </w:r>
      <w:r>
        <w:rPr>
          <w:color w:val="auto"/>
          <w:kern w:val="0"/>
          <w:u w:val="none"/>
        </w:rPr>
        <w:t>HJ2.2-2018</w:t>
      </w:r>
      <w:r>
        <w:rPr>
          <w:rFonts w:hint="eastAsia"/>
          <w:color w:val="auto"/>
          <w:kern w:val="0"/>
          <w:u w:val="none"/>
        </w:rPr>
        <w:t>），环境空气评价工作等级的确定应选择</w:t>
      </w:r>
      <w:r>
        <w:rPr>
          <w:rFonts w:hint="eastAsia"/>
          <w:color w:val="auto"/>
          <w:kern w:val="0"/>
          <w:sz w:val="12"/>
          <w:szCs w:val="12"/>
          <w:u w:val="none"/>
        </w:rPr>
        <w:t xml:space="preserve"> </w:t>
      </w:r>
      <w:r>
        <w:rPr>
          <w:color w:val="auto"/>
          <w:kern w:val="0"/>
          <w:u w:val="none"/>
        </w:rPr>
        <w:t>1</w:t>
      </w:r>
      <w:r>
        <w:rPr>
          <w:rFonts w:hint="eastAsia"/>
          <w:color w:val="auto"/>
          <w:kern w:val="0"/>
          <w:u w:val="none"/>
        </w:rPr>
        <w:t>～</w:t>
      </w:r>
      <w:r>
        <w:rPr>
          <w:color w:val="auto"/>
          <w:kern w:val="0"/>
          <w:u w:val="none"/>
        </w:rPr>
        <w:t xml:space="preserve">3 </w:t>
      </w:r>
      <w:r>
        <w:rPr>
          <w:color w:val="auto"/>
          <w:kern w:val="0"/>
          <w:sz w:val="12"/>
          <w:szCs w:val="12"/>
          <w:u w:val="none"/>
        </w:rPr>
        <w:t xml:space="preserve"> </w:t>
      </w:r>
      <w:r>
        <w:rPr>
          <w:rFonts w:hint="eastAsia"/>
          <w:color w:val="auto"/>
          <w:kern w:val="0"/>
          <w:u w:val="none"/>
        </w:rPr>
        <w:t>种主要污染物，分别计算每一种污染物的最大地面浓度占标率</w:t>
      </w:r>
      <w:r>
        <w:rPr>
          <w:rFonts w:hint="eastAsia"/>
          <w:color w:val="auto"/>
          <w:kern w:val="0"/>
          <w:sz w:val="12"/>
          <w:szCs w:val="12"/>
          <w:u w:val="none"/>
        </w:rPr>
        <w:t xml:space="preserve"> </w:t>
      </w:r>
      <w:r>
        <w:rPr>
          <w:color w:val="auto"/>
          <w:kern w:val="0"/>
          <w:u w:val="none"/>
        </w:rPr>
        <w:t>P</w:t>
      </w:r>
      <w:r>
        <w:rPr>
          <w:color w:val="auto"/>
          <w:kern w:val="0"/>
          <w:sz w:val="16"/>
          <w:szCs w:val="16"/>
          <w:u w:val="none"/>
        </w:rPr>
        <w:t>i</w:t>
      </w:r>
      <w:r>
        <w:rPr>
          <w:color w:val="auto"/>
          <w:kern w:val="0"/>
          <w:u w:val="none"/>
        </w:rPr>
        <w:t>(</w:t>
      </w:r>
      <w:r>
        <w:rPr>
          <w:rFonts w:hint="eastAsia"/>
          <w:color w:val="auto"/>
          <w:kern w:val="0"/>
          <w:u w:val="none"/>
        </w:rPr>
        <w:t>第</w:t>
      </w:r>
      <w:r>
        <w:rPr>
          <w:rFonts w:hint="eastAsia"/>
          <w:color w:val="auto"/>
          <w:kern w:val="0"/>
          <w:sz w:val="12"/>
          <w:szCs w:val="12"/>
          <w:u w:val="none"/>
        </w:rPr>
        <w:t xml:space="preserve"> </w:t>
      </w:r>
      <w:r>
        <w:rPr>
          <w:color w:val="auto"/>
          <w:kern w:val="0"/>
          <w:u w:val="none"/>
        </w:rPr>
        <w:t>i</w:t>
      </w:r>
      <w:r>
        <w:rPr>
          <w:rFonts w:hint="eastAsia"/>
          <w:color w:val="auto"/>
          <w:kern w:val="0"/>
          <w:u w:val="none"/>
        </w:rPr>
        <w:t>个污染物</w:t>
      </w:r>
      <w:r>
        <w:rPr>
          <w:color w:val="auto"/>
          <w:kern w:val="0"/>
          <w:u w:val="none"/>
        </w:rPr>
        <w:t>)</w:t>
      </w:r>
      <w:r>
        <w:rPr>
          <w:rFonts w:hint="eastAsia"/>
          <w:color w:val="auto"/>
          <w:kern w:val="0"/>
          <w:u w:val="none"/>
        </w:rPr>
        <w:t>，及第</w:t>
      </w:r>
      <w:r>
        <w:rPr>
          <w:rFonts w:hint="eastAsia"/>
          <w:color w:val="auto"/>
          <w:kern w:val="0"/>
          <w:sz w:val="12"/>
          <w:szCs w:val="12"/>
          <w:u w:val="none"/>
        </w:rPr>
        <w:t xml:space="preserve"> </w:t>
      </w:r>
      <w:r>
        <w:rPr>
          <w:color w:val="auto"/>
          <w:kern w:val="0"/>
          <w:u w:val="none"/>
        </w:rPr>
        <w:t>i</w:t>
      </w:r>
      <w:r>
        <w:rPr>
          <w:rFonts w:hint="eastAsia"/>
          <w:color w:val="auto"/>
          <w:kern w:val="0"/>
          <w:u w:val="none"/>
        </w:rPr>
        <w:t>个污染物的地面浓度达标准限值</w:t>
      </w:r>
      <w:r>
        <w:rPr>
          <w:rFonts w:hint="eastAsia"/>
          <w:color w:val="auto"/>
          <w:kern w:val="0"/>
          <w:sz w:val="12"/>
          <w:szCs w:val="12"/>
          <w:u w:val="none"/>
        </w:rPr>
        <w:t xml:space="preserve"> </w:t>
      </w:r>
      <w:r>
        <w:rPr>
          <w:color w:val="auto"/>
          <w:kern w:val="0"/>
          <w:u w:val="none"/>
        </w:rPr>
        <w:t>10%</w:t>
      </w:r>
      <w:r>
        <w:rPr>
          <w:rFonts w:hint="eastAsia"/>
          <w:color w:val="auto"/>
          <w:kern w:val="0"/>
          <w:u w:val="none"/>
        </w:rPr>
        <w:t>时所对应的最远距离</w:t>
      </w:r>
      <w:r>
        <w:rPr>
          <w:rFonts w:hint="eastAsia"/>
          <w:color w:val="auto"/>
          <w:kern w:val="0"/>
          <w:sz w:val="12"/>
          <w:szCs w:val="12"/>
          <w:u w:val="none"/>
        </w:rPr>
        <w:t xml:space="preserve"> </w:t>
      </w:r>
      <w:r>
        <w:rPr>
          <w:color w:val="auto"/>
          <w:kern w:val="0"/>
          <w:u w:val="none"/>
        </w:rPr>
        <w:t>D</w:t>
      </w:r>
      <w:r>
        <w:rPr>
          <w:color w:val="auto"/>
          <w:kern w:val="0"/>
          <w:sz w:val="16"/>
          <w:szCs w:val="16"/>
          <w:u w:val="none"/>
        </w:rPr>
        <w:t>10%</w:t>
      </w:r>
      <w:r>
        <w:rPr>
          <w:rFonts w:hint="eastAsia"/>
          <w:color w:val="auto"/>
          <w:kern w:val="0"/>
          <w:u w:val="none"/>
        </w:rPr>
        <w:t>，其中</w:t>
      </w:r>
      <w:r>
        <w:rPr>
          <w:rFonts w:hint="eastAsia"/>
          <w:color w:val="auto"/>
          <w:kern w:val="0"/>
          <w:sz w:val="12"/>
          <w:szCs w:val="12"/>
          <w:u w:val="none"/>
        </w:rPr>
        <w:t xml:space="preserve"> </w:t>
      </w:r>
      <w:r>
        <w:rPr>
          <w:color w:val="auto"/>
          <w:kern w:val="0"/>
          <w:u w:val="none"/>
        </w:rPr>
        <w:t>P</w:t>
      </w:r>
      <w:r>
        <w:rPr>
          <w:color w:val="auto"/>
          <w:kern w:val="0"/>
          <w:sz w:val="16"/>
          <w:szCs w:val="16"/>
          <w:u w:val="none"/>
        </w:rPr>
        <w:t>i</w:t>
      </w:r>
      <w:r>
        <w:rPr>
          <w:color w:val="auto"/>
          <w:kern w:val="0"/>
          <w:u w:val="none"/>
        </w:rPr>
        <w:t xml:space="preserve"> </w:t>
      </w:r>
      <w:r>
        <w:rPr>
          <w:color w:val="auto"/>
          <w:kern w:val="0"/>
          <w:sz w:val="12"/>
          <w:szCs w:val="12"/>
          <w:u w:val="none"/>
        </w:rPr>
        <w:t xml:space="preserve"> </w:t>
      </w:r>
      <w:r>
        <w:rPr>
          <w:rFonts w:hint="eastAsia"/>
          <w:color w:val="auto"/>
          <w:kern w:val="0"/>
          <w:u w:val="none"/>
        </w:rPr>
        <w:t xml:space="preserve">的定义为： </w:t>
      </w:r>
    </w:p>
    <w:p>
      <w:pPr>
        <w:ind w:firstLine="480"/>
        <w:jc w:val="both"/>
        <w:rPr>
          <w:color w:val="auto"/>
          <w:kern w:val="0"/>
          <w:u w:val="none"/>
        </w:rPr>
      </w:pPr>
      <w:r>
        <w:rPr>
          <w:rFonts w:hint="eastAsia"/>
          <w:i/>
          <w:color w:val="auto"/>
          <w:kern w:val="0"/>
          <w:u w:val="none"/>
        </w:rPr>
        <w:t>P</w:t>
      </w:r>
      <w:r>
        <w:rPr>
          <w:rFonts w:hint="eastAsia"/>
          <w:i/>
          <w:color w:val="auto"/>
          <w:kern w:val="0"/>
          <w:u w:val="none"/>
          <w:vertAlign w:val="subscript"/>
        </w:rPr>
        <w:t>i</w:t>
      </w:r>
      <w:r>
        <w:rPr>
          <w:rFonts w:hint="eastAsia"/>
          <w:i/>
          <w:color w:val="auto"/>
          <w:kern w:val="0"/>
          <w:u w:val="none"/>
        </w:rPr>
        <w:t>=</w:t>
      </w:r>
      <w:r>
        <w:rPr>
          <w:rFonts w:hint="eastAsia"/>
          <w:color w:val="auto"/>
          <w:kern w:val="0"/>
          <w:u w:val="none"/>
        </w:rPr>
        <w:t>（</w:t>
      </w:r>
      <w:r>
        <w:rPr>
          <w:rFonts w:hint="eastAsia"/>
          <w:i/>
          <w:color w:val="auto"/>
          <w:kern w:val="0"/>
          <w:u w:val="none"/>
        </w:rPr>
        <w:t>C</w:t>
      </w:r>
      <w:r>
        <w:rPr>
          <w:rFonts w:hint="eastAsia"/>
          <w:i/>
          <w:color w:val="auto"/>
          <w:kern w:val="0"/>
          <w:u w:val="none"/>
          <w:vertAlign w:val="subscript"/>
        </w:rPr>
        <w:t>i</w:t>
      </w:r>
      <w:r>
        <w:rPr>
          <w:rFonts w:hint="eastAsia"/>
          <w:i/>
          <w:color w:val="auto"/>
          <w:kern w:val="0"/>
          <w:u w:val="none"/>
        </w:rPr>
        <w:t>/C</w:t>
      </w:r>
      <w:r>
        <w:rPr>
          <w:rFonts w:hint="eastAsia"/>
          <w:i/>
          <w:color w:val="auto"/>
          <w:kern w:val="0"/>
          <w:u w:val="none"/>
          <w:vertAlign w:val="subscript"/>
        </w:rPr>
        <w:t>0i</w:t>
      </w:r>
      <w:r>
        <w:rPr>
          <w:rFonts w:hint="eastAsia"/>
          <w:color w:val="auto"/>
          <w:kern w:val="0"/>
          <w:u w:val="none"/>
        </w:rPr>
        <w:t>）×100%</w:t>
      </w:r>
    </w:p>
    <w:p>
      <w:pPr>
        <w:ind w:firstLine="480"/>
        <w:jc w:val="both"/>
        <w:rPr>
          <w:color w:val="auto"/>
          <w:kern w:val="0"/>
          <w:u w:val="none"/>
        </w:rPr>
      </w:pPr>
      <w:r>
        <w:rPr>
          <w:rFonts w:hint="eastAsia"/>
          <w:color w:val="auto"/>
          <w:kern w:val="0"/>
          <w:u w:val="none"/>
        </w:rPr>
        <w:t>式中：</w:t>
      </w:r>
      <w:r>
        <w:rPr>
          <w:rFonts w:hint="eastAsia"/>
          <w:i/>
          <w:color w:val="auto"/>
          <w:kern w:val="0"/>
          <w:u w:val="none"/>
        </w:rPr>
        <w:t>P</w:t>
      </w:r>
      <w:r>
        <w:rPr>
          <w:rFonts w:hint="eastAsia"/>
          <w:i/>
          <w:color w:val="auto"/>
          <w:kern w:val="0"/>
          <w:u w:val="none"/>
          <w:vertAlign w:val="subscript"/>
        </w:rPr>
        <w:t>i</w:t>
      </w:r>
      <w:r>
        <w:rPr>
          <w:rFonts w:hint="eastAsia"/>
          <w:color w:val="auto"/>
          <w:kern w:val="0"/>
          <w:u w:val="none"/>
        </w:rPr>
        <w:t>-第</w:t>
      </w:r>
      <w:r>
        <w:rPr>
          <w:rFonts w:hint="eastAsia"/>
          <w:i/>
          <w:color w:val="auto"/>
          <w:kern w:val="0"/>
          <w:u w:val="none"/>
        </w:rPr>
        <w:t>i</w:t>
      </w:r>
      <w:r>
        <w:rPr>
          <w:rFonts w:hint="eastAsia"/>
          <w:color w:val="auto"/>
          <w:kern w:val="0"/>
          <w:u w:val="none"/>
        </w:rPr>
        <w:t xml:space="preserve">个污染物的最大地面质量浓度占标率，%； </w:t>
      </w:r>
    </w:p>
    <w:p>
      <w:pPr>
        <w:ind w:firstLine="960" w:firstLineChars="400"/>
        <w:jc w:val="both"/>
        <w:rPr>
          <w:color w:val="auto"/>
          <w:kern w:val="0"/>
          <w:u w:val="none"/>
        </w:rPr>
      </w:pPr>
      <w:r>
        <w:rPr>
          <w:rFonts w:hint="eastAsia"/>
          <w:i/>
          <w:color w:val="auto"/>
          <w:kern w:val="0"/>
          <w:u w:val="none"/>
        </w:rPr>
        <w:t>C</w:t>
      </w:r>
      <w:r>
        <w:rPr>
          <w:rFonts w:hint="eastAsia"/>
          <w:i/>
          <w:color w:val="auto"/>
          <w:kern w:val="0"/>
          <w:u w:val="none"/>
          <w:vertAlign w:val="subscript"/>
        </w:rPr>
        <w:t>i</w:t>
      </w:r>
      <w:r>
        <w:rPr>
          <w:rFonts w:hint="eastAsia"/>
          <w:color w:val="auto"/>
          <w:kern w:val="0"/>
          <w:u w:val="none"/>
        </w:rPr>
        <w:t>-采用估算模式计算出的第</w:t>
      </w:r>
      <w:r>
        <w:rPr>
          <w:rFonts w:hint="eastAsia"/>
          <w:i/>
          <w:color w:val="auto"/>
          <w:kern w:val="0"/>
          <w:u w:val="none"/>
        </w:rPr>
        <w:t>i</w:t>
      </w:r>
      <w:r>
        <w:rPr>
          <w:rFonts w:hint="eastAsia"/>
          <w:color w:val="auto"/>
          <w:kern w:val="0"/>
          <w:u w:val="none"/>
        </w:rPr>
        <w:t>个污染物的最大地面质量浓度，mg/m</w:t>
      </w:r>
      <w:r>
        <w:rPr>
          <w:rFonts w:hint="eastAsia"/>
          <w:color w:val="auto"/>
          <w:kern w:val="0"/>
          <w:u w:val="none"/>
          <w:vertAlign w:val="superscript"/>
        </w:rPr>
        <w:t>3</w:t>
      </w:r>
      <w:r>
        <w:rPr>
          <w:rFonts w:hint="eastAsia"/>
          <w:color w:val="auto"/>
          <w:kern w:val="0"/>
          <w:u w:val="none"/>
        </w:rPr>
        <w:t>；</w:t>
      </w:r>
    </w:p>
    <w:p>
      <w:pPr>
        <w:ind w:firstLine="960" w:firstLineChars="400"/>
        <w:jc w:val="both"/>
        <w:rPr>
          <w:color w:val="auto"/>
          <w:kern w:val="0"/>
          <w:u w:val="none"/>
        </w:rPr>
      </w:pPr>
      <w:r>
        <w:rPr>
          <w:rFonts w:hint="eastAsia"/>
          <w:i/>
          <w:color w:val="auto"/>
          <w:kern w:val="0"/>
          <w:u w:val="none"/>
        </w:rPr>
        <w:t>C</w:t>
      </w:r>
      <w:r>
        <w:rPr>
          <w:rFonts w:hint="eastAsia"/>
          <w:i/>
          <w:color w:val="auto"/>
          <w:kern w:val="0"/>
          <w:u w:val="none"/>
          <w:vertAlign w:val="subscript"/>
        </w:rPr>
        <w:t>0i</w:t>
      </w:r>
      <w:r>
        <w:rPr>
          <w:rFonts w:hint="eastAsia"/>
          <w:color w:val="auto"/>
          <w:kern w:val="0"/>
          <w:u w:val="none"/>
        </w:rPr>
        <w:t>-第</w:t>
      </w:r>
      <w:r>
        <w:rPr>
          <w:rFonts w:hint="eastAsia"/>
          <w:i/>
          <w:color w:val="auto"/>
          <w:kern w:val="0"/>
          <w:u w:val="none"/>
        </w:rPr>
        <w:t>i</w:t>
      </w:r>
      <w:r>
        <w:rPr>
          <w:rFonts w:hint="eastAsia"/>
          <w:color w:val="auto"/>
          <w:kern w:val="0"/>
          <w:u w:val="none"/>
        </w:rPr>
        <w:t>个污染物的环境空气浓度标准，mg/m</w:t>
      </w:r>
      <w:r>
        <w:rPr>
          <w:rFonts w:hint="eastAsia"/>
          <w:color w:val="auto"/>
          <w:kern w:val="0"/>
          <w:u w:val="none"/>
          <w:vertAlign w:val="superscript"/>
        </w:rPr>
        <w:t>3</w:t>
      </w:r>
      <w:r>
        <w:rPr>
          <w:rFonts w:hint="eastAsia"/>
          <w:color w:val="auto"/>
          <w:kern w:val="0"/>
          <w:u w:val="none"/>
        </w:rPr>
        <w:t>；</w:t>
      </w:r>
    </w:p>
    <w:p>
      <w:pPr>
        <w:ind w:firstLine="480"/>
        <w:jc w:val="both"/>
        <w:rPr>
          <w:rFonts w:hint="eastAsia"/>
          <w:color w:val="auto"/>
          <w:kern w:val="0"/>
          <w:u w:val="none"/>
        </w:rPr>
      </w:pPr>
      <w:r>
        <w:rPr>
          <w:i/>
          <w:color w:val="auto"/>
          <w:kern w:val="0"/>
          <w:u w:val="none"/>
        </w:rPr>
        <w:t>C</w:t>
      </w:r>
      <w:r>
        <w:rPr>
          <w:i/>
          <w:color w:val="auto"/>
          <w:kern w:val="0"/>
          <w:u w:val="none"/>
          <w:vertAlign w:val="subscript"/>
        </w:rPr>
        <w:t>0i</w:t>
      </w:r>
      <w:r>
        <w:rPr>
          <w:rFonts w:hint="eastAsia"/>
          <w:color w:val="auto"/>
          <w:kern w:val="0"/>
          <w:u w:val="none"/>
        </w:rPr>
        <w:t>评价工作等级一般选用GB3095中1h平均取样时间的二级标准的浓度限值，对于没有小时浓度限值的污染物，可取日平均值的三倍值，评价工作等级的判定依据见下表</w:t>
      </w:r>
      <w:r>
        <w:rPr>
          <w:rFonts w:hint="eastAsia"/>
          <w:color w:val="auto"/>
          <w:kern w:val="0"/>
          <w:u w:val="none"/>
          <w:lang w:val="en-US" w:eastAsia="zh-CN"/>
        </w:rPr>
        <w:t>1.7-1</w:t>
      </w:r>
      <w:r>
        <w:rPr>
          <w:rFonts w:hint="eastAsia"/>
          <w:color w:val="auto"/>
          <w:kern w:val="0"/>
          <w:u w:val="none"/>
        </w:rPr>
        <w:t>。</w:t>
      </w:r>
    </w:p>
    <w:p>
      <w:pPr>
        <w:pStyle w:val="124"/>
        <w:bidi w:val="0"/>
      </w:pPr>
      <w:r>
        <w:rPr>
          <w:rFonts w:hint="eastAsia"/>
        </w:rPr>
        <w:t>表1.7-1 评价工作等级</w:t>
      </w:r>
    </w:p>
    <w:tbl>
      <w:tblPr>
        <w:tblStyle w:val="36"/>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2"/>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2" w:type="dxa"/>
            <w:noWrap w:val="0"/>
            <w:vAlign w:val="center"/>
          </w:tcPr>
          <w:p>
            <w:pPr>
              <w:spacing w:line="240" w:lineRule="auto"/>
              <w:ind w:left="420" w:leftChars="175" w:firstLine="422"/>
              <w:jc w:val="center"/>
              <w:rPr>
                <w:b/>
                <w:color w:val="auto"/>
                <w:kern w:val="0"/>
                <w:sz w:val="21"/>
                <w:u w:val="none"/>
              </w:rPr>
            </w:pPr>
            <w:r>
              <w:rPr>
                <w:rFonts w:hint="eastAsia"/>
                <w:b/>
                <w:color w:val="auto"/>
                <w:kern w:val="0"/>
                <w:sz w:val="21"/>
                <w:u w:val="none"/>
              </w:rPr>
              <w:t>评价工作等级</w:t>
            </w:r>
          </w:p>
        </w:tc>
        <w:tc>
          <w:tcPr>
            <w:tcW w:w="4925" w:type="dxa"/>
            <w:noWrap w:val="0"/>
            <w:vAlign w:val="center"/>
          </w:tcPr>
          <w:p>
            <w:pPr>
              <w:spacing w:line="240" w:lineRule="auto"/>
              <w:ind w:left="420" w:leftChars="175" w:firstLine="422"/>
              <w:jc w:val="center"/>
              <w:rPr>
                <w:b/>
                <w:color w:val="auto"/>
                <w:kern w:val="0"/>
                <w:sz w:val="21"/>
                <w:u w:val="none"/>
              </w:rPr>
            </w:pPr>
            <w:r>
              <w:rPr>
                <w:rFonts w:hint="eastAsia"/>
                <w:b/>
                <w:color w:val="auto"/>
                <w:kern w:val="0"/>
                <w:sz w:val="21"/>
                <w:u w:val="none"/>
              </w:rPr>
              <w:t>评价工作等级依据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2" w:type="dxa"/>
            <w:noWrap w:val="0"/>
            <w:vAlign w:val="center"/>
          </w:tcPr>
          <w:p>
            <w:pPr>
              <w:spacing w:line="240" w:lineRule="auto"/>
              <w:ind w:firstLine="420"/>
              <w:jc w:val="center"/>
              <w:rPr>
                <w:color w:val="auto"/>
                <w:kern w:val="0"/>
                <w:sz w:val="21"/>
                <w:u w:val="none"/>
              </w:rPr>
            </w:pPr>
            <w:r>
              <w:rPr>
                <w:rFonts w:hint="eastAsia"/>
                <w:color w:val="auto"/>
                <w:kern w:val="0"/>
                <w:sz w:val="21"/>
                <w:u w:val="none"/>
              </w:rPr>
              <w:t>一级</w:t>
            </w:r>
          </w:p>
        </w:tc>
        <w:tc>
          <w:tcPr>
            <w:tcW w:w="4925" w:type="dxa"/>
            <w:noWrap w:val="0"/>
            <w:vAlign w:val="center"/>
          </w:tcPr>
          <w:p>
            <w:pPr>
              <w:spacing w:line="240" w:lineRule="auto"/>
              <w:ind w:firstLine="420"/>
              <w:jc w:val="center"/>
              <w:rPr>
                <w:color w:val="auto"/>
                <w:kern w:val="0"/>
                <w:sz w:val="21"/>
                <w:u w:val="none"/>
              </w:rPr>
            </w:pPr>
            <w:r>
              <w:rPr>
                <w:rFonts w:hint="eastAsia"/>
                <w:color w:val="auto"/>
                <w:kern w:val="0"/>
                <w:sz w:val="21"/>
                <w:u w:val="none"/>
              </w:rPr>
              <w:t>Pmax≥</w:t>
            </w:r>
            <w:r>
              <w:rPr>
                <w:color w:val="auto"/>
                <w:kern w:val="0"/>
                <w:sz w:val="21"/>
                <w:u w:val="none"/>
              </w:rPr>
              <w:t>1</w:t>
            </w:r>
            <w:r>
              <w:rPr>
                <w:rFonts w:hint="eastAsia"/>
                <w:color w:val="auto"/>
                <w:kern w:val="0"/>
                <w:sz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2" w:type="dxa"/>
            <w:noWrap w:val="0"/>
            <w:vAlign w:val="center"/>
          </w:tcPr>
          <w:p>
            <w:pPr>
              <w:spacing w:line="240" w:lineRule="auto"/>
              <w:ind w:firstLine="420"/>
              <w:jc w:val="center"/>
              <w:rPr>
                <w:color w:val="auto"/>
                <w:kern w:val="0"/>
                <w:sz w:val="21"/>
                <w:u w:val="none"/>
              </w:rPr>
            </w:pPr>
            <w:r>
              <w:rPr>
                <w:rFonts w:hint="eastAsia"/>
                <w:color w:val="auto"/>
                <w:kern w:val="0"/>
                <w:sz w:val="21"/>
                <w:u w:val="none"/>
              </w:rPr>
              <w:t>二级</w:t>
            </w:r>
          </w:p>
        </w:tc>
        <w:tc>
          <w:tcPr>
            <w:tcW w:w="4925" w:type="dxa"/>
            <w:noWrap w:val="0"/>
            <w:vAlign w:val="center"/>
          </w:tcPr>
          <w:p>
            <w:pPr>
              <w:spacing w:line="240" w:lineRule="auto"/>
              <w:ind w:firstLine="420"/>
              <w:jc w:val="center"/>
              <w:rPr>
                <w:color w:val="auto"/>
                <w:kern w:val="0"/>
                <w:sz w:val="21"/>
                <w:u w:val="none"/>
              </w:rPr>
            </w:pPr>
            <w:r>
              <w:rPr>
                <w:rFonts w:hint="eastAsia"/>
                <w:color w:val="auto"/>
                <w:kern w:val="0"/>
                <w:sz w:val="21"/>
                <w:u w:val="none"/>
              </w:rPr>
              <w:t>1%≤Pmax＜</w:t>
            </w:r>
            <w:r>
              <w:rPr>
                <w:color w:val="auto"/>
                <w:kern w:val="0"/>
                <w:sz w:val="21"/>
                <w:u w:val="none"/>
              </w:rPr>
              <w:t>1</w:t>
            </w:r>
            <w:r>
              <w:rPr>
                <w:rFonts w:hint="eastAsia"/>
                <w:color w:val="auto"/>
                <w:kern w:val="0"/>
                <w:sz w:val="21"/>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4142" w:type="dxa"/>
            <w:noWrap w:val="0"/>
            <w:vAlign w:val="center"/>
          </w:tcPr>
          <w:p>
            <w:pPr>
              <w:spacing w:line="240" w:lineRule="auto"/>
              <w:ind w:firstLine="420"/>
              <w:jc w:val="center"/>
              <w:rPr>
                <w:color w:val="auto"/>
                <w:kern w:val="0"/>
                <w:sz w:val="21"/>
                <w:u w:val="none"/>
              </w:rPr>
            </w:pPr>
            <w:r>
              <w:rPr>
                <w:rFonts w:hint="eastAsia"/>
                <w:color w:val="auto"/>
                <w:kern w:val="0"/>
                <w:sz w:val="21"/>
                <w:u w:val="none"/>
              </w:rPr>
              <w:t>三级</w:t>
            </w:r>
          </w:p>
        </w:tc>
        <w:tc>
          <w:tcPr>
            <w:tcW w:w="4925" w:type="dxa"/>
            <w:noWrap w:val="0"/>
            <w:vAlign w:val="center"/>
          </w:tcPr>
          <w:p>
            <w:pPr>
              <w:spacing w:line="240" w:lineRule="auto"/>
              <w:ind w:firstLine="420"/>
              <w:jc w:val="center"/>
              <w:rPr>
                <w:color w:val="auto"/>
                <w:kern w:val="0"/>
                <w:sz w:val="21"/>
                <w:u w:val="none"/>
              </w:rPr>
            </w:pPr>
            <w:r>
              <w:rPr>
                <w:rFonts w:hint="eastAsia"/>
                <w:color w:val="auto"/>
                <w:kern w:val="0"/>
                <w:sz w:val="21"/>
                <w:u w:val="none"/>
              </w:rPr>
              <w:t>Pmax&lt;1%</w:t>
            </w:r>
            <w:r>
              <w:rPr>
                <w:color w:val="auto"/>
                <w:kern w:val="0"/>
                <w:sz w:val="21"/>
                <w:u w:val="none"/>
              </w:rPr>
              <w:t xml:space="preserve"> </w:t>
            </w:r>
          </w:p>
        </w:tc>
      </w:tr>
    </w:tbl>
    <w:p>
      <w:pPr>
        <w:ind w:firstLine="480"/>
        <w:jc w:val="both"/>
        <w:rPr>
          <w:rFonts w:hint="eastAsia"/>
          <w:color w:val="auto"/>
          <w:kern w:val="0"/>
          <w:u w:val="none"/>
          <w:lang w:eastAsia="zh-CN"/>
        </w:rPr>
      </w:pPr>
      <w:r>
        <w:rPr>
          <w:rFonts w:hint="eastAsia"/>
          <w:color w:val="auto"/>
          <w:kern w:val="0"/>
          <w:u w:val="none"/>
        </w:rPr>
        <w:t>该项目的主要大气污染物为NH</w:t>
      </w:r>
      <w:r>
        <w:rPr>
          <w:rFonts w:hint="eastAsia"/>
          <w:color w:val="auto"/>
          <w:kern w:val="0"/>
          <w:u w:val="none"/>
          <w:vertAlign w:val="subscript"/>
        </w:rPr>
        <w:t>3</w:t>
      </w:r>
      <w:r>
        <w:rPr>
          <w:rFonts w:hint="eastAsia"/>
          <w:color w:val="auto"/>
          <w:kern w:val="0"/>
          <w:u w:val="none"/>
        </w:rPr>
        <w:t>、H</w:t>
      </w:r>
      <w:r>
        <w:rPr>
          <w:rFonts w:hint="eastAsia"/>
          <w:color w:val="auto"/>
          <w:kern w:val="0"/>
          <w:u w:val="none"/>
          <w:vertAlign w:val="subscript"/>
        </w:rPr>
        <w:t>2</w:t>
      </w:r>
      <w:r>
        <w:rPr>
          <w:rFonts w:hint="eastAsia"/>
          <w:color w:val="auto"/>
          <w:kern w:val="0"/>
          <w:u w:val="none"/>
        </w:rPr>
        <w:t>S，导则规定：同一个项目有多个（两个以上，含两个）污染源排放统一污染物时，则按各污染源分别确定其评价等级，并取评价等级最高者作为项目的评价等级。根据工程分析，将本项目污泥脱水间有组织排放点源、污水处理厂无组织排放面源采用《环境影响评价技术导则-大气环境》（HJ2.2-20</w:t>
      </w:r>
      <w:r>
        <w:rPr>
          <w:color w:val="auto"/>
          <w:kern w:val="0"/>
          <w:u w:val="none"/>
        </w:rPr>
        <w:t>1</w:t>
      </w:r>
      <w:r>
        <w:rPr>
          <w:rFonts w:hint="eastAsia"/>
          <w:color w:val="auto"/>
          <w:kern w:val="0"/>
          <w:u w:val="none"/>
        </w:rPr>
        <w:t>8）中推荐</w:t>
      </w:r>
      <w:r>
        <w:rPr>
          <w:color w:val="auto"/>
          <w:kern w:val="0"/>
          <w:u w:val="none"/>
        </w:rPr>
        <w:t>AERSCREEN</w:t>
      </w:r>
      <w:r>
        <w:rPr>
          <w:rFonts w:hint="eastAsia"/>
          <w:color w:val="auto"/>
          <w:kern w:val="0"/>
          <w:u w:val="none"/>
        </w:rPr>
        <w:t>估算模式进行预测，</w:t>
      </w:r>
      <w:r>
        <w:rPr>
          <w:rFonts w:hint="eastAsia"/>
          <w:color w:val="auto"/>
          <w:kern w:val="0"/>
          <w:u w:val="none"/>
          <w:lang w:eastAsia="zh-CN"/>
        </w:rPr>
        <w:t>主要参数如下：</w:t>
      </w:r>
    </w:p>
    <w:p>
      <w:pPr>
        <w:pStyle w:val="103"/>
        <w:rPr>
          <w:color w:val="auto"/>
          <w:u w:val="none"/>
        </w:rPr>
      </w:pPr>
      <w:r>
        <w:rPr>
          <w:rFonts w:hint="eastAsia"/>
          <w:color w:val="auto"/>
          <w:u w:val="none"/>
          <w:lang w:eastAsia="zh-CN"/>
        </w:rPr>
        <w:t>表</w:t>
      </w:r>
      <w:r>
        <w:rPr>
          <w:rFonts w:hint="eastAsia"/>
          <w:color w:val="auto"/>
          <w:u w:val="none"/>
          <w:lang w:val="en-US" w:eastAsia="zh-CN"/>
        </w:rPr>
        <w:t xml:space="preserve">1.7-2  </w:t>
      </w:r>
      <w:r>
        <w:rPr>
          <w:rFonts w:hint="eastAsia"/>
          <w:color w:val="auto"/>
          <w:u w:val="none"/>
        </w:rPr>
        <w:t>估算模型参数表</w:t>
      </w: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166"/>
        <w:gridCol w:w="3525"/>
        <w:gridCol w:w="27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3361" w:type="pct"/>
            <w:gridSpan w:val="2"/>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参数</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取值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9" w:type="pct"/>
            <w:vMerge w:val="restar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城市农村</w:t>
            </w:r>
            <w:r>
              <w:rPr>
                <w:color w:val="auto"/>
                <w:sz w:val="21"/>
                <w:szCs w:val="22"/>
                <w:u w:val="none"/>
              </w:rPr>
              <w:t>/</w:t>
            </w:r>
            <w:r>
              <w:rPr>
                <w:rFonts w:hint="eastAsia"/>
                <w:color w:val="auto"/>
                <w:sz w:val="21"/>
                <w:szCs w:val="22"/>
                <w:u w:val="none"/>
              </w:rPr>
              <w:t>选项</w:t>
            </w: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城市</w:t>
            </w:r>
            <w:r>
              <w:rPr>
                <w:color w:val="auto"/>
                <w:sz w:val="21"/>
                <w:szCs w:val="22"/>
                <w:u w:val="none"/>
              </w:rPr>
              <w:t>/</w:t>
            </w:r>
            <w:r>
              <w:rPr>
                <w:rFonts w:hint="eastAsia"/>
                <w:color w:val="auto"/>
                <w:sz w:val="21"/>
                <w:szCs w:val="22"/>
                <w:u w:val="none"/>
              </w:rPr>
              <w:t>农村</w:t>
            </w:r>
          </w:p>
        </w:tc>
        <w:tc>
          <w:tcPr>
            <w:tcW w:w="1639" w:type="pct"/>
            <w:noWrap w:val="0"/>
            <w:vAlign w:val="center"/>
          </w:tcPr>
          <w:p>
            <w:pPr>
              <w:widowControl w:val="0"/>
              <w:spacing w:line="240" w:lineRule="auto"/>
              <w:ind w:firstLine="0" w:firstLineChars="0"/>
              <w:jc w:val="center"/>
              <w:rPr>
                <w:rFonts w:hint="eastAsia" w:eastAsia="宋体"/>
                <w:color w:val="auto"/>
                <w:sz w:val="21"/>
                <w:szCs w:val="22"/>
                <w:u w:val="none"/>
                <w:lang w:eastAsia="zh-CN"/>
              </w:rPr>
            </w:pPr>
            <w:r>
              <w:rPr>
                <w:rFonts w:hint="eastAsia"/>
                <w:color w:val="auto"/>
                <w:sz w:val="21"/>
                <w:szCs w:val="22"/>
                <w:u w:val="none"/>
                <w:lang w:eastAsia="zh-CN"/>
              </w:rPr>
              <w:t>城市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9" w:type="pct"/>
            <w:vMerge w:val="continue"/>
            <w:noWrap w:val="0"/>
            <w:vAlign w:val="center"/>
          </w:tcPr>
          <w:p>
            <w:pPr>
              <w:widowControl w:val="0"/>
              <w:spacing w:line="240" w:lineRule="auto"/>
              <w:ind w:firstLine="0" w:firstLineChars="0"/>
              <w:jc w:val="both"/>
              <w:rPr>
                <w:color w:val="auto"/>
                <w:sz w:val="21"/>
                <w:szCs w:val="22"/>
                <w:u w:val="none"/>
              </w:rPr>
            </w:pP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人口数</w:t>
            </w:r>
            <w:r>
              <w:rPr>
                <w:color w:val="auto"/>
                <w:sz w:val="21"/>
                <w:szCs w:val="22"/>
                <w:u w:val="none"/>
              </w:rPr>
              <w:t>(</w:t>
            </w:r>
            <w:r>
              <w:rPr>
                <w:rFonts w:hint="eastAsia"/>
                <w:color w:val="auto"/>
                <w:sz w:val="21"/>
                <w:szCs w:val="22"/>
                <w:u w:val="none"/>
              </w:rPr>
              <w:t>城市人口数</w:t>
            </w:r>
            <w:r>
              <w:rPr>
                <w:color w:val="auto"/>
                <w:sz w:val="21"/>
                <w:szCs w:val="22"/>
                <w:u w:val="none"/>
              </w:rPr>
              <w:t>)</w:t>
            </w:r>
          </w:p>
        </w:tc>
        <w:tc>
          <w:tcPr>
            <w:tcW w:w="1639" w:type="pct"/>
            <w:noWrap w:val="0"/>
            <w:vAlign w:val="center"/>
          </w:tcPr>
          <w:p>
            <w:pPr>
              <w:widowControl w:val="0"/>
              <w:spacing w:line="240" w:lineRule="auto"/>
              <w:ind w:firstLine="0" w:firstLineChars="0"/>
              <w:jc w:val="center"/>
              <w:rPr>
                <w:color w:val="auto"/>
                <w:sz w:val="21"/>
                <w:szCs w:val="22"/>
                <w:u w:val="none"/>
              </w:rPr>
            </w:pPr>
            <w:r>
              <w:rPr>
                <w:color w:val="auto"/>
                <w:sz w:val="21"/>
                <w:szCs w:val="22"/>
                <w:u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3361" w:type="pct"/>
            <w:gridSpan w:val="2"/>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最高环境温度</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lang w:val="en-US" w:eastAsia="zh-CN"/>
              </w:rPr>
              <w:t>38.9</w:t>
            </w:r>
            <w:r>
              <w:rPr>
                <w:color w:val="auto"/>
                <w:sz w:val="21"/>
                <w:szCs w:val="22"/>
                <w:u w:val="none"/>
              </w:rPr>
              <w:t>°C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3361" w:type="pct"/>
            <w:gridSpan w:val="2"/>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最低环境温度</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lang w:val="en-US" w:eastAsia="zh-CN"/>
              </w:rPr>
              <w:t>-3.2</w:t>
            </w:r>
            <w:r>
              <w:rPr>
                <w:color w:val="auto"/>
                <w:sz w:val="21"/>
                <w:szCs w:val="22"/>
                <w:u w:val="none"/>
              </w:rPr>
              <w:t>°C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3361" w:type="pct"/>
            <w:gridSpan w:val="2"/>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土地利用类型</w:t>
            </w:r>
          </w:p>
        </w:tc>
        <w:tc>
          <w:tcPr>
            <w:tcW w:w="1639" w:type="pct"/>
            <w:noWrap w:val="0"/>
            <w:vAlign w:val="center"/>
          </w:tcPr>
          <w:p>
            <w:pPr>
              <w:widowControl w:val="0"/>
              <w:spacing w:line="240" w:lineRule="auto"/>
              <w:ind w:firstLine="0" w:firstLineChars="0"/>
              <w:jc w:val="center"/>
              <w:rPr>
                <w:rFonts w:hint="eastAsia" w:eastAsia="宋体"/>
                <w:color w:val="auto"/>
                <w:sz w:val="21"/>
                <w:szCs w:val="22"/>
                <w:u w:val="none"/>
                <w:lang w:eastAsia="zh-CN"/>
              </w:rPr>
            </w:pPr>
            <w:r>
              <w:rPr>
                <w:rFonts w:hint="eastAsia"/>
                <w:color w:val="auto"/>
                <w:sz w:val="21"/>
                <w:szCs w:val="22"/>
                <w:u w:val="none"/>
                <w:lang w:eastAsia="zh-CN"/>
              </w:rPr>
              <w:t>阔叶林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3361" w:type="pct"/>
            <w:gridSpan w:val="2"/>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区域湿度条件</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潮湿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9" w:type="pct"/>
            <w:vMerge w:val="restar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是否考虑地形</w:t>
            </w: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考虑地形</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9" w:type="pct"/>
            <w:vMerge w:val="continue"/>
            <w:noWrap w:val="0"/>
            <w:vAlign w:val="center"/>
          </w:tcPr>
          <w:p>
            <w:pPr>
              <w:widowControl w:val="0"/>
              <w:spacing w:line="240" w:lineRule="auto"/>
              <w:ind w:firstLine="0" w:firstLineChars="0"/>
              <w:jc w:val="both"/>
              <w:rPr>
                <w:color w:val="auto"/>
                <w:sz w:val="21"/>
                <w:szCs w:val="22"/>
                <w:u w:val="none"/>
              </w:rPr>
            </w:pP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地形数据分辨率</w:t>
            </w:r>
            <w:r>
              <w:rPr>
                <w:color w:val="auto"/>
                <w:sz w:val="21"/>
                <w:szCs w:val="22"/>
                <w:u w:val="none"/>
              </w:rPr>
              <w:t>(m)</w:t>
            </w:r>
          </w:p>
        </w:tc>
        <w:tc>
          <w:tcPr>
            <w:tcW w:w="1639" w:type="pct"/>
            <w:noWrap w:val="0"/>
            <w:vAlign w:val="center"/>
          </w:tcPr>
          <w:p>
            <w:pPr>
              <w:widowControl w:val="0"/>
              <w:spacing w:line="240" w:lineRule="auto"/>
              <w:ind w:firstLine="0" w:firstLineChars="0"/>
              <w:jc w:val="center"/>
              <w:rPr>
                <w:color w:val="auto"/>
                <w:sz w:val="21"/>
                <w:szCs w:val="22"/>
                <w:u w:val="none"/>
              </w:rPr>
            </w:pPr>
            <w:r>
              <w:rPr>
                <w:color w:val="auto"/>
                <w:sz w:val="21"/>
                <w:szCs w:val="22"/>
                <w:u w:val="none"/>
              </w:rPr>
              <w:t>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9" w:type="pct"/>
            <w:vMerge w:val="restar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是否考虑海岸线熏烟</w:t>
            </w: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考虑海岸线熏烟</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9" w:type="pct"/>
            <w:vMerge w:val="continue"/>
            <w:noWrap w:val="0"/>
            <w:vAlign w:val="center"/>
          </w:tcPr>
          <w:p>
            <w:pPr>
              <w:widowControl w:val="0"/>
              <w:spacing w:line="240" w:lineRule="auto"/>
              <w:ind w:firstLine="0" w:firstLineChars="0"/>
              <w:jc w:val="both"/>
              <w:rPr>
                <w:color w:val="auto"/>
                <w:sz w:val="21"/>
                <w:szCs w:val="22"/>
                <w:u w:val="none"/>
              </w:rPr>
            </w:pP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海岸线距离</w:t>
            </w:r>
            <w:r>
              <w:rPr>
                <w:color w:val="auto"/>
                <w:sz w:val="21"/>
                <w:szCs w:val="22"/>
                <w:u w:val="none"/>
              </w:rPr>
              <w:t>/m</w:t>
            </w:r>
          </w:p>
        </w:tc>
        <w:tc>
          <w:tcPr>
            <w:tcW w:w="1639" w:type="pct"/>
            <w:noWrap w:val="0"/>
            <w:vAlign w:val="center"/>
          </w:tcPr>
          <w:p>
            <w:pPr>
              <w:widowControl w:val="0"/>
              <w:spacing w:line="240" w:lineRule="auto"/>
              <w:ind w:firstLine="0" w:firstLineChars="0"/>
              <w:jc w:val="center"/>
              <w:rPr>
                <w:color w:val="auto"/>
                <w:sz w:val="21"/>
                <w:szCs w:val="22"/>
                <w:u w:val="none"/>
              </w:rPr>
            </w:pPr>
            <w:r>
              <w:rPr>
                <w:color w:val="auto"/>
                <w:sz w:val="21"/>
                <w:szCs w:val="22"/>
                <w:u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9" w:type="pct"/>
            <w:vMerge w:val="continue"/>
            <w:noWrap w:val="0"/>
            <w:vAlign w:val="center"/>
          </w:tcPr>
          <w:p>
            <w:pPr>
              <w:widowControl w:val="0"/>
              <w:spacing w:line="240" w:lineRule="auto"/>
              <w:ind w:firstLine="0" w:firstLineChars="0"/>
              <w:jc w:val="both"/>
              <w:rPr>
                <w:color w:val="auto"/>
                <w:sz w:val="21"/>
                <w:szCs w:val="22"/>
                <w:u w:val="none"/>
              </w:rPr>
            </w:pP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海岸线方向</w:t>
            </w:r>
            <w:r>
              <w:rPr>
                <w:color w:val="auto"/>
                <w:sz w:val="21"/>
                <w:szCs w:val="22"/>
                <w:u w:val="none"/>
              </w:rPr>
              <w:t>/</w:t>
            </w:r>
            <w:r>
              <w:rPr>
                <w:color w:val="auto"/>
                <w:sz w:val="21"/>
                <w:szCs w:val="22"/>
                <w:u w:val="none"/>
                <w:vertAlign w:val="superscript"/>
              </w:rPr>
              <w:t>o</w:t>
            </w:r>
          </w:p>
        </w:tc>
        <w:tc>
          <w:tcPr>
            <w:tcW w:w="1639" w:type="pct"/>
            <w:noWrap w:val="0"/>
            <w:vAlign w:val="center"/>
          </w:tcPr>
          <w:p>
            <w:pPr>
              <w:widowControl w:val="0"/>
              <w:spacing w:line="240" w:lineRule="auto"/>
              <w:ind w:firstLine="0" w:firstLineChars="0"/>
              <w:jc w:val="center"/>
              <w:rPr>
                <w:color w:val="auto"/>
                <w:sz w:val="21"/>
                <w:szCs w:val="22"/>
                <w:u w:val="none"/>
              </w:rPr>
            </w:pPr>
            <w:r>
              <w:rPr>
                <w:color w:val="auto"/>
                <w:sz w:val="21"/>
                <w:szCs w:val="22"/>
                <w:u w:val="none"/>
              </w:rPr>
              <w:t>/</w:t>
            </w:r>
          </w:p>
        </w:tc>
      </w:tr>
    </w:tbl>
    <w:p>
      <w:pPr>
        <w:pStyle w:val="124"/>
        <w:bidi w:val="0"/>
        <w:rPr>
          <w:rFonts w:hint="eastAsia"/>
          <w:u w:val="single"/>
        </w:rPr>
      </w:pPr>
      <w:r>
        <w:rPr>
          <w:rFonts w:hint="eastAsia"/>
          <w:u w:val="single"/>
          <w:lang w:eastAsia="zh-CN"/>
        </w:rPr>
        <w:t>表</w:t>
      </w:r>
      <w:r>
        <w:rPr>
          <w:rFonts w:hint="eastAsia"/>
          <w:u w:val="single"/>
          <w:lang w:val="en-US" w:eastAsia="zh-CN"/>
        </w:rPr>
        <w:t xml:space="preserve">1.7-3  </w:t>
      </w:r>
      <w:r>
        <w:rPr>
          <w:rFonts w:hint="eastAsia"/>
          <w:u w:val="single"/>
        </w:rPr>
        <w:t>主要点源污染源参数</w:t>
      </w:r>
    </w:p>
    <w:tbl>
      <w:tblPr>
        <w:tblStyle w:val="36"/>
        <w:tblW w:w="5098" w:type="pct"/>
        <w:tblInd w:w="-16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28" w:type="dxa"/>
          <w:bottom w:w="0" w:type="dxa"/>
          <w:right w:w="28" w:type="dxa"/>
        </w:tblCellMar>
      </w:tblPr>
      <w:tblGrid>
        <w:gridCol w:w="966"/>
        <w:gridCol w:w="525"/>
        <w:gridCol w:w="649"/>
        <w:gridCol w:w="986"/>
        <w:gridCol w:w="532"/>
        <w:gridCol w:w="456"/>
        <w:gridCol w:w="597"/>
        <w:gridCol w:w="936"/>
        <w:gridCol w:w="646"/>
        <w:gridCol w:w="700"/>
        <w:gridCol w:w="981"/>
        <w:gridCol w:w="4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77" w:hRule="atLeast"/>
        </w:trPr>
        <w:tc>
          <w:tcPr>
            <w:tcW w:w="570"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污染源名称</w:t>
            </w:r>
          </w:p>
        </w:tc>
        <w:tc>
          <w:tcPr>
            <w:tcW w:w="693"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排气筒底部中心坐标</w:t>
            </w:r>
          </w:p>
        </w:tc>
        <w:tc>
          <w:tcPr>
            <w:tcW w:w="582"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排气筒底部海拔高度(m)</w:t>
            </w:r>
          </w:p>
        </w:tc>
        <w:tc>
          <w:tcPr>
            <w:tcW w:w="935" w:type="pct"/>
            <w:gridSpan w:val="3"/>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排气筒参数</w:t>
            </w:r>
          </w:p>
        </w:tc>
        <w:tc>
          <w:tcPr>
            <w:tcW w:w="552"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污染物名称</w:t>
            </w:r>
          </w:p>
        </w:tc>
        <w:tc>
          <w:tcPr>
            <w:tcW w:w="381"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年排放小时数/h</w:t>
            </w:r>
          </w:p>
        </w:tc>
        <w:tc>
          <w:tcPr>
            <w:tcW w:w="413"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排放工况</w:t>
            </w:r>
          </w:p>
        </w:tc>
        <w:tc>
          <w:tcPr>
            <w:tcW w:w="579" w:type="pct"/>
            <w:vMerge w:val="restart"/>
            <w:noWrap w:val="0"/>
            <w:vAlign w:val="center"/>
          </w:tcPr>
          <w:p>
            <w:pPr>
              <w:pStyle w:val="73"/>
              <w:rPr>
                <w:rFonts w:hint="eastAsia" w:ascii="Times New Roman" w:hAnsi="Times New Roman" w:eastAsia="宋体" w:cs="Times New Roman"/>
                <w:color w:val="auto"/>
                <w:u w:val="single"/>
                <w:lang w:eastAsia="zh-CN"/>
              </w:rPr>
            </w:pPr>
            <w:r>
              <w:rPr>
                <w:rFonts w:hint="default" w:ascii="Times New Roman" w:hAnsi="Times New Roman" w:cs="Times New Roman"/>
                <w:color w:val="auto"/>
                <w:u w:val="single"/>
              </w:rPr>
              <w:t>排放</w:t>
            </w:r>
            <w:r>
              <w:rPr>
                <w:rFonts w:hint="eastAsia" w:ascii="Times New Roman" w:cs="Times New Roman"/>
                <w:color w:val="auto"/>
                <w:u w:val="single"/>
                <w:lang w:eastAsia="zh-CN"/>
              </w:rPr>
              <w:t>量</w:t>
            </w:r>
          </w:p>
        </w:tc>
        <w:tc>
          <w:tcPr>
            <w:tcW w:w="292"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27" w:hRule="atLeast"/>
        </w:trPr>
        <w:tc>
          <w:tcPr>
            <w:tcW w:w="570" w:type="pct"/>
            <w:vMerge w:val="continue"/>
            <w:noWrap w:val="0"/>
            <w:vAlign w:val="center"/>
          </w:tcPr>
          <w:p>
            <w:pPr>
              <w:pStyle w:val="73"/>
              <w:rPr>
                <w:rFonts w:hint="default" w:ascii="Times New Roman" w:hAnsi="Times New Roman" w:cs="Times New Roman"/>
                <w:color w:val="auto"/>
                <w:u w:val="single"/>
              </w:rPr>
            </w:pPr>
          </w:p>
        </w:tc>
        <w:tc>
          <w:tcPr>
            <w:tcW w:w="310"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X</w:t>
            </w:r>
          </w:p>
        </w:tc>
        <w:tc>
          <w:tcPr>
            <w:tcW w:w="382"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Y</w:t>
            </w:r>
          </w:p>
        </w:tc>
        <w:tc>
          <w:tcPr>
            <w:tcW w:w="582" w:type="pct"/>
            <w:vMerge w:val="continue"/>
            <w:noWrap w:val="0"/>
            <w:vAlign w:val="center"/>
          </w:tcPr>
          <w:p>
            <w:pPr>
              <w:pStyle w:val="73"/>
              <w:rPr>
                <w:rFonts w:hint="default" w:ascii="Times New Roman" w:hAnsi="Times New Roman" w:cs="Times New Roman"/>
                <w:color w:val="auto"/>
                <w:u w:val="single"/>
              </w:rPr>
            </w:pPr>
          </w:p>
        </w:tc>
        <w:tc>
          <w:tcPr>
            <w:tcW w:w="314"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高度</w:t>
            </w:r>
          </w:p>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(m)</w:t>
            </w:r>
          </w:p>
        </w:tc>
        <w:tc>
          <w:tcPr>
            <w:tcW w:w="269"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内径</w:t>
            </w:r>
          </w:p>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(m)</w:t>
            </w:r>
          </w:p>
        </w:tc>
        <w:tc>
          <w:tcPr>
            <w:tcW w:w="35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温度</w:t>
            </w:r>
          </w:p>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w:t>
            </w:r>
          </w:p>
        </w:tc>
        <w:tc>
          <w:tcPr>
            <w:tcW w:w="552" w:type="pct"/>
            <w:vMerge w:val="continue"/>
            <w:noWrap w:val="0"/>
            <w:vAlign w:val="center"/>
          </w:tcPr>
          <w:p>
            <w:pPr>
              <w:pStyle w:val="73"/>
              <w:rPr>
                <w:rFonts w:hint="default" w:ascii="Times New Roman" w:hAnsi="Times New Roman" w:cs="Times New Roman"/>
                <w:color w:val="auto"/>
                <w:u w:val="single"/>
              </w:rPr>
            </w:pPr>
          </w:p>
        </w:tc>
        <w:tc>
          <w:tcPr>
            <w:tcW w:w="381" w:type="pct"/>
            <w:vMerge w:val="continue"/>
            <w:noWrap w:val="0"/>
            <w:vAlign w:val="center"/>
          </w:tcPr>
          <w:p>
            <w:pPr>
              <w:pStyle w:val="73"/>
              <w:rPr>
                <w:rFonts w:hint="default" w:ascii="Times New Roman" w:hAnsi="Times New Roman" w:cs="Times New Roman"/>
                <w:color w:val="auto"/>
                <w:u w:val="single"/>
              </w:rPr>
            </w:pPr>
          </w:p>
        </w:tc>
        <w:tc>
          <w:tcPr>
            <w:tcW w:w="413" w:type="pct"/>
            <w:vMerge w:val="continue"/>
            <w:noWrap w:val="0"/>
            <w:vAlign w:val="center"/>
          </w:tcPr>
          <w:p>
            <w:pPr>
              <w:pStyle w:val="73"/>
              <w:rPr>
                <w:rFonts w:hint="default" w:ascii="Times New Roman" w:hAnsi="Times New Roman" w:cs="Times New Roman"/>
                <w:color w:val="auto"/>
                <w:u w:val="single"/>
              </w:rPr>
            </w:pPr>
          </w:p>
        </w:tc>
        <w:tc>
          <w:tcPr>
            <w:tcW w:w="579" w:type="pct"/>
            <w:vMerge w:val="continue"/>
            <w:noWrap w:val="0"/>
            <w:vAlign w:val="center"/>
          </w:tcPr>
          <w:p>
            <w:pPr>
              <w:pStyle w:val="73"/>
              <w:rPr>
                <w:rFonts w:hint="default" w:ascii="Times New Roman" w:hAnsi="Times New Roman" w:cs="Times New Roman"/>
                <w:color w:val="auto"/>
                <w:u w:val="single"/>
              </w:rPr>
            </w:pPr>
          </w:p>
        </w:tc>
        <w:tc>
          <w:tcPr>
            <w:tcW w:w="292" w:type="pct"/>
            <w:vMerge w:val="continue"/>
            <w:noWrap w:val="0"/>
            <w:vAlign w:val="center"/>
          </w:tcPr>
          <w:p>
            <w:pPr>
              <w:pStyle w:val="73"/>
              <w:rPr>
                <w:rFonts w:hint="default" w:ascii="Times New Roman" w:hAnsi="Times New Roman" w:cs="Times New Roman"/>
                <w:color w:val="auto"/>
                <w:u w:val="singl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8" w:hRule="atLeast"/>
        </w:trPr>
        <w:tc>
          <w:tcPr>
            <w:tcW w:w="570" w:type="pct"/>
            <w:vMerge w:val="restart"/>
            <w:noWrap w:val="0"/>
            <w:vAlign w:val="center"/>
          </w:tcPr>
          <w:p>
            <w:pPr>
              <w:pStyle w:val="73"/>
              <w:rPr>
                <w:rFonts w:hint="default" w:ascii="Times New Roman" w:hAnsi="Times New Roman" w:cs="Times New Roman"/>
                <w:color w:val="auto"/>
                <w:u w:val="single"/>
              </w:rPr>
            </w:pPr>
            <w:r>
              <w:rPr>
                <w:rFonts w:hint="eastAsia" w:ascii="Times New Roman" w:cs="Times New Roman"/>
                <w:color w:val="auto"/>
                <w:u w:val="single"/>
                <w:lang w:val="en-US" w:eastAsia="zh-CN"/>
              </w:rPr>
              <w:t>DA001</w:t>
            </w:r>
            <w:r>
              <w:rPr>
                <w:rFonts w:hint="default" w:ascii="Times New Roman" w:hAnsi="Times New Roman" w:cs="Times New Roman"/>
                <w:color w:val="auto"/>
                <w:u w:val="single"/>
              </w:rPr>
              <w:t>排</w:t>
            </w:r>
          </w:p>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气筒</w:t>
            </w:r>
          </w:p>
        </w:tc>
        <w:tc>
          <w:tcPr>
            <w:tcW w:w="310" w:type="pct"/>
            <w:vMerge w:val="restar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w:t>
            </w:r>
          </w:p>
        </w:tc>
        <w:tc>
          <w:tcPr>
            <w:tcW w:w="382" w:type="pct"/>
            <w:vMerge w:val="restar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w:t>
            </w:r>
          </w:p>
        </w:tc>
        <w:tc>
          <w:tcPr>
            <w:tcW w:w="582" w:type="pct"/>
            <w:vMerge w:val="restar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292</w:t>
            </w:r>
          </w:p>
        </w:tc>
        <w:tc>
          <w:tcPr>
            <w:tcW w:w="314"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15</w:t>
            </w:r>
          </w:p>
        </w:tc>
        <w:tc>
          <w:tcPr>
            <w:tcW w:w="269" w:type="pct"/>
            <w:vMerge w:val="restar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0.5</w:t>
            </w:r>
          </w:p>
        </w:tc>
        <w:tc>
          <w:tcPr>
            <w:tcW w:w="352"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20</w:t>
            </w:r>
          </w:p>
        </w:tc>
        <w:tc>
          <w:tcPr>
            <w:tcW w:w="552" w:type="pct"/>
            <w:noWrap w:val="0"/>
            <w:vAlign w:val="center"/>
          </w:tcPr>
          <w:p>
            <w:pPr>
              <w:pStyle w:val="73"/>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381"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8760</w:t>
            </w:r>
          </w:p>
        </w:tc>
        <w:tc>
          <w:tcPr>
            <w:tcW w:w="413"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正常</w:t>
            </w:r>
          </w:p>
        </w:tc>
        <w:tc>
          <w:tcPr>
            <w:tcW w:w="579"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0.029532</w:t>
            </w:r>
          </w:p>
        </w:tc>
        <w:tc>
          <w:tcPr>
            <w:tcW w:w="29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kern w:val="0"/>
                <w:sz w:val="21"/>
                <w:szCs w:val="21"/>
                <w:u w:val="singl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48" w:hRule="atLeast"/>
        </w:trPr>
        <w:tc>
          <w:tcPr>
            <w:tcW w:w="570" w:type="pct"/>
            <w:vMerge w:val="continue"/>
            <w:noWrap w:val="0"/>
            <w:vAlign w:val="center"/>
          </w:tcPr>
          <w:p>
            <w:pPr>
              <w:pStyle w:val="73"/>
              <w:rPr>
                <w:rFonts w:hint="default" w:ascii="Times New Roman" w:hAnsi="Times New Roman" w:cs="Times New Roman"/>
                <w:color w:val="auto"/>
                <w:u w:val="single"/>
              </w:rPr>
            </w:pPr>
          </w:p>
        </w:tc>
        <w:tc>
          <w:tcPr>
            <w:tcW w:w="310" w:type="pct"/>
            <w:vMerge w:val="continue"/>
            <w:noWrap w:val="0"/>
            <w:vAlign w:val="center"/>
          </w:tcPr>
          <w:p>
            <w:pPr>
              <w:pStyle w:val="73"/>
              <w:rPr>
                <w:rFonts w:hint="default" w:ascii="Times New Roman" w:hAnsi="Times New Roman" w:cs="Times New Roman"/>
                <w:color w:val="auto"/>
                <w:u w:val="single"/>
              </w:rPr>
            </w:pPr>
          </w:p>
        </w:tc>
        <w:tc>
          <w:tcPr>
            <w:tcW w:w="382" w:type="pct"/>
            <w:vMerge w:val="continue"/>
            <w:noWrap w:val="0"/>
            <w:vAlign w:val="center"/>
          </w:tcPr>
          <w:p>
            <w:pPr>
              <w:pStyle w:val="73"/>
              <w:rPr>
                <w:rFonts w:hint="default" w:ascii="Times New Roman" w:hAnsi="Times New Roman" w:cs="Times New Roman"/>
                <w:color w:val="auto"/>
                <w:u w:val="single"/>
              </w:rPr>
            </w:pPr>
          </w:p>
        </w:tc>
        <w:tc>
          <w:tcPr>
            <w:tcW w:w="582" w:type="pct"/>
            <w:vMerge w:val="continue"/>
            <w:noWrap w:val="0"/>
            <w:vAlign w:val="center"/>
          </w:tcPr>
          <w:p>
            <w:pPr>
              <w:pStyle w:val="73"/>
              <w:rPr>
                <w:rFonts w:hint="default" w:ascii="Times New Roman" w:hAnsi="Times New Roman" w:cs="Times New Roman"/>
                <w:color w:val="auto"/>
                <w:u w:val="single"/>
              </w:rPr>
            </w:pPr>
          </w:p>
        </w:tc>
        <w:tc>
          <w:tcPr>
            <w:tcW w:w="314" w:type="pct"/>
            <w:vMerge w:val="continue"/>
            <w:noWrap w:val="0"/>
            <w:vAlign w:val="center"/>
          </w:tcPr>
          <w:p>
            <w:pPr>
              <w:pStyle w:val="73"/>
              <w:rPr>
                <w:rFonts w:hint="default" w:ascii="Times New Roman" w:hAnsi="Times New Roman" w:cs="Times New Roman"/>
                <w:color w:val="auto"/>
                <w:u w:val="single"/>
              </w:rPr>
            </w:pPr>
          </w:p>
        </w:tc>
        <w:tc>
          <w:tcPr>
            <w:tcW w:w="269" w:type="pct"/>
            <w:vMerge w:val="continue"/>
            <w:noWrap w:val="0"/>
            <w:vAlign w:val="center"/>
          </w:tcPr>
          <w:p>
            <w:pPr>
              <w:pStyle w:val="73"/>
              <w:rPr>
                <w:rFonts w:hint="default" w:ascii="Times New Roman" w:hAnsi="Times New Roman" w:cs="Times New Roman"/>
                <w:color w:val="auto"/>
                <w:u w:val="single"/>
              </w:rPr>
            </w:pPr>
          </w:p>
        </w:tc>
        <w:tc>
          <w:tcPr>
            <w:tcW w:w="352" w:type="pct"/>
            <w:vMerge w:val="continue"/>
            <w:noWrap w:val="0"/>
            <w:vAlign w:val="center"/>
          </w:tcPr>
          <w:p>
            <w:pPr>
              <w:pStyle w:val="73"/>
              <w:rPr>
                <w:rFonts w:hint="default" w:ascii="Times New Roman" w:hAnsi="Times New Roman" w:cs="Times New Roman"/>
                <w:color w:val="auto"/>
                <w:u w:val="single"/>
              </w:rPr>
            </w:pPr>
          </w:p>
        </w:tc>
        <w:tc>
          <w:tcPr>
            <w:tcW w:w="55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381"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8760</w:t>
            </w:r>
          </w:p>
        </w:tc>
        <w:tc>
          <w:tcPr>
            <w:tcW w:w="413" w:type="pct"/>
            <w:vMerge w:val="continue"/>
            <w:noWrap w:val="0"/>
            <w:vAlign w:val="center"/>
          </w:tcPr>
          <w:p>
            <w:pPr>
              <w:pStyle w:val="73"/>
              <w:rPr>
                <w:rFonts w:hint="default" w:ascii="Times New Roman" w:hAnsi="Times New Roman" w:cs="Times New Roman"/>
                <w:color w:val="auto"/>
                <w:u w:val="single"/>
              </w:rPr>
            </w:pPr>
          </w:p>
        </w:tc>
        <w:tc>
          <w:tcPr>
            <w:tcW w:w="579"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0.001143</w:t>
            </w:r>
          </w:p>
        </w:tc>
        <w:tc>
          <w:tcPr>
            <w:tcW w:w="29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kern w:val="0"/>
                <w:sz w:val="21"/>
                <w:szCs w:val="21"/>
                <w:u w:val="singl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48" w:hRule="atLeast"/>
        </w:trPr>
        <w:tc>
          <w:tcPr>
            <w:tcW w:w="570" w:type="pct"/>
            <w:vMerge w:val="continue"/>
            <w:noWrap w:val="0"/>
            <w:vAlign w:val="center"/>
          </w:tcPr>
          <w:p>
            <w:pPr>
              <w:pStyle w:val="73"/>
              <w:rPr>
                <w:rFonts w:hint="default" w:ascii="Times New Roman" w:hAnsi="Times New Roman" w:cs="Times New Roman"/>
                <w:color w:val="auto"/>
                <w:u w:val="single"/>
              </w:rPr>
            </w:pPr>
          </w:p>
        </w:tc>
        <w:tc>
          <w:tcPr>
            <w:tcW w:w="310" w:type="pct"/>
            <w:vMerge w:val="continue"/>
            <w:noWrap w:val="0"/>
            <w:vAlign w:val="center"/>
          </w:tcPr>
          <w:p>
            <w:pPr>
              <w:pStyle w:val="73"/>
              <w:rPr>
                <w:rFonts w:hint="default" w:ascii="Times New Roman" w:hAnsi="Times New Roman" w:cs="Times New Roman"/>
                <w:color w:val="auto"/>
                <w:u w:val="single"/>
              </w:rPr>
            </w:pPr>
          </w:p>
        </w:tc>
        <w:tc>
          <w:tcPr>
            <w:tcW w:w="382" w:type="pct"/>
            <w:vMerge w:val="continue"/>
            <w:noWrap w:val="0"/>
            <w:vAlign w:val="center"/>
          </w:tcPr>
          <w:p>
            <w:pPr>
              <w:pStyle w:val="73"/>
              <w:rPr>
                <w:rFonts w:hint="default" w:ascii="Times New Roman" w:hAnsi="Times New Roman" w:cs="Times New Roman"/>
                <w:color w:val="auto"/>
                <w:u w:val="single"/>
              </w:rPr>
            </w:pPr>
          </w:p>
        </w:tc>
        <w:tc>
          <w:tcPr>
            <w:tcW w:w="582" w:type="pct"/>
            <w:vMerge w:val="continue"/>
            <w:noWrap w:val="0"/>
            <w:vAlign w:val="center"/>
          </w:tcPr>
          <w:p>
            <w:pPr>
              <w:pStyle w:val="73"/>
              <w:rPr>
                <w:rFonts w:hint="default" w:ascii="Times New Roman" w:hAnsi="Times New Roman" w:cs="Times New Roman"/>
                <w:color w:val="auto"/>
                <w:u w:val="single"/>
              </w:rPr>
            </w:pPr>
          </w:p>
        </w:tc>
        <w:tc>
          <w:tcPr>
            <w:tcW w:w="314" w:type="pct"/>
            <w:vMerge w:val="continue"/>
            <w:noWrap w:val="0"/>
            <w:vAlign w:val="center"/>
          </w:tcPr>
          <w:p>
            <w:pPr>
              <w:pStyle w:val="73"/>
              <w:rPr>
                <w:rFonts w:hint="default" w:ascii="Times New Roman" w:hAnsi="Times New Roman" w:cs="Times New Roman"/>
                <w:color w:val="auto"/>
                <w:u w:val="single"/>
              </w:rPr>
            </w:pPr>
          </w:p>
        </w:tc>
        <w:tc>
          <w:tcPr>
            <w:tcW w:w="269" w:type="pct"/>
            <w:vMerge w:val="continue"/>
            <w:noWrap w:val="0"/>
            <w:vAlign w:val="center"/>
          </w:tcPr>
          <w:p>
            <w:pPr>
              <w:pStyle w:val="73"/>
              <w:rPr>
                <w:rFonts w:hint="default" w:ascii="Times New Roman" w:hAnsi="Times New Roman" w:cs="Times New Roman"/>
                <w:color w:val="auto"/>
                <w:u w:val="single"/>
              </w:rPr>
            </w:pPr>
          </w:p>
        </w:tc>
        <w:tc>
          <w:tcPr>
            <w:tcW w:w="352" w:type="pct"/>
            <w:vMerge w:val="continue"/>
            <w:noWrap w:val="0"/>
            <w:vAlign w:val="center"/>
          </w:tcPr>
          <w:p>
            <w:pPr>
              <w:pStyle w:val="73"/>
              <w:rPr>
                <w:rFonts w:hint="default" w:ascii="Times New Roman" w:hAnsi="Times New Roman" w:cs="Times New Roman"/>
                <w:color w:val="auto"/>
                <w:u w:val="single"/>
              </w:rPr>
            </w:pPr>
          </w:p>
        </w:tc>
        <w:tc>
          <w:tcPr>
            <w:tcW w:w="552" w:type="pct"/>
            <w:noWrap w:val="0"/>
            <w:vAlign w:val="center"/>
          </w:tcPr>
          <w:p>
            <w:pPr>
              <w:pStyle w:val="73"/>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381"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8760</w:t>
            </w:r>
          </w:p>
        </w:tc>
        <w:tc>
          <w:tcPr>
            <w:tcW w:w="413"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非正常</w:t>
            </w:r>
          </w:p>
        </w:tc>
        <w:tc>
          <w:tcPr>
            <w:tcW w:w="579" w:type="pct"/>
            <w:noWrap w:val="0"/>
            <w:vAlign w:val="center"/>
          </w:tcPr>
          <w:p>
            <w:pPr>
              <w:pStyle w:val="73"/>
              <w:rPr>
                <w:rFonts w:hint="default" w:ascii="Times New Roman" w:hAnsi="Times New Roman" w:cs="Times New Roman"/>
                <w:color w:val="auto"/>
                <w:u w:val="single"/>
                <w:lang w:val="en-US"/>
              </w:rPr>
            </w:pPr>
            <w:r>
              <w:rPr>
                <w:rFonts w:hint="eastAsia" w:ascii="Times New Roman" w:hAnsi="Times New Roman" w:cs="Times New Roman"/>
                <w:color w:val="auto"/>
                <w:u w:val="single"/>
                <w:lang w:val="en-US" w:eastAsia="zh-CN"/>
              </w:rPr>
              <w:t>0.295322</w:t>
            </w:r>
          </w:p>
        </w:tc>
        <w:tc>
          <w:tcPr>
            <w:tcW w:w="29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kern w:val="0"/>
                <w:sz w:val="21"/>
                <w:szCs w:val="21"/>
                <w:u w:val="singl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63" w:hRule="atLeast"/>
        </w:trPr>
        <w:tc>
          <w:tcPr>
            <w:tcW w:w="570" w:type="pct"/>
            <w:vMerge w:val="continue"/>
            <w:noWrap w:val="0"/>
            <w:vAlign w:val="center"/>
          </w:tcPr>
          <w:p>
            <w:pPr>
              <w:pStyle w:val="73"/>
              <w:rPr>
                <w:rFonts w:hint="default" w:ascii="Times New Roman" w:hAnsi="Times New Roman" w:cs="Times New Roman"/>
                <w:color w:val="auto"/>
                <w:u w:val="single"/>
              </w:rPr>
            </w:pPr>
          </w:p>
        </w:tc>
        <w:tc>
          <w:tcPr>
            <w:tcW w:w="310" w:type="pct"/>
            <w:vMerge w:val="continue"/>
            <w:noWrap w:val="0"/>
            <w:vAlign w:val="center"/>
          </w:tcPr>
          <w:p>
            <w:pPr>
              <w:pStyle w:val="73"/>
              <w:rPr>
                <w:rFonts w:hint="default" w:ascii="Times New Roman" w:hAnsi="Times New Roman" w:cs="Times New Roman"/>
                <w:color w:val="auto"/>
                <w:u w:val="single"/>
              </w:rPr>
            </w:pPr>
          </w:p>
        </w:tc>
        <w:tc>
          <w:tcPr>
            <w:tcW w:w="382" w:type="pct"/>
            <w:vMerge w:val="continue"/>
            <w:noWrap w:val="0"/>
            <w:vAlign w:val="center"/>
          </w:tcPr>
          <w:p>
            <w:pPr>
              <w:pStyle w:val="73"/>
              <w:rPr>
                <w:rFonts w:hint="default" w:ascii="Times New Roman" w:hAnsi="Times New Roman" w:cs="Times New Roman"/>
                <w:color w:val="auto"/>
                <w:u w:val="single"/>
              </w:rPr>
            </w:pPr>
          </w:p>
        </w:tc>
        <w:tc>
          <w:tcPr>
            <w:tcW w:w="582" w:type="pct"/>
            <w:vMerge w:val="continue"/>
            <w:noWrap w:val="0"/>
            <w:vAlign w:val="center"/>
          </w:tcPr>
          <w:p>
            <w:pPr>
              <w:pStyle w:val="73"/>
              <w:rPr>
                <w:rFonts w:hint="default" w:ascii="Times New Roman" w:hAnsi="Times New Roman" w:cs="Times New Roman"/>
                <w:color w:val="auto"/>
                <w:u w:val="single"/>
              </w:rPr>
            </w:pPr>
          </w:p>
        </w:tc>
        <w:tc>
          <w:tcPr>
            <w:tcW w:w="314" w:type="pct"/>
            <w:vMerge w:val="continue"/>
            <w:noWrap w:val="0"/>
            <w:vAlign w:val="center"/>
          </w:tcPr>
          <w:p>
            <w:pPr>
              <w:pStyle w:val="73"/>
              <w:rPr>
                <w:rFonts w:hint="default" w:ascii="Times New Roman" w:hAnsi="Times New Roman" w:cs="Times New Roman"/>
                <w:color w:val="auto"/>
                <w:u w:val="single"/>
              </w:rPr>
            </w:pPr>
          </w:p>
        </w:tc>
        <w:tc>
          <w:tcPr>
            <w:tcW w:w="269" w:type="pct"/>
            <w:vMerge w:val="continue"/>
            <w:noWrap w:val="0"/>
            <w:vAlign w:val="center"/>
          </w:tcPr>
          <w:p>
            <w:pPr>
              <w:pStyle w:val="73"/>
              <w:rPr>
                <w:rFonts w:hint="default" w:ascii="Times New Roman" w:hAnsi="Times New Roman" w:cs="Times New Roman"/>
                <w:color w:val="auto"/>
                <w:u w:val="single"/>
              </w:rPr>
            </w:pPr>
          </w:p>
        </w:tc>
        <w:tc>
          <w:tcPr>
            <w:tcW w:w="352" w:type="pct"/>
            <w:vMerge w:val="continue"/>
            <w:noWrap w:val="0"/>
            <w:vAlign w:val="center"/>
          </w:tcPr>
          <w:p>
            <w:pPr>
              <w:pStyle w:val="73"/>
              <w:rPr>
                <w:rFonts w:hint="default" w:ascii="Times New Roman" w:hAnsi="Times New Roman" w:cs="Times New Roman"/>
                <w:color w:val="auto"/>
                <w:u w:val="single"/>
              </w:rPr>
            </w:pPr>
          </w:p>
        </w:tc>
        <w:tc>
          <w:tcPr>
            <w:tcW w:w="55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381"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8760</w:t>
            </w:r>
          </w:p>
        </w:tc>
        <w:tc>
          <w:tcPr>
            <w:tcW w:w="413" w:type="pct"/>
            <w:vMerge w:val="continue"/>
            <w:noWrap w:val="0"/>
            <w:vAlign w:val="center"/>
          </w:tcPr>
          <w:p>
            <w:pPr>
              <w:pStyle w:val="73"/>
              <w:rPr>
                <w:rFonts w:hint="default" w:ascii="Times New Roman" w:hAnsi="Times New Roman" w:cs="Times New Roman"/>
                <w:color w:val="auto"/>
                <w:u w:val="single"/>
              </w:rPr>
            </w:pPr>
          </w:p>
        </w:tc>
        <w:tc>
          <w:tcPr>
            <w:tcW w:w="579"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u w:val="single"/>
              </w:rPr>
              <w:t>0.001305</w:t>
            </w:r>
          </w:p>
        </w:tc>
        <w:tc>
          <w:tcPr>
            <w:tcW w:w="29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kern w:val="0"/>
                <w:sz w:val="21"/>
                <w:szCs w:val="21"/>
                <w:u w:val="single"/>
                <w:lang w:val="en-US" w:eastAsia="zh-CN"/>
              </w:rPr>
              <w:t>t/a</w:t>
            </w:r>
          </w:p>
        </w:tc>
      </w:tr>
    </w:tbl>
    <w:p>
      <w:pPr>
        <w:pStyle w:val="103"/>
        <w:rPr>
          <w:color w:val="auto"/>
          <w:u w:val="single"/>
        </w:rPr>
      </w:pPr>
      <w:r>
        <w:rPr>
          <w:rStyle w:val="129"/>
          <w:b/>
          <w:u w:val="single"/>
        </w:rPr>
        <w:t>表</w:t>
      </w:r>
      <w:r>
        <w:rPr>
          <w:rStyle w:val="129"/>
          <w:rFonts w:hint="eastAsia"/>
          <w:b/>
          <w:u w:val="single"/>
          <w:lang w:val="en-US" w:eastAsia="zh-CN"/>
        </w:rPr>
        <w:t xml:space="preserve">1.7-4 </w:t>
      </w:r>
      <w:r>
        <w:rPr>
          <w:rStyle w:val="129"/>
          <w:b/>
          <w:u w:val="single"/>
        </w:rPr>
        <w:t xml:space="preserve"> 主要面源源强排放参数</w:t>
      </w:r>
    </w:p>
    <w:tbl>
      <w:tblPr>
        <w:tblStyle w:val="36"/>
        <w:tblW w:w="90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8"/>
        <w:gridCol w:w="709"/>
        <w:gridCol w:w="642"/>
        <w:gridCol w:w="645"/>
        <w:gridCol w:w="693"/>
        <w:gridCol w:w="608"/>
        <w:gridCol w:w="645"/>
        <w:gridCol w:w="645"/>
        <w:gridCol w:w="645"/>
        <w:gridCol w:w="645"/>
        <w:gridCol w:w="645"/>
        <w:gridCol w:w="916"/>
        <w:gridCol w:w="10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568"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编号</w:t>
            </w:r>
          </w:p>
        </w:tc>
        <w:tc>
          <w:tcPr>
            <w:tcW w:w="709"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名称</w:t>
            </w:r>
          </w:p>
        </w:tc>
        <w:tc>
          <w:tcPr>
            <w:tcW w:w="1287" w:type="dxa"/>
            <w:gridSpan w:val="2"/>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面源起点坐标/m</w:t>
            </w:r>
          </w:p>
        </w:tc>
        <w:tc>
          <w:tcPr>
            <w:tcW w:w="693"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面源海拔高度/m</w:t>
            </w:r>
          </w:p>
        </w:tc>
        <w:tc>
          <w:tcPr>
            <w:tcW w:w="608"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面源长度/m</w:t>
            </w:r>
          </w:p>
        </w:tc>
        <w:tc>
          <w:tcPr>
            <w:tcW w:w="645"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面源宽度/m</w:t>
            </w:r>
          </w:p>
        </w:tc>
        <w:tc>
          <w:tcPr>
            <w:tcW w:w="645"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与正北方向夹角/°</w:t>
            </w:r>
          </w:p>
        </w:tc>
        <w:tc>
          <w:tcPr>
            <w:tcW w:w="645"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面源有效排放高度/m</w:t>
            </w:r>
          </w:p>
        </w:tc>
        <w:tc>
          <w:tcPr>
            <w:tcW w:w="645"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年排放小时数/h</w:t>
            </w:r>
          </w:p>
        </w:tc>
        <w:tc>
          <w:tcPr>
            <w:tcW w:w="645"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排放工况</w:t>
            </w:r>
          </w:p>
        </w:tc>
        <w:tc>
          <w:tcPr>
            <w:tcW w:w="2002" w:type="dxa"/>
            <w:gridSpan w:val="2"/>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污染物排放</w:t>
            </w:r>
            <w:r>
              <w:rPr>
                <w:rFonts w:hint="eastAsia" w:cs="Times New Roman"/>
                <w:color w:val="auto"/>
                <w:kern w:val="0"/>
                <w:sz w:val="21"/>
                <w:szCs w:val="21"/>
                <w:u w:val="single"/>
                <w:lang w:eastAsia="zh-CN"/>
              </w:rPr>
              <w:t>量</w:t>
            </w:r>
            <w:r>
              <w:rPr>
                <w:rFonts w:hint="default" w:ascii="Times New Roman" w:hAnsi="Times New Roman" w:cs="Times New Roman"/>
                <w:color w:val="auto"/>
                <w:kern w:val="0"/>
                <w:sz w:val="21"/>
                <w:szCs w:val="21"/>
                <w:u w:val="single"/>
              </w:rPr>
              <w:t>(</w:t>
            </w:r>
            <w:r>
              <w:rPr>
                <w:rFonts w:hint="eastAsia" w:cs="Times New Roman"/>
                <w:color w:val="auto"/>
                <w:kern w:val="0"/>
                <w:sz w:val="21"/>
                <w:szCs w:val="21"/>
                <w:u w:val="single"/>
                <w:lang w:val="en-US" w:eastAsia="zh-CN"/>
              </w:rPr>
              <w:t>t/a</w:t>
            </w:r>
            <w:r>
              <w:rPr>
                <w:rFonts w:hint="default" w:ascii="Times New Roman" w:hAnsi="Times New Roman" w:cs="Times New Roman"/>
                <w:color w:val="auto"/>
                <w:kern w:val="0"/>
                <w:sz w:val="21"/>
                <w:szCs w:val="21"/>
                <w:u w:val="singl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4" w:hRule="atLeast"/>
          <w:jc w:val="center"/>
        </w:trPr>
        <w:tc>
          <w:tcPr>
            <w:tcW w:w="568"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709"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2"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X</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Y</w:t>
            </w:r>
          </w:p>
        </w:tc>
        <w:tc>
          <w:tcPr>
            <w:tcW w:w="693"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08"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5"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5"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5"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5"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5"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916"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sz w:val="21"/>
                <w:szCs w:val="21"/>
                <w:u w:val="single"/>
              </w:rPr>
              <w:t>NH</w:t>
            </w:r>
            <w:r>
              <w:rPr>
                <w:rFonts w:hint="default" w:ascii="Times New Roman" w:hAnsi="Times New Roman" w:cs="Times New Roman"/>
                <w:color w:val="auto"/>
                <w:sz w:val="21"/>
                <w:szCs w:val="21"/>
                <w:u w:val="single"/>
                <w:vertAlign w:val="subscript"/>
              </w:rPr>
              <w:t>3</w:t>
            </w:r>
          </w:p>
        </w:tc>
        <w:tc>
          <w:tcPr>
            <w:tcW w:w="1086"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sz w:val="21"/>
                <w:szCs w:val="21"/>
                <w:u w:val="single"/>
              </w:rPr>
              <w:t>H</w:t>
            </w:r>
            <w:r>
              <w:rPr>
                <w:rFonts w:hint="default" w:ascii="Times New Roman" w:hAnsi="Times New Roman" w:cs="Times New Roman"/>
                <w:color w:val="auto"/>
                <w:sz w:val="21"/>
                <w:szCs w:val="21"/>
                <w:u w:val="single"/>
                <w:vertAlign w:val="subscript"/>
              </w:rPr>
              <w:t>2</w:t>
            </w:r>
            <w:r>
              <w:rPr>
                <w:rFonts w:hint="default" w:ascii="Times New Roman" w:hAnsi="Times New Roman" w:cs="Times New Roman"/>
                <w:color w:val="auto"/>
                <w:sz w:val="21"/>
                <w:szCs w:val="21"/>
                <w:u w:val="single"/>
              </w:rPr>
              <w:t>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68"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1</w:t>
            </w:r>
          </w:p>
        </w:tc>
        <w:tc>
          <w:tcPr>
            <w:tcW w:w="709"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污水处理厂</w:t>
            </w:r>
          </w:p>
        </w:tc>
        <w:tc>
          <w:tcPr>
            <w:tcW w:w="642"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-3</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13</w:t>
            </w:r>
          </w:p>
        </w:tc>
        <w:tc>
          <w:tcPr>
            <w:tcW w:w="693"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292</w:t>
            </w:r>
          </w:p>
        </w:tc>
        <w:tc>
          <w:tcPr>
            <w:tcW w:w="608"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20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10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4</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8760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正常</w:t>
            </w:r>
          </w:p>
        </w:tc>
        <w:tc>
          <w:tcPr>
            <w:tcW w:w="916"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0.011485</w:t>
            </w:r>
          </w:p>
        </w:tc>
        <w:tc>
          <w:tcPr>
            <w:tcW w:w="1086"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0.000127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68"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0"/>
                <w:sz w:val="21"/>
                <w:szCs w:val="21"/>
                <w:u w:val="single"/>
                <w:lang w:val="en-US" w:eastAsia="zh-CN"/>
              </w:rPr>
              <w:t>2</w:t>
            </w:r>
          </w:p>
        </w:tc>
        <w:tc>
          <w:tcPr>
            <w:tcW w:w="709"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rPr>
              <w:t>污水处理厂</w:t>
            </w:r>
          </w:p>
        </w:tc>
        <w:tc>
          <w:tcPr>
            <w:tcW w:w="642"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-3</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13</w:t>
            </w:r>
          </w:p>
        </w:tc>
        <w:tc>
          <w:tcPr>
            <w:tcW w:w="693"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292</w:t>
            </w:r>
          </w:p>
        </w:tc>
        <w:tc>
          <w:tcPr>
            <w:tcW w:w="608"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20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10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rPr>
              <w:t>4</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rPr>
              <w:t>8760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lang w:val="en-US" w:eastAsia="zh-CN" w:bidi="ar-SA"/>
              </w:rPr>
            </w:pPr>
            <w:r>
              <w:rPr>
                <w:rFonts w:hint="eastAsia" w:ascii="Times New Roman" w:hAnsi="Times New Roman" w:cs="Times New Roman"/>
                <w:color w:val="auto"/>
                <w:kern w:val="0"/>
                <w:sz w:val="21"/>
                <w:szCs w:val="21"/>
                <w:u w:val="single"/>
                <w:lang w:eastAsia="zh-CN"/>
              </w:rPr>
              <w:t>非</w:t>
            </w:r>
            <w:r>
              <w:rPr>
                <w:rFonts w:hint="default" w:ascii="Times New Roman" w:hAnsi="Times New Roman" w:cs="Times New Roman"/>
                <w:color w:val="auto"/>
                <w:kern w:val="0"/>
                <w:sz w:val="21"/>
                <w:szCs w:val="21"/>
                <w:u w:val="single"/>
              </w:rPr>
              <w:t>正常</w:t>
            </w:r>
          </w:p>
        </w:tc>
        <w:tc>
          <w:tcPr>
            <w:tcW w:w="916" w:type="dxa"/>
            <w:noWrap w:val="0"/>
            <w:vAlign w:val="center"/>
          </w:tcPr>
          <w:p>
            <w:pPr>
              <w:pStyle w:val="73"/>
              <w:rPr>
                <w:rFonts w:hint="eastAsia" w:ascii="Times New Roman" w:hAnsi="Times New Roman" w:cs="Times New Roman"/>
                <w:color w:val="auto"/>
                <w:u w:val="single"/>
                <w:lang w:val="en-US" w:eastAsia="zh-CN"/>
              </w:rPr>
            </w:pPr>
            <w:r>
              <w:rPr>
                <w:rFonts w:hint="eastAsia" w:ascii="Times New Roman" w:cs="Times New Roman"/>
                <w:color w:val="auto"/>
                <w:u w:val="single"/>
                <w:lang w:val="en-US" w:eastAsia="zh-CN"/>
              </w:rPr>
              <w:t>0</w:t>
            </w:r>
            <w:r>
              <w:rPr>
                <w:rFonts w:hint="eastAsia" w:ascii="Times New Roman" w:hAnsi="Times New Roman" w:cs="Times New Roman"/>
                <w:color w:val="auto"/>
                <w:u w:val="single"/>
                <w:lang w:val="en-US" w:eastAsia="zh-CN"/>
              </w:rPr>
              <w:t>.032814</w:t>
            </w:r>
          </w:p>
        </w:tc>
        <w:tc>
          <w:tcPr>
            <w:tcW w:w="1086" w:type="dxa"/>
            <w:noWrap w:val="0"/>
            <w:vAlign w:val="center"/>
          </w:tcPr>
          <w:p>
            <w:pPr>
              <w:pStyle w:val="73"/>
              <w:rPr>
                <w:rFonts w:hint="eastAsia"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0.001270</w:t>
            </w:r>
          </w:p>
        </w:tc>
      </w:tr>
    </w:tbl>
    <w:p>
      <w:pPr>
        <w:ind w:firstLine="480"/>
        <w:jc w:val="both"/>
        <w:rPr>
          <w:rFonts w:hint="eastAsia"/>
          <w:color w:val="auto"/>
          <w:kern w:val="0"/>
          <w:u w:val="single"/>
        </w:rPr>
      </w:pPr>
      <w:r>
        <w:rPr>
          <w:rFonts w:hint="eastAsia"/>
          <w:color w:val="auto"/>
          <w:kern w:val="0"/>
          <w:u w:val="single"/>
        </w:rPr>
        <w:t>最大地面浓度占标率计算结果见下表1.7-</w:t>
      </w:r>
      <w:r>
        <w:rPr>
          <w:rFonts w:hint="eastAsia"/>
          <w:color w:val="auto"/>
          <w:kern w:val="0"/>
          <w:u w:val="single"/>
          <w:lang w:val="en-US" w:eastAsia="zh-CN"/>
        </w:rPr>
        <w:t>5</w:t>
      </w:r>
      <w:r>
        <w:rPr>
          <w:rFonts w:hint="eastAsia"/>
          <w:color w:val="auto"/>
          <w:kern w:val="0"/>
          <w:u w:val="single"/>
        </w:rPr>
        <w:t>。</w:t>
      </w:r>
    </w:p>
    <w:p>
      <w:pPr>
        <w:ind w:firstLine="422"/>
        <w:jc w:val="center"/>
        <w:rPr>
          <w:b/>
          <w:color w:val="auto"/>
          <w:kern w:val="0"/>
          <w:sz w:val="21"/>
          <w:szCs w:val="21"/>
          <w:u w:val="single"/>
        </w:rPr>
      </w:pPr>
      <w:r>
        <w:rPr>
          <w:rStyle w:val="129"/>
          <w:rFonts w:hint="eastAsia"/>
          <w:u w:val="single"/>
        </w:rPr>
        <w:t>表 1.7-</w:t>
      </w:r>
      <w:r>
        <w:rPr>
          <w:rStyle w:val="129"/>
          <w:rFonts w:hint="eastAsia"/>
          <w:u w:val="single"/>
          <w:lang w:val="en-US" w:eastAsia="zh-CN"/>
        </w:rPr>
        <w:t>5</w:t>
      </w:r>
      <w:r>
        <w:rPr>
          <w:rStyle w:val="129"/>
          <w:rFonts w:hint="eastAsia"/>
          <w:u w:val="single"/>
        </w:rPr>
        <w:t xml:space="preserve"> 大气环境评价预测结果</w:t>
      </w:r>
    </w:p>
    <w:tbl>
      <w:tblPr>
        <w:tblStyle w:val="36"/>
        <w:tblW w:w="79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32"/>
        <w:gridCol w:w="1559"/>
        <w:gridCol w:w="1166"/>
        <w:gridCol w:w="1076"/>
        <w:gridCol w:w="982"/>
        <w:gridCol w:w="1011"/>
        <w:gridCol w:w="106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jc w:val="center"/>
        </w:trPr>
        <w:tc>
          <w:tcPr>
            <w:tcW w:w="1132" w:type="dxa"/>
            <w:noWrap w:val="0"/>
            <w:vAlign w:val="center"/>
          </w:tcPr>
          <w:p>
            <w:pPr>
              <w:pStyle w:val="73"/>
              <w:rPr>
                <w:rFonts w:hint="default" w:ascii="Times New Roman" w:hAnsi="Times New Roman" w:cs="Times New Roman"/>
                <w:color w:val="auto"/>
                <w:u w:val="single"/>
              </w:rPr>
            </w:pPr>
            <w:bookmarkStart w:id="97" w:name="_Toc489349964"/>
            <w:bookmarkStart w:id="98" w:name="_Toc489350222"/>
            <w:bookmarkStart w:id="99" w:name="_Toc489350121"/>
            <w:r>
              <w:rPr>
                <w:rFonts w:hint="default" w:ascii="Times New Roman" w:hAnsi="Times New Roman" w:cs="Times New Roman"/>
                <w:color w:val="auto"/>
                <w:u w:val="single"/>
              </w:rPr>
              <w:t>污染源类型</w:t>
            </w:r>
          </w:p>
        </w:tc>
        <w:tc>
          <w:tcPr>
            <w:tcW w:w="155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产生单元</w:t>
            </w:r>
          </w:p>
        </w:tc>
        <w:tc>
          <w:tcPr>
            <w:tcW w:w="116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评价因子</w:t>
            </w:r>
          </w:p>
        </w:tc>
        <w:tc>
          <w:tcPr>
            <w:tcW w:w="107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下风向最大浓度(μg/m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w:t>
            </w:r>
          </w:p>
        </w:tc>
        <w:tc>
          <w:tcPr>
            <w:tcW w:w="982"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最大浓度出现距离（m）</w:t>
            </w:r>
          </w:p>
        </w:tc>
        <w:tc>
          <w:tcPr>
            <w:tcW w:w="1011"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占标率（%）</w:t>
            </w:r>
          </w:p>
        </w:tc>
        <w:tc>
          <w:tcPr>
            <w:tcW w:w="106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质量标准(mg/m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jc w:val="center"/>
        </w:trPr>
        <w:tc>
          <w:tcPr>
            <w:tcW w:w="1132"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有组织（正常工况）</w:t>
            </w:r>
          </w:p>
        </w:tc>
        <w:tc>
          <w:tcPr>
            <w:tcW w:w="1559" w:type="dxa"/>
            <w:vMerge w:val="restart"/>
            <w:noWrap w:val="0"/>
            <w:vAlign w:val="center"/>
          </w:tcPr>
          <w:p>
            <w:pPr>
              <w:pStyle w:val="73"/>
              <w:rPr>
                <w:rFonts w:hint="default" w:ascii="Times New Roman" w:hAnsi="Times New Roman" w:cs="Times New Roman"/>
                <w:color w:val="auto"/>
                <w:u w:val="single"/>
              </w:rPr>
            </w:pPr>
            <w:r>
              <w:rPr>
                <w:rFonts w:hint="eastAsia" w:ascii="Times New Roman" w:hAnsi="Times New Roman" w:cs="Times New Roman"/>
                <w:color w:val="auto"/>
                <w:u w:val="single"/>
                <w:lang w:val="en-US" w:eastAsia="zh-CN"/>
              </w:rPr>
              <w:t>DA001</w:t>
            </w:r>
            <w:r>
              <w:rPr>
                <w:rFonts w:hint="default" w:ascii="Times New Roman" w:hAnsi="Times New Roman" w:cs="Times New Roman"/>
                <w:color w:val="auto"/>
                <w:u w:val="single"/>
              </w:rPr>
              <w:t>排气筒</w:t>
            </w:r>
          </w:p>
        </w:tc>
        <w:tc>
          <w:tcPr>
            <w:tcW w:w="1166" w:type="dxa"/>
            <w:noWrap w:val="0"/>
            <w:vAlign w:val="center"/>
          </w:tcPr>
          <w:p>
            <w:pPr>
              <w:pStyle w:val="73"/>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1076" w:type="dxa"/>
            <w:noWrap w:val="0"/>
            <w:vAlign w:val="center"/>
          </w:tcPr>
          <w:p>
            <w:pPr>
              <w:pStyle w:val="73"/>
              <w:rPr>
                <w:rFonts w:hint="default" w:ascii="Times New Roman" w:hAnsi="Times New Roman" w:cs="Times New Roman"/>
                <w:color w:val="auto"/>
                <w:u w:val="single"/>
                <w:lang w:val="en-US"/>
              </w:rPr>
            </w:pPr>
            <w:r>
              <w:rPr>
                <w:rFonts w:hint="eastAsia" w:ascii="Times New Roman" w:hAnsi="Times New Roman" w:cs="Times New Roman"/>
                <w:color w:val="auto"/>
                <w:u w:val="single"/>
                <w:lang w:val="en-US" w:eastAsia="zh-CN"/>
              </w:rPr>
              <w:t>0.000889</w:t>
            </w:r>
          </w:p>
        </w:tc>
        <w:tc>
          <w:tcPr>
            <w:tcW w:w="982"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113</w:t>
            </w:r>
          </w:p>
        </w:tc>
        <w:tc>
          <w:tcPr>
            <w:tcW w:w="1011"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0.44</w:t>
            </w:r>
          </w:p>
        </w:tc>
        <w:tc>
          <w:tcPr>
            <w:tcW w:w="106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1132" w:type="dxa"/>
            <w:vMerge w:val="continue"/>
            <w:noWrap w:val="0"/>
            <w:vAlign w:val="center"/>
          </w:tcPr>
          <w:p>
            <w:pPr>
              <w:pStyle w:val="73"/>
              <w:rPr>
                <w:rFonts w:hint="default" w:ascii="Times New Roman" w:hAnsi="Times New Roman" w:cs="Times New Roman"/>
                <w:color w:val="auto"/>
                <w:u w:val="single"/>
              </w:rPr>
            </w:pPr>
          </w:p>
        </w:tc>
        <w:tc>
          <w:tcPr>
            <w:tcW w:w="1559" w:type="dxa"/>
            <w:vMerge w:val="continue"/>
            <w:noWrap w:val="0"/>
            <w:vAlign w:val="center"/>
          </w:tcPr>
          <w:p>
            <w:pPr>
              <w:pStyle w:val="73"/>
              <w:rPr>
                <w:rFonts w:hint="default" w:ascii="Times New Roman" w:hAnsi="Times New Roman" w:cs="Times New Roman"/>
                <w:color w:val="auto"/>
                <w:u w:val="single"/>
              </w:rPr>
            </w:pPr>
          </w:p>
        </w:tc>
        <w:tc>
          <w:tcPr>
            <w:tcW w:w="116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1076" w:type="dxa"/>
            <w:noWrap w:val="0"/>
            <w:vAlign w:val="center"/>
          </w:tcPr>
          <w:p>
            <w:pPr>
              <w:pStyle w:val="73"/>
              <w:rPr>
                <w:rFonts w:hint="default" w:ascii="Times New Roman" w:hAnsi="Times New Roman" w:cs="Times New Roman"/>
                <w:color w:val="auto"/>
                <w:u w:val="single"/>
                <w:lang w:val="en-US"/>
              </w:rPr>
            </w:pPr>
            <w:r>
              <w:rPr>
                <w:rFonts w:hint="eastAsia" w:ascii="Times New Roman" w:hAnsi="Times New Roman" w:cs="Times New Roman"/>
                <w:color w:val="auto"/>
                <w:u w:val="single"/>
                <w:lang w:val="en-US" w:eastAsia="zh-CN"/>
              </w:rPr>
              <w:t>0.0000344</w:t>
            </w:r>
          </w:p>
        </w:tc>
        <w:tc>
          <w:tcPr>
            <w:tcW w:w="982"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113</w:t>
            </w:r>
          </w:p>
        </w:tc>
        <w:tc>
          <w:tcPr>
            <w:tcW w:w="1011"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0.34</w:t>
            </w:r>
          </w:p>
        </w:tc>
        <w:tc>
          <w:tcPr>
            <w:tcW w:w="106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1132"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有组织（</w:t>
            </w:r>
            <w:r>
              <w:rPr>
                <w:rFonts w:hint="eastAsia" w:ascii="Times New Roman" w:hAnsi="Times New Roman" w:cs="Times New Roman"/>
                <w:color w:val="auto"/>
                <w:u w:val="single"/>
                <w:lang w:eastAsia="zh-CN"/>
              </w:rPr>
              <w:t>非</w:t>
            </w:r>
            <w:r>
              <w:rPr>
                <w:rFonts w:hint="default" w:ascii="Times New Roman" w:hAnsi="Times New Roman" w:cs="Times New Roman"/>
                <w:color w:val="auto"/>
                <w:u w:val="single"/>
              </w:rPr>
              <w:t>正常工况）</w:t>
            </w:r>
          </w:p>
        </w:tc>
        <w:tc>
          <w:tcPr>
            <w:tcW w:w="1559" w:type="dxa"/>
            <w:vMerge w:val="continue"/>
            <w:noWrap w:val="0"/>
            <w:vAlign w:val="center"/>
          </w:tcPr>
          <w:p>
            <w:pPr>
              <w:pStyle w:val="73"/>
              <w:rPr>
                <w:rFonts w:hint="default" w:ascii="Times New Roman" w:hAnsi="Times New Roman" w:cs="Times New Roman"/>
                <w:color w:val="auto"/>
                <w:u w:val="single"/>
              </w:rPr>
            </w:pPr>
          </w:p>
        </w:tc>
        <w:tc>
          <w:tcPr>
            <w:tcW w:w="1166" w:type="dxa"/>
            <w:noWrap w:val="0"/>
            <w:vAlign w:val="center"/>
          </w:tcPr>
          <w:p>
            <w:pPr>
              <w:pStyle w:val="73"/>
              <w:ind w:firstLine="0" w:firstLineChars="0"/>
              <w:rPr>
                <w:rFonts w:hint="default" w:ascii="Times New Roman" w:hAnsi="Times New Roman" w:cs="Times New Roman"/>
                <w:color w:val="auto"/>
                <w:kern w:val="0"/>
                <w:sz w:val="21"/>
                <w:szCs w:val="21"/>
                <w:u w:val="single"/>
                <w:vertAlign w:val="subscript"/>
                <w:lang w:val="en-US" w:eastAsia="zh-CN" w:bidi="ar-SA"/>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1076" w:type="dxa"/>
            <w:noWrap w:val="0"/>
            <w:vAlign w:val="center"/>
          </w:tcPr>
          <w:p>
            <w:pPr>
              <w:pStyle w:val="73"/>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0.00889</w:t>
            </w:r>
          </w:p>
        </w:tc>
        <w:tc>
          <w:tcPr>
            <w:tcW w:w="982" w:type="dxa"/>
            <w:noWrap w:val="0"/>
            <w:vAlign w:val="center"/>
          </w:tcPr>
          <w:p>
            <w:pPr>
              <w:pStyle w:val="73"/>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113</w:t>
            </w:r>
          </w:p>
        </w:tc>
        <w:tc>
          <w:tcPr>
            <w:tcW w:w="1011"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4.44</w:t>
            </w:r>
          </w:p>
        </w:tc>
        <w:tc>
          <w:tcPr>
            <w:tcW w:w="1063"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1132" w:type="dxa"/>
            <w:vMerge w:val="continue"/>
            <w:noWrap w:val="0"/>
            <w:vAlign w:val="center"/>
          </w:tcPr>
          <w:p>
            <w:pPr>
              <w:pStyle w:val="73"/>
              <w:rPr>
                <w:rFonts w:hint="default" w:ascii="Times New Roman" w:hAnsi="Times New Roman" w:cs="Times New Roman"/>
                <w:color w:val="auto"/>
                <w:u w:val="single"/>
              </w:rPr>
            </w:pPr>
          </w:p>
        </w:tc>
        <w:tc>
          <w:tcPr>
            <w:tcW w:w="1559" w:type="dxa"/>
            <w:vMerge w:val="continue"/>
            <w:noWrap w:val="0"/>
            <w:vAlign w:val="center"/>
          </w:tcPr>
          <w:p>
            <w:pPr>
              <w:pStyle w:val="73"/>
              <w:rPr>
                <w:rFonts w:hint="default" w:ascii="Times New Roman" w:hAnsi="Times New Roman" w:cs="Times New Roman"/>
                <w:color w:val="auto"/>
                <w:u w:val="single"/>
              </w:rPr>
            </w:pPr>
          </w:p>
        </w:tc>
        <w:tc>
          <w:tcPr>
            <w:tcW w:w="1166" w:type="dxa"/>
            <w:noWrap w:val="0"/>
            <w:vAlign w:val="center"/>
          </w:tcPr>
          <w:p>
            <w:pPr>
              <w:pStyle w:val="73"/>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1076" w:type="dxa"/>
            <w:noWrap w:val="0"/>
            <w:vAlign w:val="center"/>
          </w:tcPr>
          <w:p>
            <w:pPr>
              <w:pStyle w:val="73"/>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0.0000393</w:t>
            </w:r>
          </w:p>
        </w:tc>
        <w:tc>
          <w:tcPr>
            <w:tcW w:w="982" w:type="dxa"/>
            <w:noWrap w:val="0"/>
            <w:vAlign w:val="center"/>
          </w:tcPr>
          <w:p>
            <w:pPr>
              <w:pStyle w:val="73"/>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113</w:t>
            </w:r>
          </w:p>
        </w:tc>
        <w:tc>
          <w:tcPr>
            <w:tcW w:w="1011"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0.39</w:t>
            </w:r>
          </w:p>
        </w:tc>
        <w:tc>
          <w:tcPr>
            <w:tcW w:w="1063"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9" w:hRule="atLeast"/>
          <w:jc w:val="center"/>
        </w:trPr>
        <w:tc>
          <w:tcPr>
            <w:tcW w:w="1132"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无组织</w:t>
            </w:r>
          </w:p>
        </w:tc>
        <w:tc>
          <w:tcPr>
            <w:tcW w:w="1559"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szCs w:val="20"/>
                <w:u w:val="single"/>
              </w:rPr>
              <w:t>污水处理厂</w:t>
            </w:r>
          </w:p>
        </w:tc>
        <w:tc>
          <w:tcPr>
            <w:tcW w:w="1166" w:type="dxa"/>
            <w:noWrap w:val="0"/>
            <w:vAlign w:val="center"/>
          </w:tcPr>
          <w:p>
            <w:pPr>
              <w:pStyle w:val="73"/>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1076" w:type="dxa"/>
            <w:noWrap w:val="0"/>
            <w:vAlign w:val="center"/>
          </w:tcPr>
          <w:p>
            <w:pPr>
              <w:pStyle w:val="73"/>
              <w:rPr>
                <w:rFonts w:hint="default" w:ascii="Times New Roman" w:hAnsi="Times New Roman" w:cs="Times New Roman"/>
                <w:color w:val="auto"/>
                <w:sz w:val="22"/>
                <w:szCs w:val="22"/>
                <w:u w:val="single"/>
                <w:lang w:val="en-US"/>
              </w:rPr>
            </w:pPr>
            <w:r>
              <w:rPr>
                <w:rFonts w:hint="eastAsia" w:ascii="Times New Roman" w:hAnsi="Times New Roman" w:cs="Times New Roman"/>
                <w:color w:val="auto"/>
                <w:sz w:val="22"/>
                <w:szCs w:val="22"/>
                <w:u w:val="single"/>
                <w:lang w:val="en-US" w:eastAsia="zh-CN"/>
              </w:rPr>
              <w:t>0.0111</w:t>
            </w:r>
          </w:p>
        </w:tc>
        <w:tc>
          <w:tcPr>
            <w:tcW w:w="982"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eastAsia" w:ascii="Times New Roman" w:hAnsi="Times New Roman" w:cs="Times New Roman"/>
                <w:color w:val="auto"/>
                <w:sz w:val="22"/>
                <w:szCs w:val="22"/>
                <w:u w:val="single"/>
                <w:lang w:val="en-US" w:eastAsia="zh-CN"/>
              </w:rPr>
              <w:t>15</w:t>
            </w:r>
          </w:p>
        </w:tc>
        <w:tc>
          <w:tcPr>
            <w:tcW w:w="1011" w:type="dxa"/>
            <w:noWrap w:val="0"/>
            <w:vAlign w:val="center"/>
          </w:tcPr>
          <w:p>
            <w:pPr>
              <w:pStyle w:val="73"/>
              <w:rPr>
                <w:rFonts w:hint="default" w:ascii="Times New Roman" w:hAnsi="Times New Roman" w:eastAsia="宋体" w:cs="Times New Roman"/>
                <w:color w:val="FF0000"/>
                <w:sz w:val="22"/>
                <w:szCs w:val="22"/>
                <w:u w:val="single"/>
                <w:lang w:val="en-US" w:eastAsia="zh-CN"/>
              </w:rPr>
            </w:pPr>
            <w:r>
              <w:rPr>
                <w:rFonts w:hint="eastAsia" w:ascii="Times New Roman" w:hAnsi="Times New Roman" w:cs="Times New Roman"/>
                <w:color w:val="FF0000"/>
                <w:sz w:val="22"/>
                <w:szCs w:val="22"/>
                <w:u w:val="single"/>
                <w:lang w:val="en-US" w:eastAsia="zh-CN"/>
              </w:rPr>
              <w:t>5.57</w:t>
            </w:r>
          </w:p>
        </w:tc>
        <w:tc>
          <w:tcPr>
            <w:tcW w:w="106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1" w:hRule="atLeast"/>
          <w:jc w:val="center"/>
        </w:trPr>
        <w:tc>
          <w:tcPr>
            <w:tcW w:w="1132" w:type="dxa"/>
            <w:vMerge w:val="continue"/>
            <w:noWrap w:val="0"/>
            <w:vAlign w:val="center"/>
          </w:tcPr>
          <w:p>
            <w:pPr>
              <w:pStyle w:val="73"/>
              <w:rPr>
                <w:rFonts w:hint="default" w:ascii="Times New Roman" w:hAnsi="Times New Roman" w:cs="Times New Roman"/>
                <w:color w:val="auto"/>
                <w:u w:val="single"/>
              </w:rPr>
            </w:pPr>
          </w:p>
        </w:tc>
        <w:tc>
          <w:tcPr>
            <w:tcW w:w="1559" w:type="dxa"/>
            <w:vMerge w:val="continue"/>
            <w:noWrap w:val="0"/>
            <w:vAlign w:val="center"/>
          </w:tcPr>
          <w:p>
            <w:pPr>
              <w:pStyle w:val="73"/>
              <w:rPr>
                <w:rFonts w:hint="default" w:ascii="Times New Roman" w:hAnsi="Times New Roman" w:cs="Times New Roman"/>
                <w:color w:val="auto"/>
                <w:u w:val="single"/>
              </w:rPr>
            </w:pPr>
          </w:p>
        </w:tc>
        <w:tc>
          <w:tcPr>
            <w:tcW w:w="116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1076" w:type="dxa"/>
            <w:noWrap w:val="0"/>
            <w:vAlign w:val="center"/>
          </w:tcPr>
          <w:p>
            <w:pPr>
              <w:pStyle w:val="73"/>
              <w:rPr>
                <w:rFonts w:hint="default" w:ascii="Times New Roman" w:hAnsi="Times New Roman" w:cs="Times New Roman"/>
                <w:color w:val="auto"/>
                <w:sz w:val="22"/>
                <w:szCs w:val="22"/>
                <w:u w:val="single"/>
                <w:lang w:val="en-US"/>
              </w:rPr>
            </w:pPr>
            <w:r>
              <w:rPr>
                <w:rFonts w:hint="eastAsia" w:ascii="Times New Roman" w:hAnsi="Times New Roman" w:cs="Times New Roman"/>
                <w:color w:val="auto"/>
                <w:sz w:val="22"/>
                <w:szCs w:val="22"/>
                <w:u w:val="single"/>
                <w:lang w:val="en-US" w:eastAsia="zh-CN"/>
              </w:rPr>
              <w:t>0.000123</w:t>
            </w:r>
          </w:p>
        </w:tc>
        <w:tc>
          <w:tcPr>
            <w:tcW w:w="982"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eastAsia" w:ascii="Times New Roman" w:hAnsi="Times New Roman" w:cs="Times New Roman"/>
                <w:color w:val="auto"/>
                <w:sz w:val="22"/>
                <w:szCs w:val="22"/>
                <w:u w:val="single"/>
                <w:lang w:val="en-US" w:eastAsia="zh-CN"/>
              </w:rPr>
              <w:t>15</w:t>
            </w:r>
          </w:p>
        </w:tc>
        <w:tc>
          <w:tcPr>
            <w:tcW w:w="1011"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eastAsia" w:ascii="Times New Roman" w:hAnsi="Times New Roman" w:cs="Times New Roman"/>
                <w:color w:val="auto"/>
                <w:sz w:val="22"/>
                <w:szCs w:val="22"/>
                <w:u w:val="single"/>
                <w:lang w:val="en-US" w:eastAsia="zh-CN"/>
              </w:rPr>
              <w:t>1.23</w:t>
            </w:r>
          </w:p>
        </w:tc>
        <w:tc>
          <w:tcPr>
            <w:tcW w:w="106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0.01</w:t>
            </w:r>
          </w:p>
        </w:tc>
      </w:tr>
    </w:tbl>
    <w:p>
      <w:pPr>
        <w:ind w:firstLine="480"/>
        <w:jc w:val="both"/>
        <w:rPr>
          <w:rFonts w:hint="eastAsia"/>
          <w:color w:val="auto"/>
          <w:kern w:val="0"/>
          <w:szCs w:val="20"/>
          <w:u w:val="none"/>
        </w:rPr>
      </w:pPr>
      <w:r>
        <w:rPr>
          <w:rFonts w:hint="eastAsia"/>
          <w:color w:val="auto"/>
          <w:kern w:val="0"/>
          <w:szCs w:val="20"/>
          <w:u w:val="none"/>
        </w:rPr>
        <w:t>根据估算结果，项目排放污染物的</w:t>
      </w:r>
      <w:r>
        <w:rPr>
          <w:rFonts w:hint="eastAsia"/>
          <w:color w:val="auto"/>
          <w:kern w:val="0"/>
          <w:szCs w:val="20"/>
          <w:u w:val="none"/>
          <w:lang w:eastAsia="zh-CN"/>
        </w:rPr>
        <w:t>地面空气质量浓度均未达到标准值的</w:t>
      </w:r>
      <w:r>
        <w:rPr>
          <w:rFonts w:hint="eastAsia"/>
          <w:color w:val="auto"/>
          <w:kern w:val="0"/>
          <w:szCs w:val="20"/>
          <w:u w:val="none"/>
          <w:lang w:val="en-US" w:eastAsia="zh-CN"/>
        </w:rPr>
        <w:t>10%</w:t>
      </w:r>
      <w:r>
        <w:rPr>
          <w:rFonts w:hint="eastAsia"/>
          <w:color w:val="auto"/>
          <w:kern w:val="0"/>
          <w:szCs w:val="20"/>
          <w:u w:val="none"/>
        </w:rPr>
        <w:t>，</w:t>
      </w:r>
      <w:r>
        <w:rPr>
          <w:rFonts w:hint="eastAsia"/>
          <w:color w:val="auto"/>
          <w:kern w:val="0"/>
          <w:szCs w:val="20"/>
          <w:u w:val="none"/>
          <w:lang w:eastAsia="zh-CN"/>
        </w:rPr>
        <w:t>预测结果与表1.7-1对比，确定本项目评价等级为二级。</w:t>
      </w:r>
      <w:r>
        <w:rPr>
          <w:rFonts w:hint="eastAsia"/>
          <w:color w:val="auto"/>
          <w:kern w:val="0"/>
          <w:szCs w:val="20"/>
          <w:u w:val="none"/>
        </w:rPr>
        <w:t>由于项目D</w:t>
      </w:r>
      <w:r>
        <w:rPr>
          <w:rFonts w:hint="eastAsia"/>
          <w:color w:val="auto"/>
          <w:kern w:val="0"/>
          <w:szCs w:val="20"/>
          <w:u w:val="none"/>
          <w:vertAlign w:val="subscript"/>
        </w:rPr>
        <w:t>10%</w:t>
      </w:r>
      <w:r>
        <w:rPr>
          <w:rFonts w:hint="eastAsia"/>
          <w:color w:val="auto"/>
          <w:kern w:val="0"/>
          <w:szCs w:val="20"/>
          <w:u w:val="none"/>
        </w:rPr>
        <w:t>小于2.5km，因此确定评价范围为以项目厂址为中心区域，自厂界外延</w:t>
      </w:r>
      <w:r>
        <w:rPr>
          <w:rFonts w:hint="eastAsia"/>
          <w:color w:val="auto"/>
          <w:kern w:val="0"/>
          <w:szCs w:val="20"/>
          <w:u w:val="none"/>
          <w:lang w:val="en-US" w:eastAsia="zh-CN"/>
        </w:rPr>
        <w:t>2.5k</w:t>
      </w:r>
      <w:r>
        <w:rPr>
          <w:rFonts w:hint="eastAsia"/>
          <w:color w:val="auto"/>
          <w:kern w:val="0"/>
          <w:szCs w:val="20"/>
          <w:u w:val="none"/>
        </w:rPr>
        <w:t>m的矩形区域。</w:t>
      </w:r>
    </w:p>
    <w:p>
      <w:pPr>
        <w:pStyle w:val="6"/>
        <w:bidi w:val="0"/>
        <w:rPr>
          <w:rFonts w:hint="eastAsia"/>
          <w:lang w:eastAsia="zh-CN"/>
        </w:rPr>
      </w:pPr>
      <w:r>
        <w:rPr>
          <w:rFonts w:hint="eastAsia"/>
        </w:rPr>
        <w:t>1.7.2 水环境影响评价等级</w:t>
      </w:r>
      <w:bookmarkEnd w:id="97"/>
      <w:bookmarkEnd w:id="98"/>
      <w:bookmarkEnd w:id="99"/>
      <w:r>
        <w:rPr>
          <w:rFonts w:hint="eastAsia"/>
          <w:lang w:eastAsia="zh-CN"/>
        </w:rPr>
        <w:t>及范围</w:t>
      </w:r>
    </w:p>
    <w:p>
      <w:pPr>
        <w:pStyle w:val="69"/>
        <w:jc w:val="both"/>
        <w:rPr>
          <w:color w:val="auto"/>
          <w:u w:val="none"/>
        </w:rPr>
      </w:pPr>
      <w:bookmarkStart w:id="100" w:name="_Toc489350223"/>
      <w:bookmarkStart w:id="101" w:name="_Toc489350122"/>
      <w:bookmarkStart w:id="102" w:name="_Toc489349965"/>
      <w:r>
        <w:rPr>
          <w:rFonts w:hint="eastAsia"/>
          <w:color w:val="auto"/>
          <w:u w:val="none"/>
        </w:rPr>
        <w:t>1.7.2.1地表水</w:t>
      </w:r>
      <w:bookmarkEnd w:id="100"/>
      <w:bookmarkEnd w:id="101"/>
      <w:bookmarkEnd w:id="102"/>
    </w:p>
    <w:p>
      <w:pPr>
        <w:ind w:firstLine="480"/>
        <w:jc w:val="both"/>
        <w:rPr>
          <w:rFonts w:hint="eastAsia"/>
          <w:color w:val="auto"/>
          <w:u w:val="single"/>
          <w:lang w:eastAsia="zh-CN"/>
        </w:rPr>
      </w:pPr>
      <w:r>
        <w:rPr>
          <w:rFonts w:hint="eastAsia" w:cs="宋体"/>
          <w:color w:val="auto"/>
          <w:u w:val="single"/>
        </w:rPr>
        <w:t>本项目为</w:t>
      </w:r>
      <w:r>
        <w:rPr>
          <w:rFonts w:hint="eastAsia" w:cs="宋体"/>
          <w:color w:val="auto"/>
          <w:u w:val="single"/>
          <w:lang w:eastAsia="zh-CN"/>
        </w:rPr>
        <w:t>湖南永顺经济开发区猛洞河产业园污水处理厂建设项目</w:t>
      </w:r>
      <w:r>
        <w:rPr>
          <w:rFonts w:hint="eastAsia" w:cs="宋体"/>
          <w:color w:val="auto"/>
          <w:u w:val="single"/>
        </w:rPr>
        <w:t>，</w:t>
      </w:r>
      <w:r>
        <w:rPr>
          <w:rFonts w:hint="eastAsia"/>
          <w:color w:val="auto"/>
          <w:u w:val="single"/>
        </w:rPr>
        <w:t>主要包括污水处理厂建设、</w:t>
      </w:r>
      <w:r>
        <w:rPr>
          <w:rFonts w:hint="eastAsia"/>
          <w:color w:val="auto"/>
          <w:u w:val="single"/>
          <w:lang w:eastAsia="zh-CN"/>
        </w:rPr>
        <w:t>污水管网建设</w:t>
      </w:r>
      <w:r>
        <w:rPr>
          <w:rFonts w:hint="eastAsia"/>
          <w:color w:val="auto"/>
          <w:u w:val="single"/>
        </w:rPr>
        <w:t>，用于接收处理</w:t>
      </w:r>
      <w:r>
        <w:rPr>
          <w:rFonts w:hint="eastAsia" w:cs="宋体"/>
          <w:color w:val="auto"/>
          <w:u w:val="single"/>
          <w:lang w:eastAsia="zh-CN"/>
        </w:rPr>
        <w:t>永顺经济开发区猛洞河产业园</w:t>
      </w:r>
      <w:r>
        <w:rPr>
          <w:rFonts w:hint="eastAsia"/>
          <w:color w:val="auto"/>
          <w:u w:val="single"/>
        </w:rPr>
        <w:t>企事业污水，</w:t>
      </w:r>
      <w:r>
        <w:rPr>
          <w:rFonts w:hint="eastAsia"/>
          <w:color w:val="auto"/>
          <w:u w:val="single"/>
          <w:lang w:eastAsia="zh-CN"/>
        </w:rPr>
        <w:t>一期设计规模为</w:t>
      </w:r>
      <w:r>
        <w:rPr>
          <w:rFonts w:hint="eastAsia"/>
          <w:color w:val="auto"/>
          <w:u w:val="single"/>
          <w:lang w:val="en-US" w:eastAsia="zh-CN"/>
        </w:rPr>
        <w:t>400</w:t>
      </w:r>
      <w:r>
        <w:rPr>
          <w:color w:val="auto"/>
          <w:u w:val="single"/>
        </w:rPr>
        <w:t>m</w:t>
      </w:r>
      <w:r>
        <w:rPr>
          <w:color w:val="auto"/>
          <w:u w:val="single"/>
          <w:vertAlign w:val="superscript"/>
        </w:rPr>
        <w:t>3</w:t>
      </w:r>
      <w:r>
        <w:rPr>
          <w:color w:val="auto"/>
          <w:u w:val="single"/>
        </w:rPr>
        <w:t>/d</w:t>
      </w:r>
      <w:r>
        <w:rPr>
          <w:rFonts w:hint="eastAsia"/>
          <w:color w:val="auto"/>
          <w:u w:val="single"/>
          <w:lang w:eastAsia="zh-CN"/>
        </w:rPr>
        <w:t>，二期新增设备后总设计规模为</w:t>
      </w:r>
      <w:r>
        <w:rPr>
          <w:rFonts w:hint="eastAsia"/>
          <w:color w:val="auto"/>
          <w:u w:val="single"/>
          <w:lang w:val="en-US" w:eastAsia="zh-CN"/>
        </w:rPr>
        <w:t>1000</w:t>
      </w:r>
      <w:r>
        <w:rPr>
          <w:color w:val="auto"/>
          <w:u w:val="single"/>
        </w:rPr>
        <w:t>m</w:t>
      </w:r>
      <w:r>
        <w:rPr>
          <w:color w:val="auto"/>
          <w:u w:val="single"/>
          <w:vertAlign w:val="superscript"/>
        </w:rPr>
        <w:t>3</w:t>
      </w:r>
      <w:r>
        <w:rPr>
          <w:color w:val="auto"/>
          <w:u w:val="single"/>
        </w:rPr>
        <w:t>/d</w:t>
      </w:r>
      <w:r>
        <w:rPr>
          <w:rFonts w:hint="eastAsia"/>
          <w:color w:val="auto"/>
          <w:u w:val="single"/>
          <w:lang w:eastAsia="zh-CN"/>
        </w:rPr>
        <w:t>，本环评包含一期及二期内容，故本环评水环境影响评价总规模为</w:t>
      </w:r>
      <w:r>
        <w:rPr>
          <w:rFonts w:hint="eastAsia"/>
          <w:color w:val="auto"/>
          <w:u w:val="single"/>
          <w:lang w:val="en-US" w:eastAsia="zh-CN"/>
        </w:rPr>
        <w:t>1000</w:t>
      </w:r>
      <w:r>
        <w:rPr>
          <w:color w:val="auto"/>
          <w:u w:val="single"/>
        </w:rPr>
        <w:t>m</w:t>
      </w:r>
      <w:r>
        <w:rPr>
          <w:color w:val="auto"/>
          <w:u w:val="single"/>
          <w:vertAlign w:val="superscript"/>
        </w:rPr>
        <w:t>3</w:t>
      </w:r>
      <w:r>
        <w:rPr>
          <w:color w:val="auto"/>
          <w:u w:val="single"/>
        </w:rPr>
        <w:t>/d</w:t>
      </w:r>
      <w:r>
        <w:rPr>
          <w:rFonts w:hint="eastAsia"/>
          <w:color w:val="auto"/>
          <w:u w:val="single"/>
          <w:lang w:eastAsia="zh-CN"/>
        </w:rPr>
        <w:t>。</w:t>
      </w:r>
    </w:p>
    <w:p>
      <w:pPr>
        <w:ind w:firstLine="480"/>
        <w:jc w:val="both"/>
        <w:rPr>
          <w:rFonts w:hint="eastAsia"/>
          <w:color w:val="auto"/>
          <w:u w:val="none"/>
        </w:rPr>
      </w:pPr>
      <w:r>
        <w:rPr>
          <w:rFonts w:hint="eastAsia"/>
          <w:color w:val="auto"/>
          <w:u w:val="none"/>
        </w:rPr>
        <w:t>本项目</w:t>
      </w:r>
      <w:r>
        <w:rPr>
          <w:rFonts w:hint="eastAsia"/>
          <w:color w:val="auto"/>
          <w:u w:val="none"/>
          <w:lang w:eastAsia="zh-CN"/>
        </w:rPr>
        <w:t>污水管网工程</w:t>
      </w:r>
      <w:r>
        <w:rPr>
          <w:rFonts w:hint="eastAsia"/>
          <w:color w:val="auto"/>
          <w:u w:val="none"/>
        </w:rPr>
        <w:t>施工期产生少量废水，本环评要求合理处置，不外排，</w:t>
      </w:r>
      <w:r>
        <w:rPr>
          <w:rFonts w:hint="eastAsia"/>
          <w:color w:val="auto"/>
          <w:u w:val="none"/>
          <w:lang w:eastAsia="zh-CN"/>
        </w:rPr>
        <w:t>污水管网工程</w:t>
      </w:r>
      <w:r>
        <w:rPr>
          <w:rFonts w:hint="eastAsia"/>
          <w:color w:val="auto"/>
          <w:u w:val="none"/>
        </w:rPr>
        <w:t>施工期工程量较小，施工时间较短，运营期无废水产生，对外环境影响较小，故本环评不对</w:t>
      </w:r>
      <w:r>
        <w:rPr>
          <w:rFonts w:hint="eastAsia"/>
          <w:color w:val="auto"/>
          <w:u w:val="none"/>
          <w:lang w:eastAsia="zh-CN"/>
        </w:rPr>
        <w:t>污水管网工程</w:t>
      </w:r>
      <w:r>
        <w:rPr>
          <w:rFonts w:hint="eastAsia"/>
          <w:color w:val="auto"/>
          <w:u w:val="none"/>
        </w:rPr>
        <w:t>进行地表水预测和设置评价范围。</w:t>
      </w:r>
    </w:p>
    <w:p>
      <w:pPr>
        <w:ind w:firstLine="480"/>
        <w:jc w:val="both"/>
        <w:rPr>
          <w:color w:val="auto"/>
          <w:szCs w:val="22"/>
          <w:u w:val="none"/>
        </w:rPr>
      </w:pPr>
      <w:r>
        <w:rPr>
          <w:rFonts w:hint="eastAsia"/>
          <w:color w:val="auto"/>
          <w:u w:val="none"/>
        </w:rPr>
        <w:t>本项目出水执行《城镇污水处理厂污染物排放标准》中一级A标。</w:t>
      </w:r>
      <w:r>
        <w:rPr>
          <w:rFonts w:hint="eastAsia"/>
          <w:color w:val="auto"/>
          <w:szCs w:val="22"/>
          <w:u w:val="none"/>
        </w:rPr>
        <w:t>根据《环境影响评价技术导则 地表水环境》（HJ</w:t>
      </w:r>
      <w:r>
        <w:rPr>
          <w:color w:val="auto"/>
          <w:szCs w:val="22"/>
          <w:u w:val="none"/>
        </w:rPr>
        <w:t xml:space="preserve"> </w:t>
      </w:r>
      <w:r>
        <w:rPr>
          <w:rFonts w:hint="eastAsia"/>
          <w:color w:val="auto"/>
          <w:szCs w:val="22"/>
          <w:u w:val="none"/>
        </w:rPr>
        <w:t>2.3-2018）5.2 规定：建设项目地表水环境影响评价等级按照影响类型、排放方式、排放量或影响情况、受纳水体环境质量现状、水环境保护目标等综合确定。根据建设项目性质，本项目属于水污染影响型建设项目</w:t>
      </w:r>
      <w:r>
        <w:rPr>
          <w:rFonts w:hint="eastAsia"/>
          <w:color w:val="auto"/>
          <w:szCs w:val="22"/>
          <w:u w:val="none"/>
          <w:lang w:eastAsia="zh-CN"/>
        </w:rPr>
        <w:t>，水污染影响型建设项目评价等级判定详见下表</w:t>
      </w:r>
      <w:r>
        <w:rPr>
          <w:rFonts w:hint="eastAsia"/>
          <w:color w:val="auto"/>
          <w:szCs w:val="22"/>
          <w:u w:val="none"/>
          <w:lang w:val="en-US" w:eastAsia="zh-CN"/>
        </w:rPr>
        <w:t>1.7-6</w:t>
      </w:r>
      <w:r>
        <w:rPr>
          <w:rFonts w:hint="eastAsia"/>
          <w:color w:val="auto"/>
          <w:szCs w:val="22"/>
          <w:u w:val="none"/>
        </w:rPr>
        <w:t>。</w:t>
      </w:r>
    </w:p>
    <w:p>
      <w:pPr>
        <w:spacing w:before="60"/>
        <w:ind w:firstLine="422"/>
        <w:jc w:val="center"/>
        <w:rPr>
          <w:rFonts w:hint="eastAsia"/>
          <w:b/>
          <w:bCs/>
          <w:color w:val="auto"/>
          <w:kern w:val="0"/>
          <w:sz w:val="21"/>
          <w:szCs w:val="21"/>
          <w:u w:val="none"/>
        </w:rPr>
      </w:pPr>
      <w:r>
        <w:rPr>
          <w:rFonts w:hint="eastAsia"/>
          <w:b/>
          <w:color w:val="auto"/>
          <w:kern w:val="0"/>
          <w:sz w:val="21"/>
          <w:szCs w:val="21"/>
          <w:u w:val="none"/>
        </w:rPr>
        <w:t>表</w:t>
      </w:r>
      <w:r>
        <w:rPr>
          <w:rFonts w:hint="eastAsia"/>
          <w:b/>
          <w:color w:val="auto"/>
          <w:kern w:val="0"/>
          <w:sz w:val="21"/>
          <w:szCs w:val="21"/>
          <w:u w:val="none"/>
          <w:lang w:val="en-US" w:eastAsia="zh-CN"/>
        </w:rPr>
        <w:t>1.7-6</w:t>
      </w:r>
      <w:r>
        <w:rPr>
          <w:rFonts w:hint="eastAsia"/>
          <w:b/>
          <w:color w:val="auto"/>
          <w:kern w:val="0"/>
          <w:sz w:val="21"/>
          <w:szCs w:val="21"/>
          <w:u w:val="none"/>
        </w:rPr>
        <w:t xml:space="preserve">  </w:t>
      </w:r>
      <w:r>
        <w:rPr>
          <w:rFonts w:hint="eastAsia"/>
          <w:b/>
          <w:bCs/>
          <w:color w:val="auto"/>
          <w:kern w:val="0"/>
          <w:sz w:val="21"/>
          <w:szCs w:val="21"/>
          <w:u w:val="none"/>
        </w:rPr>
        <w:t>水污染影响型建设项目评价等级判定</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2065"/>
        <w:gridCol w:w="5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vMerge w:val="restart"/>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评价等级</w:t>
            </w:r>
          </w:p>
        </w:tc>
        <w:tc>
          <w:tcPr>
            <w:tcW w:w="7258" w:type="dxa"/>
            <w:gridSpan w:val="2"/>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vMerge w:val="continue"/>
            <w:noWrap w:val="0"/>
            <w:vAlign w:val="center"/>
          </w:tcPr>
          <w:p>
            <w:pPr>
              <w:spacing w:line="320" w:lineRule="exact"/>
              <w:ind w:firstLine="0" w:firstLineChars="0"/>
              <w:jc w:val="center"/>
              <w:rPr>
                <w:rFonts w:hint="eastAsia"/>
                <w:bCs/>
                <w:color w:val="auto"/>
                <w:kern w:val="0"/>
                <w:sz w:val="21"/>
                <w:szCs w:val="21"/>
                <w:u w:val="none"/>
              </w:rPr>
            </w:pPr>
          </w:p>
        </w:tc>
        <w:tc>
          <w:tcPr>
            <w:tcW w:w="2065"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排放方式</w:t>
            </w:r>
          </w:p>
        </w:tc>
        <w:tc>
          <w:tcPr>
            <w:tcW w:w="5193"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废水排放量Q/（m</w:t>
            </w:r>
            <w:r>
              <w:rPr>
                <w:rFonts w:hint="eastAsia"/>
                <w:bCs/>
                <w:color w:val="auto"/>
                <w:kern w:val="0"/>
                <w:sz w:val="21"/>
                <w:szCs w:val="21"/>
                <w:u w:val="none"/>
                <w:vertAlign w:val="superscript"/>
              </w:rPr>
              <w:t>3</w:t>
            </w:r>
            <w:r>
              <w:rPr>
                <w:rFonts w:hint="eastAsia"/>
                <w:bCs/>
                <w:color w:val="auto"/>
                <w:kern w:val="0"/>
                <w:sz w:val="21"/>
                <w:szCs w:val="21"/>
                <w:u w:val="none"/>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一级</w:t>
            </w:r>
          </w:p>
        </w:tc>
        <w:tc>
          <w:tcPr>
            <w:tcW w:w="2065"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直接排放</w:t>
            </w:r>
          </w:p>
        </w:tc>
        <w:tc>
          <w:tcPr>
            <w:tcW w:w="5193"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二级</w:t>
            </w:r>
          </w:p>
        </w:tc>
        <w:tc>
          <w:tcPr>
            <w:tcW w:w="2065"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直接排放</w:t>
            </w:r>
          </w:p>
        </w:tc>
        <w:tc>
          <w:tcPr>
            <w:tcW w:w="5193"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三级A</w:t>
            </w:r>
          </w:p>
        </w:tc>
        <w:tc>
          <w:tcPr>
            <w:tcW w:w="2065"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直接排放</w:t>
            </w:r>
          </w:p>
        </w:tc>
        <w:tc>
          <w:tcPr>
            <w:tcW w:w="5193"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三级B</w:t>
            </w:r>
          </w:p>
        </w:tc>
        <w:tc>
          <w:tcPr>
            <w:tcW w:w="2065"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间接排放</w:t>
            </w:r>
          </w:p>
        </w:tc>
        <w:tc>
          <w:tcPr>
            <w:tcW w:w="5193" w:type="dxa"/>
            <w:noWrap w:val="0"/>
            <w:vAlign w:val="center"/>
          </w:tcPr>
          <w:p>
            <w:pPr>
              <w:spacing w:line="320" w:lineRule="exact"/>
              <w:ind w:firstLine="0" w:firstLineChars="0"/>
              <w:jc w:val="center"/>
              <w:rPr>
                <w:rFonts w:hint="eastAsia"/>
                <w:bCs/>
                <w:color w:val="auto"/>
                <w:kern w:val="0"/>
                <w:sz w:val="21"/>
                <w:szCs w:val="21"/>
                <w:u w:val="none"/>
              </w:rPr>
            </w:pPr>
            <w:r>
              <w:rPr>
                <w:rFonts w:hint="eastAsia"/>
                <w:bCs/>
                <w:color w:val="auto"/>
                <w:kern w:val="0"/>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1" w:type="dxa"/>
            <w:gridSpan w:val="3"/>
            <w:noWrap w:val="0"/>
            <w:vAlign w:val="center"/>
          </w:tcPr>
          <w:p>
            <w:pPr>
              <w:spacing w:line="320" w:lineRule="exact"/>
              <w:ind w:firstLine="0" w:firstLineChars="0"/>
              <w:rPr>
                <w:rFonts w:hint="eastAsia"/>
                <w:bCs/>
                <w:color w:val="auto"/>
                <w:kern w:val="0"/>
                <w:sz w:val="21"/>
                <w:szCs w:val="21"/>
                <w:u w:val="none"/>
              </w:rPr>
            </w:pPr>
            <w:r>
              <w:rPr>
                <w:rFonts w:hint="eastAsia"/>
                <w:bCs/>
                <w:color w:val="auto"/>
                <w:kern w:val="0"/>
                <w:sz w:val="21"/>
                <w:szCs w:val="21"/>
                <w:u w:val="none"/>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spacing w:line="320" w:lineRule="exact"/>
              <w:ind w:firstLine="0" w:firstLineChars="0"/>
              <w:rPr>
                <w:rFonts w:hint="eastAsia"/>
                <w:bCs/>
                <w:color w:val="auto"/>
                <w:kern w:val="0"/>
                <w:sz w:val="21"/>
                <w:szCs w:val="21"/>
                <w:u w:val="none"/>
              </w:rPr>
            </w:pPr>
            <w:r>
              <w:rPr>
                <w:rFonts w:hint="eastAsia"/>
                <w:bCs/>
                <w:color w:val="auto"/>
                <w:kern w:val="0"/>
                <w:sz w:val="21"/>
                <w:szCs w:val="21"/>
                <w:u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spacing w:line="320" w:lineRule="exact"/>
              <w:ind w:firstLine="0" w:firstLineChars="0"/>
              <w:rPr>
                <w:rFonts w:hint="eastAsia"/>
                <w:bCs/>
                <w:color w:val="auto"/>
                <w:kern w:val="0"/>
                <w:sz w:val="21"/>
                <w:szCs w:val="21"/>
                <w:u w:val="none"/>
              </w:rPr>
            </w:pPr>
            <w:r>
              <w:rPr>
                <w:rFonts w:hint="eastAsia"/>
                <w:bCs/>
                <w:color w:val="auto"/>
                <w:kern w:val="0"/>
                <w:sz w:val="21"/>
                <w:szCs w:val="21"/>
                <w:u w:val="none"/>
              </w:rPr>
              <w:t>注3：厂区存在堆积物（露天堆放的原料、燃料、废渣等以及垃圾堆放场）、降尘污染的，应将初期雨污水纳入废水排放量，相应的主要污染物纳入水污染当量计算。</w:t>
            </w:r>
          </w:p>
          <w:p>
            <w:pPr>
              <w:spacing w:line="320" w:lineRule="exact"/>
              <w:ind w:firstLine="0" w:firstLineChars="0"/>
              <w:rPr>
                <w:rFonts w:hint="eastAsia"/>
                <w:bCs/>
                <w:color w:val="auto"/>
                <w:kern w:val="0"/>
                <w:sz w:val="21"/>
                <w:szCs w:val="21"/>
                <w:u w:val="none"/>
              </w:rPr>
            </w:pPr>
            <w:r>
              <w:rPr>
                <w:rFonts w:hint="eastAsia"/>
                <w:bCs/>
                <w:color w:val="auto"/>
                <w:kern w:val="0"/>
                <w:sz w:val="21"/>
                <w:szCs w:val="21"/>
                <w:u w:val="none"/>
              </w:rPr>
              <w:t>注4：建设项目直接排放第一类污染物的，其评价等级为一级；建设项目直接排放的污染物为受纳水体超标因子的，评价等级不低于二级。</w:t>
            </w:r>
          </w:p>
          <w:p>
            <w:pPr>
              <w:spacing w:line="320" w:lineRule="exact"/>
              <w:ind w:firstLine="0" w:firstLineChars="0"/>
              <w:rPr>
                <w:rFonts w:hint="eastAsia"/>
                <w:bCs/>
                <w:color w:val="auto"/>
                <w:kern w:val="0"/>
                <w:sz w:val="21"/>
                <w:szCs w:val="21"/>
                <w:u w:val="none"/>
              </w:rPr>
            </w:pPr>
            <w:r>
              <w:rPr>
                <w:rFonts w:hint="eastAsia"/>
                <w:bCs/>
                <w:color w:val="auto"/>
                <w:kern w:val="0"/>
                <w:sz w:val="21"/>
                <w:szCs w:val="21"/>
                <w:u w:val="none"/>
              </w:rPr>
              <w:t>注5：直接排放受纳水体影响范围涉及饮用水水源保护区、饮用水取水口、重点保护与珍稀水生生物的栖息地、重要水生生物的自然产卵场等保护目标时，评价等级不低于二级。</w:t>
            </w:r>
          </w:p>
          <w:p>
            <w:pPr>
              <w:spacing w:line="320" w:lineRule="exact"/>
              <w:ind w:firstLine="0" w:firstLineChars="0"/>
              <w:rPr>
                <w:rFonts w:hint="eastAsia"/>
                <w:bCs/>
                <w:color w:val="auto"/>
                <w:kern w:val="0"/>
                <w:sz w:val="21"/>
                <w:szCs w:val="21"/>
                <w:u w:val="none"/>
              </w:rPr>
            </w:pPr>
            <w:r>
              <w:rPr>
                <w:rFonts w:hint="eastAsia"/>
                <w:bCs/>
                <w:color w:val="auto"/>
                <w:kern w:val="0"/>
                <w:sz w:val="21"/>
                <w:szCs w:val="21"/>
                <w:u w:val="none"/>
              </w:rPr>
              <w:t>注6：建设项目向河流、湖库排放温排水引起受纳水体水温变化超过水环境质量标准要求，且评价范围有水温敏感目标时，评价等级为一级。</w:t>
            </w:r>
          </w:p>
          <w:p>
            <w:pPr>
              <w:spacing w:line="320" w:lineRule="exact"/>
              <w:ind w:firstLine="0" w:firstLineChars="0"/>
              <w:rPr>
                <w:rFonts w:hint="eastAsia"/>
                <w:bCs/>
                <w:color w:val="auto"/>
                <w:kern w:val="0"/>
                <w:sz w:val="21"/>
                <w:szCs w:val="21"/>
                <w:u w:val="none"/>
              </w:rPr>
            </w:pPr>
            <w:r>
              <w:rPr>
                <w:rFonts w:hint="eastAsia"/>
                <w:bCs/>
                <w:color w:val="auto"/>
                <w:kern w:val="0"/>
                <w:sz w:val="21"/>
                <w:szCs w:val="21"/>
                <w:u w:val="none"/>
              </w:rPr>
              <w:t>注7：建设项目利用海水作为调节温度介质，排水量≥500万m</w:t>
            </w:r>
            <w:r>
              <w:rPr>
                <w:rFonts w:hint="eastAsia"/>
                <w:bCs/>
                <w:color w:val="auto"/>
                <w:kern w:val="0"/>
                <w:sz w:val="21"/>
                <w:szCs w:val="21"/>
                <w:u w:val="none"/>
                <w:vertAlign w:val="superscript"/>
              </w:rPr>
              <w:t>3</w:t>
            </w:r>
            <w:r>
              <w:rPr>
                <w:rFonts w:hint="eastAsia"/>
                <w:bCs/>
                <w:color w:val="auto"/>
                <w:kern w:val="0"/>
                <w:sz w:val="21"/>
                <w:szCs w:val="21"/>
                <w:u w:val="none"/>
              </w:rPr>
              <w:t>/d，评价等级为一级；排水量＜500万m</w:t>
            </w:r>
            <w:r>
              <w:rPr>
                <w:rFonts w:hint="eastAsia"/>
                <w:bCs/>
                <w:color w:val="auto"/>
                <w:kern w:val="0"/>
                <w:sz w:val="21"/>
                <w:szCs w:val="21"/>
                <w:u w:val="none"/>
                <w:vertAlign w:val="superscript"/>
              </w:rPr>
              <w:t>3</w:t>
            </w:r>
            <w:r>
              <w:rPr>
                <w:rFonts w:hint="eastAsia"/>
                <w:bCs/>
                <w:color w:val="auto"/>
                <w:kern w:val="0"/>
                <w:sz w:val="21"/>
                <w:szCs w:val="21"/>
                <w:u w:val="none"/>
              </w:rPr>
              <w:t>/d，评价等级为二级。</w:t>
            </w:r>
          </w:p>
          <w:p>
            <w:pPr>
              <w:spacing w:line="320" w:lineRule="exact"/>
              <w:ind w:firstLine="0" w:firstLineChars="0"/>
              <w:rPr>
                <w:rFonts w:hint="eastAsia"/>
                <w:bCs/>
                <w:color w:val="auto"/>
                <w:kern w:val="0"/>
                <w:sz w:val="21"/>
                <w:szCs w:val="21"/>
                <w:u w:val="none"/>
              </w:rPr>
            </w:pPr>
            <w:r>
              <w:rPr>
                <w:rFonts w:hint="eastAsia"/>
                <w:bCs/>
                <w:color w:val="auto"/>
                <w:kern w:val="0"/>
                <w:sz w:val="21"/>
                <w:szCs w:val="21"/>
                <w:u w:val="none"/>
              </w:rPr>
              <w:t>注8：仅涉及清净下水排放的，如其排放水质满足受纳水体水环境质量标准要求的，评价等级为三级A。</w:t>
            </w:r>
          </w:p>
          <w:p>
            <w:pPr>
              <w:spacing w:line="320" w:lineRule="exact"/>
              <w:ind w:firstLine="0" w:firstLineChars="0"/>
              <w:rPr>
                <w:rFonts w:hint="eastAsia"/>
                <w:bCs/>
                <w:color w:val="auto"/>
                <w:kern w:val="0"/>
                <w:sz w:val="21"/>
                <w:szCs w:val="21"/>
                <w:u w:val="none"/>
              </w:rPr>
            </w:pPr>
            <w:r>
              <w:rPr>
                <w:rFonts w:hint="eastAsia"/>
                <w:bCs/>
                <w:color w:val="auto"/>
                <w:kern w:val="0"/>
                <w:sz w:val="21"/>
                <w:szCs w:val="21"/>
                <w:u w:val="none"/>
              </w:rPr>
              <w:t>注9：依托现有排放口，且对外环境未新增排放污染物的直接排放建设项目，评价等级参照间接排放，定为三级B。</w:t>
            </w:r>
          </w:p>
          <w:p>
            <w:pPr>
              <w:spacing w:line="320" w:lineRule="exact"/>
              <w:ind w:firstLine="0" w:firstLineChars="0"/>
              <w:rPr>
                <w:rFonts w:hint="eastAsia"/>
                <w:bCs/>
                <w:color w:val="auto"/>
                <w:kern w:val="0"/>
                <w:sz w:val="21"/>
                <w:szCs w:val="21"/>
                <w:u w:val="none"/>
              </w:rPr>
            </w:pPr>
            <w:r>
              <w:rPr>
                <w:rFonts w:hint="eastAsia"/>
                <w:bCs/>
                <w:color w:val="auto"/>
                <w:kern w:val="0"/>
                <w:sz w:val="21"/>
                <w:szCs w:val="21"/>
                <w:u w:val="none"/>
              </w:rPr>
              <w:t>注10：建设项目生产工艺中有废水产生，但作为回水利用，不排放到外环境的，按三级B评价。</w:t>
            </w:r>
          </w:p>
        </w:tc>
      </w:tr>
    </w:tbl>
    <w:p>
      <w:pPr>
        <w:keepNext w:val="0"/>
        <w:keepLines w:val="0"/>
        <w:pageBreakBefore w:val="0"/>
        <w:widowControl/>
        <w:kinsoku/>
        <w:wordWrap/>
        <w:overflowPunct/>
        <w:topLinePunct w:val="0"/>
        <w:autoSpaceDE/>
        <w:autoSpaceDN/>
        <w:bidi w:val="0"/>
        <w:adjustRightInd/>
        <w:snapToGrid/>
        <w:ind w:firstLine="480"/>
        <w:jc w:val="both"/>
        <w:textAlignment w:val="auto"/>
        <w:rPr>
          <w:rFonts w:hint="eastAsia"/>
          <w:color w:val="auto"/>
          <w:kern w:val="0"/>
          <w:u w:val="single"/>
          <w:lang w:val="en-US" w:eastAsia="zh-CN"/>
        </w:rPr>
      </w:pPr>
      <w:r>
        <w:rPr>
          <w:rFonts w:hint="eastAsia"/>
          <w:color w:val="auto"/>
          <w:kern w:val="0"/>
          <w:u w:val="single"/>
          <w:lang w:eastAsia="zh-CN"/>
        </w:rPr>
        <w:t>本次地表水环境评价范围：本项目</w:t>
      </w:r>
      <w:r>
        <w:rPr>
          <w:rFonts w:hint="eastAsia"/>
          <w:color w:val="auto"/>
          <w:u w:val="single"/>
        </w:rPr>
        <w:t>地表水环境影响评价工作等级确定为</w:t>
      </w:r>
      <w:r>
        <w:rPr>
          <w:rFonts w:hint="eastAsia"/>
          <w:color w:val="auto"/>
          <w:u w:val="single"/>
          <w:lang w:eastAsia="zh-CN"/>
        </w:rPr>
        <w:t>二</w:t>
      </w:r>
      <w:r>
        <w:rPr>
          <w:rFonts w:hint="eastAsia"/>
          <w:color w:val="auto"/>
          <w:u w:val="single"/>
        </w:rPr>
        <w:t>级</w:t>
      </w:r>
      <w:r>
        <w:rPr>
          <w:rFonts w:hint="eastAsia"/>
          <w:color w:val="auto"/>
          <w:kern w:val="0"/>
          <w:u w:val="single"/>
          <w:lang w:eastAsia="zh-CN"/>
        </w:rPr>
        <w:t>，依据《环境影响评价技术导则-地表水环境》（HJ2.3-2018）一级、二级及三级</w:t>
      </w:r>
      <w:r>
        <w:rPr>
          <w:rFonts w:hint="eastAsia"/>
          <w:color w:val="auto"/>
          <w:kern w:val="0"/>
          <w:u w:val="single"/>
          <w:lang w:val="en-US" w:eastAsia="zh-CN"/>
        </w:rPr>
        <w:t>A的评价范围应符合以下要求：</w:t>
      </w:r>
    </w:p>
    <w:p>
      <w:pPr>
        <w:keepNext w:val="0"/>
        <w:keepLines w:val="0"/>
        <w:pageBreakBefore w:val="0"/>
        <w:widowControl/>
        <w:numPr>
          <w:ilvl w:val="0"/>
          <w:numId w:val="5"/>
        </w:numPr>
        <w:kinsoku/>
        <w:wordWrap/>
        <w:overflowPunct/>
        <w:topLinePunct w:val="0"/>
        <w:autoSpaceDE/>
        <w:autoSpaceDN/>
        <w:bidi w:val="0"/>
        <w:adjustRightInd/>
        <w:snapToGrid/>
        <w:ind w:firstLine="480"/>
        <w:jc w:val="both"/>
        <w:textAlignment w:val="auto"/>
        <w:rPr>
          <w:rFonts w:hint="eastAsia"/>
          <w:color w:val="auto"/>
          <w:kern w:val="0"/>
          <w:u w:val="single"/>
          <w:lang w:val="en-US" w:eastAsia="zh-CN"/>
        </w:rPr>
      </w:pPr>
      <w:r>
        <w:rPr>
          <w:rFonts w:hint="eastAsia"/>
          <w:color w:val="auto"/>
          <w:kern w:val="0"/>
          <w:u w:val="single"/>
          <w:lang w:val="en-US" w:eastAsia="zh-CN"/>
        </w:rPr>
        <w:t>应根据主要污染物迁移转化状况，至少需覆盖建设项目污染影响所及水域。</w:t>
      </w:r>
    </w:p>
    <w:p>
      <w:pPr>
        <w:keepNext w:val="0"/>
        <w:keepLines w:val="0"/>
        <w:pageBreakBefore w:val="0"/>
        <w:widowControl/>
        <w:numPr>
          <w:ilvl w:val="0"/>
          <w:numId w:val="5"/>
        </w:numPr>
        <w:kinsoku/>
        <w:wordWrap/>
        <w:overflowPunct/>
        <w:topLinePunct w:val="0"/>
        <w:autoSpaceDE/>
        <w:autoSpaceDN/>
        <w:bidi w:val="0"/>
        <w:adjustRightInd/>
        <w:snapToGrid/>
        <w:ind w:firstLine="480"/>
        <w:jc w:val="both"/>
        <w:textAlignment w:val="auto"/>
        <w:rPr>
          <w:color w:val="auto"/>
          <w:kern w:val="0"/>
          <w:u w:val="single"/>
        </w:rPr>
      </w:pPr>
      <w:r>
        <w:rPr>
          <w:rFonts w:hint="eastAsia"/>
          <w:color w:val="auto"/>
          <w:kern w:val="0"/>
          <w:u w:val="single"/>
          <w:lang w:eastAsia="zh-CN"/>
        </w:rPr>
        <w:t>受纳水体为河流时，应满足覆盖对照断面、控制断面与消减断面等关心断面的要求。</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color w:val="auto"/>
          <w:kern w:val="0"/>
          <w:u w:val="single"/>
        </w:rPr>
      </w:pPr>
      <w:r>
        <w:rPr>
          <w:rFonts w:hint="eastAsia"/>
          <w:color w:val="auto"/>
          <w:kern w:val="0"/>
          <w:u w:val="single"/>
          <w:lang w:eastAsia="zh-CN"/>
        </w:rPr>
        <w:t>综上，</w:t>
      </w:r>
      <w:r>
        <w:rPr>
          <w:rFonts w:hint="eastAsia"/>
          <w:color w:val="auto"/>
          <w:kern w:val="0"/>
          <w:u w:val="single"/>
        </w:rPr>
        <w:t>本次地表水环境评价范围：排污口上游500m至排污口下游1</w:t>
      </w:r>
      <w:r>
        <w:rPr>
          <w:color w:val="auto"/>
          <w:kern w:val="0"/>
          <w:u w:val="single"/>
        </w:rPr>
        <w:t>0</w:t>
      </w:r>
      <w:r>
        <w:rPr>
          <w:rFonts w:hint="eastAsia"/>
          <w:color w:val="auto"/>
          <w:kern w:val="0"/>
          <w:u w:val="single"/>
        </w:rPr>
        <w:t>00m。</w:t>
      </w:r>
    </w:p>
    <w:p>
      <w:pPr>
        <w:pStyle w:val="69"/>
        <w:rPr>
          <w:rFonts w:hint="eastAsia" w:eastAsia="宋体"/>
          <w:color w:val="auto"/>
          <w:u w:val="none"/>
          <w:lang w:eastAsia="zh-CN"/>
        </w:rPr>
      </w:pPr>
      <w:bookmarkStart w:id="103" w:name="_Toc489349966"/>
      <w:bookmarkStart w:id="104" w:name="_Toc489350224"/>
      <w:bookmarkStart w:id="105" w:name="_Toc489350123"/>
      <w:r>
        <w:rPr>
          <w:rFonts w:hint="eastAsia"/>
          <w:color w:val="auto"/>
          <w:u w:val="none"/>
        </w:rPr>
        <w:t>1.7.2.2 地下水</w:t>
      </w:r>
      <w:bookmarkEnd w:id="103"/>
      <w:bookmarkEnd w:id="104"/>
      <w:bookmarkEnd w:id="105"/>
      <w:r>
        <w:rPr>
          <w:rFonts w:hint="eastAsia"/>
          <w:color w:val="auto"/>
          <w:lang w:eastAsia="zh-CN"/>
        </w:rPr>
        <w:t>环境影响评价等级及范围</w:t>
      </w:r>
    </w:p>
    <w:p>
      <w:pPr>
        <w:ind w:firstLine="480"/>
        <w:jc w:val="both"/>
        <w:rPr>
          <w:color w:val="auto"/>
          <w:kern w:val="0"/>
          <w:u w:val="none"/>
        </w:rPr>
      </w:pPr>
      <w:r>
        <w:rPr>
          <w:rFonts w:hint="eastAsia"/>
          <w:color w:val="auto"/>
          <w:kern w:val="0"/>
          <w:u w:val="none"/>
        </w:rPr>
        <w:t>根据《环境影响评价技术导则 地下水环境》（HJ610-201</w:t>
      </w:r>
      <w:r>
        <w:rPr>
          <w:color w:val="auto"/>
          <w:kern w:val="0"/>
          <w:u w:val="none"/>
        </w:rPr>
        <w:t>6</w:t>
      </w:r>
      <w:r>
        <w:rPr>
          <w:rFonts w:hint="eastAsia"/>
          <w:color w:val="auto"/>
          <w:kern w:val="0"/>
          <w:u w:val="none"/>
        </w:rPr>
        <w:t>）的规定，根据建设项目对地下水环境影响的程度，结合《建设项目环境影响评价分类管理名录》，见建设项目分为四类。其中</w:t>
      </w:r>
      <w:r>
        <w:rPr>
          <w:color w:val="auto"/>
          <w:kern w:val="0"/>
          <w:u w:val="none"/>
        </w:rPr>
        <w:fldChar w:fldCharType="begin"/>
      </w:r>
      <w:r>
        <w:rPr>
          <w:color w:val="auto"/>
          <w:kern w:val="0"/>
          <w:u w:val="none"/>
        </w:rPr>
        <w:instrText xml:space="preserve"> </w:instrText>
      </w:r>
      <w:r>
        <w:rPr>
          <w:rFonts w:hint="eastAsia"/>
          <w:color w:val="auto"/>
          <w:kern w:val="0"/>
          <w:u w:val="none"/>
        </w:rPr>
        <w:instrText xml:space="preserve">= 1 \* ROMAN</w:instrText>
      </w:r>
      <w:r>
        <w:rPr>
          <w:color w:val="auto"/>
          <w:kern w:val="0"/>
          <w:u w:val="none"/>
        </w:rPr>
        <w:instrText xml:space="preserve"> </w:instrText>
      </w:r>
      <w:r>
        <w:rPr>
          <w:color w:val="auto"/>
          <w:kern w:val="0"/>
          <w:u w:val="none"/>
        </w:rPr>
        <w:fldChar w:fldCharType="separate"/>
      </w:r>
      <w:r>
        <w:rPr>
          <w:color w:val="auto"/>
          <w:kern w:val="0"/>
          <w:u w:val="none"/>
        </w:rPr>
        <w:t>I</w:t>
      </w:r>
      <w:r>
        <w:rPr>
          <w:color w:val="auto"/>
          <w:kern w:val="0"/>
          <w:u w:val="none"/>
        </w:rPr>
        <w:fldChar w:fldCharType="end"/>
      </w:r>
      <w:r>
        <w:rPr>
          <w:rFonts w:hint="eastAsia"/>
          <w:color w:val="auto"/>
          <w:kern w:val="0"/>
          <w:u w:val="none"/>
        </w:rPr>
        <w:t>类、</w:t>
      </w:r>
      <w:r>
        <w:rPr>
          <w:color w:val="auto"/>
          <w:kern w:val="0"/>
          <w:u w:val="none"/>
        </w:rPr>
        <w:fldChar w:fldCharType="begin"/>
      </w:r>
      <w:r>
        <w:rPr>
          <w:color w:val="auto"/>
          <w:kern w:val="0"/>
          <w:u w:val="none"/>
        </w:rPr>
        <w:instrText xml:space="preserve"> </w:instrText>
      </w:r>
      <w:r>
        <w:rPr>
          <w:rFonts w:hint="eastAsia"/>
          <w:color w:val="auto"/>
          <w:kern w:val="0"/>
          <w:u w:val="none"/>
        </w:rPr>
        <w:instrText xml:space="preserve">= 2 \* ROMAN</w:instrText>
      </w:r>
      <w:r>
        <w:rPr>
          <w:color w:val="auto"/>
          <w:kern w:val="0"/>
          <w:u w:val="none"/>
        </w:rPr>
        <w:instrText xml:space="preserve"> </w:instrText>
      </w:r>
      <w:r>
        <w:rPr>
          <w:color w:val="auto"/>
          <w:kern w:val="0"/>
          <w:u w:val="none"/>
        </w:rPr>
        <w:fldChar w:fldCharType="separate"/>
      </w:r>
      <w:r>
        <w:rPr>
          <w:color w:val="auto"/>
          <w:kern w:val="0"/>
          <w:u w:val="none"/>
        </w:rPr>
        <w:t>II</w:t>
      </w:r>
      <w:r>
        <w:rPr>
          <w:color w:val="auto"/>
          <w:kern w:val="0"/>
          <w:u w:val="none"/>
        </w:rPr>
        <w:fldChar w:fldCharType="end"/>
      </w:r>
      <w:r>
        <w:rPr>
          <w:rFonts w:hint="eastAsia"/>
          <w:color w:val="auto"/>
          <w:kern w:val="0"/>
          <w:u w:val="none"/>
        </w:rPr>
        <w:t>类、</w:t>
      </w:r>
      <w:r>
        <w:rPr>
          <w:color w:val="auto"/>
          <w:kern w:val="0"/>
          <w:u w:val="none"/>
        </w:rPr>
        <w:fldChar w:fldCharType="begin"/>
      </w:r>
      <w:r>
        <w:rPr>
          <w:color w:val="auto"/>
          <w:kern w:val="0"/>
          <w:u w:val="none"/>
        </w:rPr>
        <w:instrText xml:space="preserve"> </w:instrText>
      </w:r>
      <w:r>
        <w:rPr>
          <w:rFonts w:hint="eastAsia"/>
          <w:color w:val="auto"/>
          <w:kern w:val="0"/>
          <w:u w:val="none"/>
        </w:rPr>
        <w:instrText xml:space="preserve">= 3 \* ROMAN</w:instrText>
      </w:r>
      <w:r>
        <w:rPr>
          <w:color w:val="auto"/>
          <w:kern w:val="0"/>
          <w:u w:val="none"/>
        </w:rPr>
        <w:instrText xml:space="preserve"> </w:instrText>
      </w:r>
      <w:r>
        <w:rPr>
          <w:color w:val="auto"/>
          <w:kern w:val="0"/>
          <w:u w:val="none"/>
        </w:rPr>
        <w:fldChar w:fldCharType="separate"/>
      </w:r>
      <w:r>
        <w:rPr>
          <w:color w:val="auto"/>
          <w:kern w:val="0"/>
          <w:u w:val="none"/>
        </w:rPr>
        <w:t>III</w:t>
      </w:r>
      <w:r>
        <w:rPr>
          <w:color w:val="auto"/>
          <w:kern w:val="0"/>
          <w:u w:val="none"/>
        </w:rPr>
        <w:fldChar w:fldCharType="end"/>
      </w:r>
      <w:r>
        <w:rPr>
          <w:rFonts w:hint="eastAsia"/>
          <w:color w:val="auto"/>
          <w:kern w:val="0"/>
          <w:u w:val="none"/>
        </w:rPr>
        <w:t>类建设项目的地下水环境影响评价执行本标准，</w:t>
      </w:r>
      <w:r>
        <w:rPr>
          <w:color w:val="auto"/>
          <w:kern w:val="0"/>
          <w:u w:val="none"/>
        </w:rPr>
        <w:fldChar w:fldCharType="begin"/>
      </w:r>
      <w:r>
        <w:rPr>
          <w:color w:val="auto"/>
          <w:kern w:val="0"/>
          <w:u w:val="none"/>
        </w:rPr>
        <w:instrText xml:space="preserve"> </w:instrText>
      </w:r>
      <w:r>
        <w:rPr>
          <w:rFonts w:hint="eastAsia"/>
          <w:color w:val="auto"/>
          <w:kern w:val="0"/>
          <w:u w:val="none"/>
        </w:rPr>
        <w:instrText xml:space="preserve">= 4 \* ROMAN</w:instrText>
      </w:r>
      <w:r>
        <w:rPr>
          <w:color w:val="auto"/>
          <w:kern w:val="0"/>
          <w:u w:val="none"/>
        </w:rPr>
        <w:instrText xml:space="preserve"> </w:instrText>
      </w:r>
      <w:r>
        <w:rPr>
          <w:color w:val="auto"/>
          <w:kern w:val="0"/>
          <w:u w:val="none"/>
        </w:rPr>
        <w:fldChar w:fldCharType="separate"/>
      </w:r>
      <w:r>
        <w:rPr>
          <w:color w:val="auto"/>
          <w:kern w:val="0"/>
          <w:u w:val="none"/>
        </w:rPr>
        <w:t>IV</w:t>
      </w:r>
      <w:r>
        <w:rPr>
          <w:color w:val="auto"/>
          <w:kern w:val="0"/>
          <w:u w:val="none"/>
        </w:rPr>
        <w:fldChar w:fldCharType="end"/>
      </w:r>
      <w:r>
        <w:rPr>
          <w:rFonts w:hint="eastAsia"/>
          <w:color w:val="auto"/>
          <w:kern w:val="0"/>
          <w:u w:val="none"/>
        </w:rPr>
        <w:t>类建设项目不开展地下水环境评价。</w:t>
      </w:r>
    </w:p>
    <w:p>
      <w:pPr>
        <w:ind w:firstLine="480"/>
        <w:jc w:val="both"/>
        <w:rPr>
          <w:color w:val="auto"/>
          <w:kern w:val="0"/>
          <w:u w:val="none"/>
        </w:rPr>
      </w:pPr>
      <w:r>
        <w:rPr>
          <w:rFonts w:hint="eastAsia"/>
          <w:color w:val="auto"/>
          <w:kern w:val="0"/>
          <w:u w:val="none"/>
        </w:rPr>
        <w:t>地下水环境影响评价工作等级的划分应依据建设项目行业分类和地下水环境敏感程度分级进行判定，可划分为一、二、三级。建设项目的地下水敏感程度可分为敏感、较敏感、不敏感三级，分级原则见表1.7</w:t>
      </w:r>
      <w:r>
        <w:rPr>
          <w:color w:val="auto"/>
          <w:kern w:val="0"/>
          <w:u w:val="none"/>
        </w:rPr>
        <w:t>-</w:t>
      </w:r>
      <w:r>
        <w:rPr>
          <w:rFonts w:hint="eastAsia"/>
          <w:color w:val="auto"/>
          <w:kern w:val="0"/>
          <w:u w:val="none"/>
          <w:lang w:val="en-US" w:eastAsia="zh-CN"/>
        </w:rPr>
        <w:t>7</w:t>
      </w:r>
      <w:r>
        <w:rPr>
          <w:rFonts w:hint="eastAsia"/>
          <w:color w:val="auto"/>
          <w:kern w:val="0"/>
          <w:u w:val="none"/>
        </w:rPr>
        <w:t>。评价等级分级见表1</w:t>
      </w:r>
      <w:r>
        <w:rPr>
          <w:color w:val="auto"/>
          <w:kern w:val="0"/>
          <w:u w:val="none"/>
        </w:rPr>
        <w:t>.</w:t>
      </w:r>
      <w:r>
        <w:rPr>
          <w:rFonts w:hint="eastAsia"/>
          <w:color w:val="auto"/>
          <w:kern w:val="0"/>
          <w:u w:val="none"/>
        </w:rPr>
        <w:t>7-</w:t>
      </w:r>
      <w:r>
        <w:rPr>
          <w:rFonts w:hint="eastAsia"/>
          <w:color w:val="auto"/>
          <w:kern w:val="0"/>
          <w:u w:val="none"/>
          <w:lang w:val="en-US" w:eastAsia="zh-CN"/>
        </w:rPr>
        <w:t>8</w:t>
      </w:r>
      <w:r>
        <w:rPr>
          <w:rFonts w:hint="eastAsia"/>
          <w:color w:val="auto"/>
          <w:kern w:val="0"/>
          <w:u w:val="none"/>
        </w:rPr>
        <w:t>。</w:t>
      </w:r>
    </w:p>
    <w:p>
      <w:pPr>
        <w:pStyle w:val="103"/>
        <w:rPr>
          <w:color w:val="auto"/>
          <w:u w:val="none"/>
        </w:rPr>
      </w:pPr>
      <w:r>
        <w:rPr>
          <w:rFonts w:hint="eastAsia"/>
          <w:color w:val="auto"/>
          <w:u w:val="none"/>
        </w:rPr>
        <w:t>表1.7-</w:t>
      </w:r>
      <w:r>
        <w:rPr>
          <w:rFonts w:hint="eastAsia"/>
          <w:color w:val="auto"/>
          <w:u w:val="none"/>
          <w:lang w:val="en-US" w:eastAsia="zh-CN"/>
        </w:rPr>
        <w:t>7</w:t>
      </w:r>
      <w:r>
        <w:rPr>
          <w:color w:val="auto"/>
          <w:u w:val="none"/>
        </w:rPr>
        <w:t xml:space="preserve">  </w:t>
      </w:r>
      <w:r>
        <w:rPr>
          <w:rFonts w:hint="eastAsia"/>
          <w:color w:val="auto"/>
          <w:u w:val="none"/>
        </w:rPr>
        <w:t>地下水环境敏感程度分级表</w:t>
      </w:r>
    </w:p>
    <w:tbl>
      <w:tblPr>
        <w:tblStyle w:val="36"/>
        <w:tblW w:w="8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7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64" w:type="dxa"/>
            <w:noWrap w:val="0"/>
            <w:vAlign w:val="center"/>
          </w:tcPr>
          <w:p>
            <w:pPr>
              <w:pStyle w:val="13"/>
              <w:rPr>
                <w:b/>
                <w:color w:val="auto"/>
                <w:sz w:val="21"/>
                <w:szCs w:val="21"/>
                <w:u w:val="none"/>
              </w:rPr>
            </w:pPr>
            <w:r>
              <w:rPr>
                <w:rFonts w:hint="eastAsia"/>
                <w:b/>
                <w:color w:val="auto"/>
                <w:sz w:val="21"/>
                <w:szCs w:val="21"/>
                <w:u w:val="none"/>
              </w:rPr>
              <w:t>敏感程度</w:t>
            </w:r>
          </w:p>
        </w:tc>
        <w:tc>
          <w:tcPr>
            <w:tcW w:w="7419" w:type="dxa"/>
            <w:noWrap w:val="0"/>
            <w:vAlign w:val="center"/>
          </w:tcPr>
          <w:p>
            <w:pPr>
              <w:pStyle w:val="13"/>
              <w:rPr>
                <w:b/>
                <w:color w:val="auto"/>
                <w:sz w:val="21"/>
                <w:szCs w:val="21"/>
                <w:u w:val="none"/>
              </w:rPr>
            </w:pPr>
            <w:r>
              <w:rPr>
                <w:rFonts w:hint="eastAsia"/>
                <w:b/>
                <w:color w:val="auto"/>
                <w:sz w:val="21"/>
                <w:szCs w:val="21"/>
                <w:u w:val="none"/>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064" w:type="dxa"/>
            <w:noWrap w:val="0"/>
            <w:vAlign w:val="center"/>
          </w:tcPr>
          <w:p>
            <w:pPr>
              <w:pStyle w:val="13"/>
              <w:rPr>
                <w:color w:val="auto"/>
                <w:u w:val="none"/>
              </w:rPr>
            </w:pPr>
            <w:r>
              <w:rPr>
                <w:rFonts w:hint="eastAsia"/>
                <w:color w:val="auto"/>
                <w:u w:val="none"/>
              </w:rPr>
              <w:t>敏感</w:t>
            </w:r>
          </w:p>
        </w:tc>
        <w:tc>
          <w:tcPr>
            <w:tcW w:w="7419" w:type="dxa"/>
            <w:noWrap w:val="0"/>
            <w:vAlign w:val="center"/>
          </w:tcPr>
          <w:p>
            <w:pPr>
              <w:pStyle w:val="71"/>
              <w:ind w:firstLine="0" w:firstLineChars="0"/>
              <w:jc w:val="center"/>
              <w:rPr>
                <w:color w:val="auto"/>
                <w:kern w:val="0"/>
                <w:u w:val="none"/>
              </w:rPr>
            </w:pPr>
            <w:r>
              <w:rPr>
                <w:rFonts w:hint="eastAsia"/>
                <w:color w:val="auto"/>
                <w:kern w:val="0"/>
                <w:u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064" w:type="dxa"/>
            <w:noWrap w:val="0"/>
            <w:vAlign w:val="center"/>
          </w:tcPr>
          <w:p>
            <w:pPr>
              <w:pStyle w:val="13"/>
              <w:rPr>
                <w:color w:val="auto"/>
                <w:u w:val="none"/>
              </w:rPr>
            </w:pPr>
            <w:r>
              <w:rPr>
                <w:rFonts w:hint="eastAsia"/>
                <w:color w:val="auto"/>
                <w:u w:val="none"/>
              </w:rPr>
              <w:t>较敏感</w:t>
            </w:r>
          </w:p>
        </w:tc>
        <w:tc>
          <w:tcPr>
            <w:tcW w:w="7419" w:type="dxa"/>
            <w:noWrap w:val="0"/>
            <w:vAlign w:val="center"/>
          </w:tcPr>
          <w:p>
            <w:pPr>
              <w:pStyle w:val="71"/>
              <w:ind w:firstLine="0" w:firstLineChars="0"/>
              <w:jc w:val="center"/>
              <w:rPr>
                <w:color w:val="auto"/>
                <w:kern w:val="0"/>
                <w:u w:val="none"/>
              </w:rPr>
            </w:pPr>
            <w:r>
              <w:rPr>
                <w:rFonts w:hint="eastAsia"/>
                <w:color w:val="auto"/>
                <w:kern w:val="0"/>
                <w:u w:val="none"/>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64" w:type="dxa"/>
            <w:noWrap w:val="0"/>
            <w:vAlign w:val="center"/>
          </w:tcPr>
          <w:p>
            <w:pPr>
              <w:pStyle w:val="13"/>
              <w:rPr>
                <w:color w:val="auto"/>
                <w:sz w:val="21"/>
                <w:szCs w:val="21"/>
                <w:u w:val="none"/>
              </w:rPr>
            </w:pPr>
            <w:r>
              <w:rPr>
                <w:rFonts w:hint="eastAsia"/>
                <w:color w:val="auto"/>
                <w:sz w:val="21"/>
                <w:szCs w:val="21"/>
                <w:u w:val="none"/>
              </w:rPr>
              <w:t>不敏感</w:t>
            </w:r>
          </w:p>
        </w:tc>
        <w:tc>
          <w:tcPr>
            <w:tcW w:w="7419" w:type="dxa"/>
            <w:noWrap w:val="0"/>
            <w:vAlign w:val="center"/>
          </w:tcPr>
          <w:p>
            <w:pPr>
              <w:pStyle w:val="13"/>
              <w:rPr>
                <w:color w:val="auto"/>
                <w:sz w:val="21"/>
                <w:szCs w:val="21"/>
                <w:u w:val="none"/>
              </w:rPr>
            </w:pPr>
            <w:r>
              <w:rPr>
                <w:rFonts w:hint="eastAsia"/>
                <w:color w:val="auto"/>
                <w:sz w:val="21"/>
                <w:szCs w:val="21"/>
                <w:u w:val="none"/>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483" w:type="dxa"/>
            <w:gridSpan w:val="2"/>
            <w:noWrap w:val="0"/>
            <w:vAlign w:val="center"/>
          </w:tcPr>
          <w:p>
            <w:pPr>
              <w:pStyle w:val="71"/>
              <w:ind w:firstLine="420"/>
              <w:rPr>
                <w:color w:val="auto"/>
                <w:kern w:val="0"/>
                <w:u w:val="none"/>
              </w:rPr>
            </w:pPr>
            <w:r>
              <w:rPr>
                <w:rFonts w:hint="eastAsia"/>
                <w:color w:val="auto"/>
                <w:kern w:val="0"/>
                <w:u w:val="none"/>
              </w:rPr>
              <w:t>注：</w:t>
            </w:r>
            <w:r>
              <w:rPr>
                <w:color w:val="auto"/>
                <w:kern w:val="0"/>
                <w:u w:val="none"/>
              </w:rPr>
              <w:t>a</w:t>
            </w:r>
            <w:r>
              <w:rPr>
                <w:rFonts w:hint="eastAsia"/>
                <w:color w:val="auto"/>
                <w:kern w:val="0"/>
                <w:u w:val="none"/>
              </w:rPr>
              <w:t>“环境敏感区”是指《建设项目环境影响评价分类管理名录》中所界定的涉及地下水的环境敏感区。</w:t>
            </w:r>
          </w:p>
        </w:tc>
      </w:tr>
    </w:tbl>
    <w:p>
      <w:pPr>
        <w:pStyle w:val="103"/>
        <w:rPr>
          <w:color w:val="auto"/>
          <w:u w:val="none"/>
        </w:rPr>
      </w:pPr>
      <w:r>
        <w:rPr>
          <w:rFonts w:hint="eastAsia"/>
          <w:color w:val="auto"/>
          <w:u w:val="none"/>
        </w:rPr>
        <w:t>表1.7-</w:t>
      </w:r>
      <w:r>
        <w:rPr>
          <w:rFonts w:hint="eastAsia"/>
          <w:color w:val="auto"/>
          <w:u w:val="none"/>
          <w:lang w:val="en-US" w:eastAsia="zh-CN"/>
        </w:rPr>
        <w:t>8</w:t>
      </w:r>
      <w:r>
        <w:rPr>
          <w:color w:val="auto"/>
          <w:u w:val="none"/>
        </w:rPr>
        <w:t xml:space="preserve">  </w:t>
      </w:r>
      <w:r>
        <w:rPr>
          <w:rFonts w:hint="eastAsia"/>
          <w:color w:val="auto"/>
          <w:u w:val="none"/>
        </w:rPr>
        <w:t>评价工作等级表</w:t>
      </w:r>
    </w:p>
    <w:tbl>
      <w:tblPr>
        <w:tblStyle w:val="36"/>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2042"/>
        <w:gridCol w:w="2042"/>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280" w:type="dxa"/>
            <w:tcBorders>
              <w:bottom w:val="single" w:color="auto" w:sz="4" w:space="0"/>
              <w:tl2br w:val="single" w:color="auto" w:sz="4" w:space="0"/>
            </w:tcBorders>
            <w:noWrap w:val="0"/>
            <w:vAlign w:val="center"/>
          </w:tcPr>
          <w:p>
            <w:pPr>
              <w:pStyle w:val="13"/>
              <w:rPr>
                <w:b/>
                <w:color w:val="auto"/>
                <w:sz w:val="21"/>
                <w:szCs w:val="21"/>
                <w:u w:val="none"/>
              </w:rPr>
            </w:pPr>
            <w:r>
              <w:rPr>
                <w:rFonts w:hint="eastAsia"/>
                <w:b/>
                <w:color w:val="auto"/>
                <w:sz w:val="21"/>
                <w:szCs w:val="21"/>
                <w:u w:val="none"/>
              </w:rPr>
              <w:t xml:space="preserve">     </w:t>
            </w:r>
            <w:r>
              <w:rPr>
                <w:b/>
                <w:color w:val="auto"/>
                <w:sz w:val="21"/>
                <w:szCs w:val="21"/>
                <w:u w:val="none"/>
              </w:rPr>
              <w:t xml:space="preserve">     </w:t>
            </w:r>
            <w:r>
              <w:rPr>
                <w:rFonts w:hint="eastAsia"/>
                <w:b/>
                <w:color w:val="auto"/>
                <w:sz w:val="21"/>
                <w:szCs w:val="21"/>
                <w:u w:val="none"/>
              </w:rPr>
              <w:t>项目类别</w:t>
            </w:r>
          </w:p>
          <w:p>
            <w:pPr>
              <w:pStyle w:val="13"/>
              <w:jc w:val="both"/>
              <w:rPr>
                <w:b/>
                <w:color w:val="auto"/>
                <w:sz w:val="21"/>
                <w:szCs w:val="21"/>
                <w:u w:val="none"/>
              </w:rPr>
            </w:pPr>
            <w:r>
              <w:rPr>
                <w:b/>
                <w:color w:val="auto"/>
                <w:sz w:val="21"/>
                <w:szCs w:val="21"/>
                <w:u w:val="none"/>
              </w:rPr>
              <w:t>环境敏感程度</w:t>
            </w:r>
          </w:p>
        </w:tc>
        <w:tc>
          <w:tcPr>
            <w:tcW w:w="2042" w:type="dxa"/>
            <w:noWrap w:val="0"/>
            <w:vAlign w:val="center"/>
          </w:tcPr>
          <w:p>
            <w:pPr>
              <w:pStyle w:val="13"/>
              <w:rPr>
                <w:b/>
                <w:color w:val="auto"/>
                <w:sz w:val="21"/>
                <w:szCs w:val="21"/>
                <w:u w:val="none"/>
              </w:rPr>
            </w:pPr>
            <w:r>
              <w:rPr>
                <w:b/>
                <w:color w:val="auto"/>
                <w:sz w:val="21"/>
                <w:szCs w:val="21"/>
                <w:u w:val="none"/>
              </w:rPr>
              <w:fldChar w:fldCharType="begin"/>
            </w:r>
            <w:r>
              <w:rPr>
                <w:b/>
                <w:color w:val="auto"/>
                <w:sz w:val="21"/>
                <w:szCs w:val="21"/>
                <w:u w:val="none"/>
              </w:rPr>
              <w:instrText xml:space="preserve"> </w:instrText>
            </w:r>
            <w:r>
              <w:rPr>
                <w:rFonts w:hint="eastAsia"/>
                <w:b/>
                <w:color w:val="auto"/>
                <w:sz w:val="21"/>
                <w:szCs w:val="21"/>
                <w:u w:val="none"/>
              </w:rPr>
              <w:instrText xml:space="preserve">= 1 \* ROMAN</w:instrText>
            </w:r>
            <w:r>
              <w:rPr>
                <w:b/>
                <w:color w:val="auto"/>
                <w:sz w:val="21"/>
                <w:szCs w:val="21"/>
                <w:u w:val="none"/>
              </w:rPr>
              <w:instrText xml:space="preserve"> </w:instrText>
            </w:r>
            <w:r>
              <w:rPr>
                <w:b/>
                <w:color w:val="auto"/>
                <w:sz w:val="21"/>
                <w:szCs w:val="21"/>
                <w:u w:val="none"/>
              </w:rPr>
              <w:fldChar w:fldCharType="separate"/>
            </w:r>
            <w:r>
              <w:rPr>
                <w:b/>
                <w:color w:val="auto"/>
                <w:sz w:val="21"/>
                <w:szCs w:val="21"/>
                <w:u w:val="none"/>
              </w:rPr>
              <w:t>I</w:t>
            </w:r>
            <w:r>
              <w:rPr>
                <w:b/>
                <w:color w:val="auto"/>
                <w:sz w:val="21"/>
                <w:szCs w:val="21"/>
                <w:u w:val="none"/>
              </w:rPr>
              <w:fldChar w:fldCharType="end"/>
            </w:r>
            <w:r>
              <w:rPr>
                <w:rFonts w:hint="eastAsia"/>
                <w:b/>
                <w:color w:val="auto"/>
                <w:sz w:val="21"/>
                <w:szCs w:val="21"/>
                <w:u w:val="none"/>
              </w:rPr>
              <w:t>类项目</w:t>
            </w:r>
          </w:p>
        </w:tc>
        <w:tc>
          <w:tcPr>
            <w:tcW w:w="2042" w:type="dxa"/>
            <w:noWrap w:val="0"/>
            <w:vAlign w:val="center"/>
          </w:tcPr>
          <w:p>
            <w:pPr>
              <w:pStyle w:val="13"/>
              <w:rPr>
                <w:b/>
                <w:color w:val="auto"/>
                <w:sz w:val="21"/>
                <w:szCs w:val="21"/>
                <w:u w:val="none"/>
              </w:rPr>
            </w:pPr>
            <w:r>
              <w:rPr>
                <w:b/>
                <w:color w:val="auto"/>
                <w:sz w:val="21"/>
                <w:szCs w:val="21"/>
                <w:u w:val="none"/>
              </w:rPr>
              <w:fldChar w:fldCharType="begin"/>
            </w:r>
            <w:r>
              <w:rPr>
                <w:b/>
                <w:color w:val="auto"/>
                <w:sz w:val="21"/>
                <w:szCs w:val="21"/>
                <w:u w:val="none"/>
              </w:rPr>
              <w:instrText xml:space="preserve"> </w:instrText>
            </w:r>
            <w:r>
              <w:rPr>
                <w:rFonts w:hint="eastAsia"/>
                <w:b/>
                <w:color w:val="auto"/>
                <w:sz w:val="21"/>
                <w:szCs w:val="21"/>
                <w:u w:val="none"/>
              </w:rPr>
              <w:instrText xml:space="preserve">= 2 \* ROMAN</w:instrText>
            </w:r>
            <w:r>
              <w:rPr>
                <w:b/>
                <w:color w:val="auto"/>
                <w:sz w:val="21"/>
                <w:szCs w:val="21"/>
                <w:u w:val="none"/>
              </w:rPr>
              <w:instrText xml:space="preserve"> </w:instrText>
            </w:r>
            <w:r>
              <w:rPr>
                <w:b/>
                <w:color w:val="auto"/>
                <w:sz w:val="21"/>
                <w:szCs w:val="21"/>
                <w:u w:val="none"/>
              </w:rPr>
              <w:fldChar w:fldCharType="separate"/>
            </w:r>
            <w:r>
              <w:rPr>
                <w:b/>
                <w:color w:val="auto"/>
                <w:sz w:val="21"/>
                <w:szCs w:val="21"/>
                <w:u w:val="none"/>
              </w:rPr>
              <w:t>II</w:t>
            </w:r>
            <w:r>
              <w:rPr>
                <w:b/>
                <w:color w:val="auto"/>
                <w:sz w:val="21"/>
                <w:szCs w:val="21"/>
                <w:u w:val="none"/>
              </w:rPr>
              <w:fldChar w:fldCharType="end"/>
            </w:r>
            <w:r>
              <w:rPr>
                <w:rFonts w:hint="eastAsia"/>
                <w:b/>
                <w:color w:val="auto"/>
                <w:sz w:val="21"/>
                <w:szCs w:val="21"/>
                <w:u w:val="none"/>
              </w:rPr>
              <w:t>类项目</w:t>
            </w:r>
          </w:p>
        </w:tc>
        <w:tc>
          <w:tcPr>
            <w:tcW w:w="2042" w:type="dxa"/>
            <w:noWrap w:val="0"/>
            <w:vAlign w:val="center"/>
          </w:tcPr>
          <w:p>
            <w:pPr>
              <w:pStyle w:val="13"/>
              <w:rPr>
                <w:b/>
                <w:color w:val="auto"/>
                <w:sz w:val="21"/>
                <w:szCs w:val="21"/>
                <w:u w:val="none"/>
              </w:rPr>
            </w:pPr>
            <w:r>
              <w:rPr>
                <w:b/>
                <w:color w:val="auto"/>
                <w:sz w:val="21"/>
                <w:szCs w:val="21"/>
                <w:u w:val="none"/>
              </w:rPr>
              <w:fldChar w:fldCharType="begin"/>
            </w:r>
            <w:r>
              <w:rPr>
                <w:b/>
                <w:color w:val="auto"/>
                <w:sz w:val="21"/>
                <w:szCs w:val="21"/>
                <w:u w:val="none"/>
              </w:rPr>
              <w:instrText xml:space="preserve"> </w:instrText>
            </w:r>
            <w:r>
              <w:rPr>
                <w:rFonts w:hint="eastAsia"/>
                <w:b/>
                <w:color w:val="auto"/>
                <w:sz w:val="21"/>
                <w:szCs w:val="21"/>
                <w:u w:val="none"/>
              </w:rPr>
              <w:instrText xml:space="preserve">= 3 \* ROMAN</w:instrText>
            </w:r>
            <w:r>
              <w:rPr>
                <w:b/>
                <w:color w:val="auto"/>
                <w:sz w:val="21"/>
                <w:szCs w:val="21"/>
                <w:u w:val="none"/>
              </w:rPr>
              <w:instrText xml:space="preserve"> </w:instrText>
            </w:r>
            <w:r>
              <w:rPr>
                <w:b/>
                <w:color w:val="auto"/>
                <w:sz w:val="21"/>
                <w:szCs w:val="21"/>
                <w:u w:val="none"/>
              </w:rPr>
              <w:fldChar w:fldCharType="separate"/>
            </w:r>
            <w:r>
              <w:rPr>
                <w:b/>
                <w:color w:val="auto"/>
                <w:sz w:val="21"/>
                <w:szCs w:val="21"/>
                <w:u w:val="none"/>
              </w:rPr>
              <w:t>III</w:t>
            </w:r>
            <w:r>
              <w:rPr>
                <w:b/>
                <w:color w:val="auto"/>
                <w:sz w:val="21"/>
                <w:szCs w:val="21"/>
                <w:u w:val="none"/>
              </w:rPr>
              <w:fldChar w:fldCharType="end"/>
            </w:r>
            <w:r>
              <w:rPr>
                <w:rFonts w:hint="eastAsia"/>
                <w:b/>
                <w:color w:val="auto"/>
                <w:sz w:val="21"/>
                <w:szCs w:val="21"/>
                <w:u w:val="none"/>
              </w:rPr>
              <w:t>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2280" w:type="dxa"/>
            <w:noWrap w:val="0"/>
            <w:vAlign w:val="center"/>
          </w:tcPr>
          <w:p>
            <w:pPr>
              <w:pStyle w:val="13"/>
              <w:rPr>
                <w:b/>
                <w:color w:val="auto"/>
                <w:sz w:val="21"/>
                <w:szCs w:val="21"/>
                <w:u w:val="none"/>
              </w:rPr>
            </w:pPr>
            <w:r>
              <w:rPr>
                <w:rFonts w:hint="eastAsia"/>
                <w:color w:val="auto"/>
                <w:sz w:val="21"/>
                <w:szCs w:val="21"/>
                <w:u w:val="none"/>
              </w:rPr>
              <w:t>敏感</w:t>
            </w:r>
          </w:p>
        </w:tc>
        <w:tc>
          <w:tcPr>
            <w:tcW w:w="2042" w:type="dxa"/>
            <w:noWrap w:val="0"/>
            <w:vAlign w:val="center"/>
          </w:tcPr>
          <w:p>
            <w:pPr>
              <w:pStyle w:val="13"/>
              <w:rPr>
                <w:color w:val="auto"/>
                <w:sz w:val="21"/>
                <w:szCs w:val="21"/>
                <w:u w:val="none"/>
              </w:rPr>
            </w:pPr>
            <w:r>
              <w:rPr>
                <w:rFonts w:hint="eastAsia"/>
                <w:color w:val="auto"/>
                <w:sz w:val="21"/>
                <w:szCs w:val="21"/>
                <w:u w:val="none"/>
              </w:rPr>
              <w:t>一</w:t>
            </w:r>
          </w:p>
        </w:tc>
        <w:tc>
          <w:tcPr>
            <w:tcW w:w="2042" w:type="dxa"/>
            <w:noWrap w:val="0"/>
            <w:vAlign w:val="center"/>
          </w:tcPr>
          <w:p>
            <w:pPr>
              <w:pStyle w:val="13"/>
              <w:rPr>
                <w:color w:val="auto"/>
                <w:sz w:val="21"/>
                <w:szCs w:val="21"/>
                <w:u w:val="none"/>
              </w:rPr>
            </w:pPr>
            <w:r>
              <w:rPr>
                <w:rFonts w:hint="eastAsia"/>
                <w:color w:val="auto"/>
                <w:sz w:val="21"/>
                <w:szCs w:val="21"/>
                <w:u w:val="none"/>
              </w:rPr>
              <w:t>一</w:t>
            </w:r>
          </w:p>
        </w:tc>
        <w:tc>
          <w:tcPr>
            <w:tcW w:w="2042" w:type="dxa"/>
            <w:noWrap w:val="0"/>
            <w:vAlign w:val="center"/>
          </w:tcPr>
          <w:p>
            <w:pPr>
              <w:pStyle w:val="13"/>
              <w:rPr>
                <w:color w:val="auto"/>
                <w:sz w:val="21"/>
                <w:szCs w:val="21"/>
                <w:u w:val="none"/>
              </w:rPr>
            </w:pPr>
            <w:r>
              <w:rPr>
                <w:rFonts w:hint="eastAsia"/>
                <w:color w:val="auto"/>
                <w:sz w:val="21"/>
                <w:szCs w:val="21"/>
                <w:u w:val="none"/>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2280" w:type="dxa"/>
            <w:noWrap w:val="0"/>
            <w:vAlign w:val="center"/>
          </w:tcPr>
          <w:p>
            <w:pPr>
              <w:pStyle w:val="13"/>
              <w:rPr>
                <w:b/>
                <w:color w:val="auto"/>
                <w:sz w:val="21"/>
                <w:szCs w:val="21"/>
                <w:u w:val="none"/>
              </w:rPr>
            </w:pPr>
            <w:r>
              <w:rPr>
                <w:rFonts w:hint="eastAsia"/>
                <w:color w:val="auto"/>
                <w:sz w:val="21"/>
                <w:szCs w:val="21"/>
                <w:u w:val="none"/>
              </w:rPr>
              <w:t>较敏感</w:t>
            </w:r>
          </w:p>
        </w:tc>
        <w:tc>
          <w:tcPr>
            <w:tcW w:w="2042" w:type="dxa"/>
            <w:noWrap w:val="0"/>
            <w:vAlign w:val="center"/>
          </w:tcPr>
          <w:p>
            <w:pPr>
              <w:pStyle w:val="13"/>
              <w:rPr>
                <w:color w:val="auto"/>
                <w:sz w:val="21"/>
                <w:szCs w:val="21"/>
                <w:u w:val="none"/>
              </w:rPr>
            </w:pPr>
            <w:r>
              <w:rPr>
                <w:rFonts w:hint="eastAsia"/>
                <w:color w:val="auto"/>
                <w:sz w:val="21"/>
                <w:szCs w:val="21"/>
                <w:u w:val="none"/>
              </w:rPr>
              <w:t>一</w:t>
            </w:r>
          </w:p>
        </w:tc>
        <w:tc>
          <w:tcPr>
            <w:tcW w:w="2042" w:type="dxa"/>
            <w:noWrap w:val="0"/>
            <w:vAlign w:val="center"/>
          </w:tcPr>
          <w:p>
            <w:pPr>
              <w:pStyle w:val="13"/>
              <w:rPr>
                <w:color w:val="auto"/>
                <w:sz w:val="21"/>
                <w:szCs w:val="21"/>
                <w:u w:val="none"/>
              </w:rPr>
            </w:pPr>
            <w:r>
              <w:rPr>
                <w:rFonts w:hint="eastAsia"/>
                <w:color w:val="auto"/>
                <w:sz w:val="21"/>
                <w:szCs w:val="21"/>
                <w:u w:val="none"/>
              </w:rPr>
              <w:t>二</w:t>
            </w:r>
          </w:p>
        </w:tc>
        <w:tc>
          <w:tcPr>
            <w:tcW w:w="2042" w:type="dxa"/>
            <w:noWrap w:val="0"/>
            <w:vAlign w:val="center"/>
          </w:tcPr>
          <w:p>
            <w:pPr>
              <w:pStyle w:val="13"/>
              <w:rPr>
                <w:color w:val="auto"/>
                <w:sz w:val="21"/>
                <w:szCs w:val="21"/>
                <w:u w:val="none"/>
              </w:rPr>
            </w:pPr>
            <w:r>
              <w:rPr>
                <w:rFonts w:hint="eastAsia"/>
                <w:color w:val="auto"/>
                <w:sz w:val="21"/>
                <w:szCs w:val="21"/>
                <w:u w:val="none"/>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2280" w:type="dxa"/>
            <w:tcBorders>
              <w:bottom w:val="single" w:color="auto" w:sz="12" w:space="0"/>
            </w:tcBorders>
            <w:noWrap w:val="0"/>
            <w:vAlign w:val="center"/>
          </w:tcPr>
          <w:p>
            <w:pPr>
              <w:pStyle w:val="13"/>
              <w:rPr>
                <w:b/>
                <w:color w:val="auto"/>
                <w:sz w:val="21"/>
                <w:szCs w:val="21"/>
                <w:u w:val="none"/>
              </w:rPr>
            </w:pPr>
            <w:r>
              <w:rPr>
                <w:rFonts w:hint="eastAsia"/>
                <w:color w:val="auto"/>
                <w:sz w:val="21"/>
                <w:szCs w:val="21"/>
                <w:u w:val="none"/>
              </w:rPr>
              <w:t>不敏感</w:t>
            </w:r>
          </w:p>
        </w:tc>
        <w:tc>
          <w:tcPr>
            <w:tcW w:w="2042" w:type="dxa"/>
            <w:tcBorders>
              <w:bottom w:val="single" w:color="auto" w:sz="12" w:space="0"/>
            </w:tcBorders>
            <w:noWrap w:val="0"/>
            <w:vAlign w:val="center"/>
          </w:tcPr>
          <w:p>
            <w:pPr>
              <w:pStyle w:val="13"/>
              <w:rPr>
                <w:color w:val="auto"/>
                <w:sz w:val="21"/>
                <w:szCs w:val="21"/>
                <w:u w:val="none"/>
              </w:rPr>
            </w:pPr>
            <w:r>
              <w:rPr>
                <w:rFonts w:hint="eastAsia"/>
                <w:color w:val="auto"/>
                <w:sz w:val="21"/>
                <w:szCs w:val="21"/>
                <w:u w:val="none"/>
              </w:rPr>
              <w:t>二</w:t>
            </w:r>
          </w:p>
        </w:tc>
        <w:tc>
          <w:tcPr>
            <w:tcW w:w="2042" w:type="dxa"/>
            <w:tcBorders>
              <w:bottom w:val="single" w:color="auto" w:sz="12" w:space="0"/>
            </w:tcBorders>
            <w:noWrap w:val="0"/>
            <w:vAlign w:val="center"/>
          </w:tcPr>
          <w:p>
            <w:pPr>
              <w:pStyle w:val="13"/>
              <w:rPr>
                <w:color w:val="auto"/>
                <w:sz w:val="21"/>
                <w:szCs w:val="21"/>
                <w:u w:val="none"/>
              </w:rPr>
            </w:pPr>
            <w:r>
              <w:rPr>
                <w:rFonts w:hint="eastAsia"/>
                <w:color w:val="auto"/>
                <w:sz w:val="21"/>
                <w:szCs w:val="21"/>
                <w:u w:val="none"/>
              </w:rPr>
              <w:t>三</w:t>
            </w:r>
          </w:p>
        </w:tc>
        <w:tc>
          <w:tcPr>
            <w:tcW w:w="2042" w:type="dxa"/>
            <w:tcBorders>
              <w:bottom w:val="single" w:color="auto" w:sz="12" w:space="0"/>
            </w:tcBorders>
            <w:noWrap w:val="0"/>
            <w:vAlign w:val="center"/>
          </w:tcPr>
          <w:p>
            <w:pPr>
              <w:pStyle w:val="13"/>
              <w:rPr>
                <w:color w:val="auto"/>
                <w:sz w:val="21"/>
                <w:szCs w:val="21"/>
                <w:u w:val="none"/>
              </w:rPr>
            </w:pPr>
            <w:r>
              <w:rPr>
                <w:rFonts w:hint="eastAsia"/>
                <w:color w:val="auto"/>
                <w:sz w:val="21"/>
                <w:szCs w:val="21"/>
                <w:u w:val="none"/>
              </w:rPr>
              <w:t>三</w:t>
            </w:r>
          </w:p>
        </w:tc>
      </w:tr>
    </w:tbl>
    <w:p>
      <w:pPr>
        <w:tabs>
          <w:tab w:val="left" w:pos="3138"/>
        </w:tabs>
        <w:ind w:firstLine="480"/>
        <w:rPr>
          <w:rFonts w:hint="eastAsia"/>
          <w:b/>
          <w:color w:val="auto"/>
          <w:kern w:val="0"/>
          <w:u w:val="none"/>
        </w:rPr>
      </w:pPr>
      <w:r>
        <w:rPr>
          <w:rFonts w:hint="eastAsia"/>
          <w:color w:val="auto"/>
          <w:kern w:val="0"/>
          <w:u w:val="none"/>
        </w:rPr>
        <w:t>项目参照地下水环境影响评价分类管理行业分类表，确定本项目地下水环境影响评价项目类别为</w:t>
      </w:r>
      <w:r>
        <w:rPr>
          <w:color w:val="auto"/>
          <w:kern w:val="0"/>
          <w:u w:val="none"/>
        </w:rPr>
        <w:fldChar w:fldCharType="begin"/>
      </w:r>
      <w:r>
        <w:rPr>
          <w:color w:val="auto"/>
          <w:kern w:val="0"/>
          <w:u w:val="none"/>
        </w:rPr>
        <w:instrText xml:space="preserve"> </w:instrText>
      </w:r>
      <w:r>
        <w:rPr>
          <w:rFonts w:hint="eastAsia"/>
          <w:color w:val="auto"/>
          <w:kern w:val="0"/>
          <w:u w:val="none"/>
        </w:rPr>
        <w:instrText xml:space="preserve">= 1 \* ROMAN</w:instrText>
      </w:r>
      <w:r>
        <w:rPr>
          <w:color w:val="auto"/>
          <w:kern w:val="0"/>
          <w:u w:val="none"/>
        </w:rPr>
        <w:instrText xml:space="preserve"> </w:instrText>
      </w:r>
      <w:r>
        <w:rPr>
          <w:color w:val="auto"/>
          <w:kern w:val="0"/>
          <w:u w:val="none"/>
        </w:rPr>
        <w:fldChar w:fldCharType="separate"/>
      </w:r>
      <w:r>
        <w:rPr>
          <w:color w:val="auto"/>
          <w:kern w:val="0"/>
          <w:u w:val="none"/>
        </w:rPr>
        <w:t>I</w:t>
      </w:r>
      <w:r>
        <w:rPr>
          <w:color w:val="auto"/>
          <w:kern w:val="0"/>
          <w:u w:val="none"/>
        </w:rPr>
        <w:fldChar w:fldCharType="end"/>
      </w:r>
      <w:r>
        <w:rPr>
          <w:rFonts w:hint="eastAsia"/>
          <w:color w:val="auto"/>
          <w:kern w:val="0"/>
          <w:u w:val="none"/>
        </w:rPr>
        <w:t>类，具体见下表1.7</w:t>
      </w:r>
      <w:r>
        <w:rPr>
          <w:rFonts w:hint="eastAsia"/>
          <w:color w:val="auto"/>
          <w:kern w:val="0"/>
          <w:u w:val="none"/>
          <w:lang w:val="en-US" w:eastAsia="zh-CN"/>
        </w:rPr>
        <w:t>-9</w:t>
      </w:r>
      <w:r>
        <w:rPr>
          <w:rFonts w:hint="eastAsia"/>
          <w:color w:val="auto"/>
          <w:kern w:val="0"/>
          <w:u w:val="none"/>
        </w:rPr>
        <w:t>。</w:t>
      </w:r>
    </w:p>
    <w:p>
      <w:pPr>
        <w:tabs>
          <w:tab w:val="left" w:pos="3138"/>
        </w:tabs>
        <w:ind w:firstLine="422"/>
        <w:jc w:val="center"/>
        <w:rPr>
          <w:rFonts w:hint="eastAsia"/>
          <w:b/>
          <w:color w:val="auto"/>
          <w:kern w:val="0"/>
          <w:sz w:val="21"/>
          <w:szCs w:val="21"/>
          <w:u w:val="none"/>
        </w:rPr>
      </w:pPr>
      <w:r>
        <w:rPr>
          <w:rFonts w:hint="eastAsia"/>
          <w:b/>
          <w:color w:val="auto"/>
          <w:kern w:val="0"/>
          <w:sz w:val="21"/>
          <w:szCs w:val="21"/>
          <w:u w:val="none"/>
        </w:rPr>
        <w:t>表1.7-</w:t>
      </w:r>
      <w:r>
        <w:rPr>
          <w:rFonts w:hint="eastAsia"/>
          <w:b/>
          <w:color w:val="auto"/>
          <w:kern w:val="0"/>
          <w:sz w:val="21"/>
          <w:szCs w:val="21"/>
          <w:u w:val="none"/>
          <w:lang w:val="en-US" w:eastAsia="zh-CN"/>
        </w:rPr>
        <w:t>9</w:t>
      </w:r>
      <w:r>
        <w:rPr>
          <w:rFonts w:hint="eastAsia"/>
          <w:b/>
          <w:color w:val="auto"/>
          <w:kern w:val="0"/>
          <w:sz w:val="21"/>
          <w:szCs w:val="21"/>
          <w:u w:val="none"/>
        </w:rPr>
        <w:t xml:space="preserve"> 地下水环境影响评价行业分类表（摘选）</w:t>
      </w:r>
    </w:p>
    <w:tbl>
      <w:tblPr>
        <w:tblStyle w:val="36"/>
        <w:tblW w:w="8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1662"/>
        <w:gridCol w:w="1662"/>
        <w:gridCol w:w="163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44" w:type="dxa"/>
            <w:vMerge w:val="restart"/>
            <w:tcBorders>
              <w:tl2br w:val="single" w:color="auto" w:sz="4" w:space="0"/>
            </w:tcBorders>
            <w:noWrap w:val="0"/>
            <w:vAlign w:val="center"/>
          </w:tcPr>
          <w:p>
            <w:pPr>
              <w:pStyle w:val="13"/>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 xml:space="preserve">       环评类别</w:t>
            </w:r>
          </w:p>
          <w:p>
            <w:pPr>
              <w:pStyle w:val="13"/>
              <w:jc w:val="left"/>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行业类别</w:t>
            </w:r>
          </w:p>
        </w:tc>
        <w:tc>
          <w:tcPr>
            <w:tcW w:w="1662" w:type="dxa"/>
            <w:vMerge w:val="restart"/>
            <w:noWrap w:val="0"/>
            <w:vAlign w:val="center"/>
          </w:tcPr>
          <w:p>
            <w:pPr>
              <w:pStyle w:val="13"/>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报告表</w:t>
            </w:r>
          </w:p>
        </w:tc>
        <w:tc>
          <w:tcPr>
            <w:tcW w:w="1662" w:type="dxa"/>
            <w:vMerge w:val="restart"/>
            <w:noWrap w:val="0"/>
            <w:vAlign w:val="center"/>
          </w:tcPr>
          <w:p>
            <w:pPr>
              <w:pStyle w:val="13"/>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 xml:space="preserve"> 报告书</w:t>
            </w:r>
          </w:p>
        </w:tc>
        <w:tc>
          <w:tcPr>
            <w:tcW w:w="3254" w:type="dxa"/>
            <w:gridSpan w:val="2"/>
            <w:noWrap w:val="0"/>
            <w:vAlign w:val="center"/>
          </w:tcPr>
          <w:p>
            <w:pPr>
              <w:pStyle w:val="13"/>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 xml:space="preserve">地下水环境影响评价类别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844" w:type="dxa"/>
            <w:vMerge w:val="continue"/>
            <w:tcBorders>
              <w:tl2br w:val="single" w:color="auto" w:sz="4" w:space="0"/>
            </w:tcBorders>
            <w:noWrap w:val="0"/>
            <w:vAlign w:val="center"/>
          </w:tcPr>
          <w:p>
            <w:pPr>
              <w:pStyle w:val="13"/>
              <w:rPr>
                <w:rFonts w:hint="default" w:ascii="Times New Roman" w:hAnsi="Times New Roman" w:cs="Times New Roman"/>
                <w:b/>
                <w:color w:val="auto"/>
                <w:sz w:val="21"/>
                <w:szCs w:val="21"/>
                <w:u w:val="none"/>
              </w:rPr>
            </w:pPr>
          </w:p>
        </w:tc>
        <w:tc>
          <w:tcPr>
            <w:tcW w:w="1662" w:type="dxa"/>
            <w:vMerge w:val="continue"/>
            <w:noWrap w:val="0"/>
            <w:vAlign w:val="center"/>
          </w:tcPr>
          <w:p>
            <w:pPr>
              <w:pStyle w:val="13"/>
              <w:rPr>
                <w:rFonts w:hint="default" w:ascii="Times New Roman" w:hAnsi="Times New Roman" w:cs="Times New Roman"/>
                <w:b/>
                <w:color w:val="auto"/>
                <w:sz w:val="21"/>
                <w:szCs w:val="21"/>
                <w:u w:val="none"/>
              </w:rPr>
            </w:pPr>
          </w:p>
        </w:tc>
        <w:tc>
          <w:tcPr>
            <w:tcW w:w="1662" w:type="dxa"/>
            <w:vMerge w:val="continue"/>
            <w:noWrap w:val="0"/>
            <w:vAlign w:val="center"/>
          </w:tcPr>
          <w:p>
            <w:pPr>
              <w:pStyle w:val="13"/>
              <w:rPr>
                <w:rFonts w:hint="default" w:ascii="Times New Roman" w:hAnsi="Times New Roman" w:cs="Times New Roman"/>
                <w:b/>
                <w:color w:val="auto"/>
                <w:sz w:val="21"/>
                <w:szCs w:val="21"/>
                <w:u w:val="none"/>
              </w:rPr>
            </w:pPr>
          </w:p>
        </w:tc>
        <w:tc>
          <w:tcPr>
            <w:tcW w:w="1638" w:type="dxa"/>
            <w:noWrap w:val="0"/>
            <w:vAlign w:val="center"/>
          </w:tcPr>
          <w:p>
            <w:pPr>
              <w:pStyle w:val="13"/>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报告表</w:t>
            </w:r>
          </w:p>
        </w:tc>
        <w:tc>
          <w:tcPr>
            <w:tcW w:w="1616" w:type="dxa"/>
            <w:noWrap w:val="0"/>
            <w:vAlign w:val="center"/>
          </w:tcPr>
          <w:p>
            <w:pPr>
              <w:pStyle w:val="13"/>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22" w:type="dxa"/>
            <w:gridSpan w:val="5"/>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U城镇基础设施及房地产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1844" w:type="dxa"/>
            <w:tcBorders>
              <w:bottom w:val="single" w:color="auto" w:sz="4" w:space="0"/>
            </w:tcBorders>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145 工业废水及集中处理</w:t>
            </w:r>
          </w:p>
        </w:tc>
        <w:tc>
          <w:tcPr>
            <w:tcW w:w="1662" w:type="dxa"/>
            <w:tcBorders>
              <w:bottom w:val="single" w:color="auto" w:sz="4" w:space="0"/>
            </w:tcBorders>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662" w:type="dxa"/>
            <w:tcBorders>
              <w:bottom w:val="single" w:color="auto" w:sz="4" w:space="0"/>
            </w:tcBorders>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全部</w:t>
            </w:r>
          </w:p>
        </w:tc>
        <w:tc>
          <w:tcPr>
            <w:tcW w:w="1638" w:type="dxa"/>
            <w:tcBorders>
              <w:bottom w:val="single" w:color="auto" w:sz="4" w:space="0"/>
            </w:tcBorders>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616" w:type="dxa"/>
            <w:tcBorders>
              <w:bottom w:val="single" w:color="auto" w:sz="4" w:space="0"/>
            </w:tcBorders>
            <w:noWrap w:val="0"/>
            <w:vAlign w:val="center"/>
          </w:tcPr>
          <w:p>
            <w:pPr>
              <w:pStyle w:val="1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fldChar w:fldCharType="begin"/>
            </w:r>
            <w:r>
              <w:rPr>
                <w:rFonts w:hint="default" w:ascii="Times New Roman" w:hAnsi="Times New Roman" w:cs="Times New Roman"/>
                <w:color w:val="auto"/>
                <w:sz w:val="21"/>
                <w:szCs w:val="21"/>
                <w:u w:val="none"/>
              </w:rPr>
              <w:instrText xml:space="preserve"> = 1 \* ROMAN </w:instrText>
            </w:r>
            <w:r>
              <w:rPr>
                <w:rFonts w:hint="default" w:ascii="Times New Roman" w:hAnsi="Times New Roman" w:cs="Times New Roman"/>
                <w:color w:val="auto"/>
                <w:sz w:val="21"/>
                <w:szCs w:val="21"/>
                <w:u w:val="none"/>
              </w:rPr>
              <w:fldChar w:fldCharType="separate"/>
            </w:r>
            <w:r>
              <w:rPr>
                <w:rFonts w:hint="default" w:ascii="Times New Roman" w:hAnsi="Times New Roman" w:cs="Times New Roman"/>
                <w:color w:val="auto"/>
                <w:sz w:val="21"/>
                <w:szCs w:val="21"/>
                <w:u w:val="none"/>
              </w:rPr>
              <w:t>I</w:t>
            </w:r>
            <w:r>
              <w:rPr>
                <w:rFonts w:hint="default" w:ascii="Times New Roman" w:hAnsi="Times New Roman" w:cs="Times New Roman"/>
                <w:color w:val="auto"/>
                <w:sz w:val="21"/>
                <w:szCs w:val="21"/>
                <w:u w:val="none"/>
              </w:rPr>
              <w:fldChar w:fldCharType="end"/>
            </w:r>
            <w:r>
              <w:rPr>
                <w:rFonts w:hint="default" w:ascii="Times New Roman" w:hAnsi="Times New Roman" w:cs="Times New Roman"/>
                <w:color w:val="auto"/>
                <w:sz w:val="21"/>
                <w:szCs w:val="21"/>
                <w:u w:val="none"/>
              </w:rPr>
              <w:t>类</w:t>
            </w:r>
          </w:p>
        </w:tc>
      </w:tr>
    </w:tbl>
    <w:p>
      <w:pPr>
        <w:tabs>
          <w:tab w:val="left" w:pos="3138"/>
        </w:tabs>
        <w:ind w:firstLine="480"/>
        <w:jc w:val="both"/>
        <w:rPr>
          <w:rFonts w:hint="eastAsia"/>
          <w:color w:val="auto"/>
          <w:kern w:val="0"/>
          <w:u w:val="none"/>
        </w:rPr>
      </w:pPr>
      <w:r>
        <w:rPr>
          <w:rFonts w:hint="eastAsia"/>
          <w:color w:val="auto"/>
          <w:kern w:val="0"/>
          <w:u w:val="none"/>
        </w:rPr>
        <w:t>项目周边</w:t>
      </w:r>
      <w:r>
        <w:rPr>
          <w:rFonts w:hint="eastAsia"/>
          <w:color w:val="auto"/>
          <w:kern w:val="0"/>
          <w:u w:val="none"/>
          <w:lang w:eastAsia="zh-CN"/>
        </w:rPr>
        <w:t>地下水井</w:t>
      </w:r>
      <w:r>
        <w:rPr>
          <w:rFonts w:hint="eastAsia"/>
          <w:color w:val="auto"/>
          <w:kern w:val="0"/>
          <w:u w:val="none"/>
        </w:rPr>
        <w:t>仅</w:t>
      </w:r>
      <w:r>
        <w:rPr>
          <w:rFonts w:hint="eastAsia"/>
          <w:color w:val="auto"/>
          <w:u w:val="none"/>
        </w:rPr>
        <w:t>供散户生活使用</w:t>
      </w:r>
      <w:r>
        <w:rPr>
          <w:rFonts w:hint="eastAsia" w:ascii="宋体" w:hAnsi="宋体" w:eastAsia="宋体" w:cs="宋体"/>
          <w:color w:val="auto"/>
          <w:u w:val="none"/>
          <w:lang w:eastAsia="zh-CN"/>
        </w:rPr>
        <w:t>（</w:t>
      </w:r>
      <w:r>
        <w:rPr>
          <w:rFonts w:hint="eastAsia"/>
          <w:color w:val="auto"/>
          <w:u w:val="none"/>
        </w:rPr>
        <w:t>洗衣</w:t>
      </w:r>
      <w:r>
        <w:rPr>
          <w:rFonts w:hint="eastAsia"/>
          <w:color w:val="auto"/>
          <w:u w:val="none"/>
          <w:lang w:eastAsia="zh-CN"/>
        </w:rPr>
        <w:t>）</w:t>
      </w:r>
      <w:r>
        <w:rPr>
          <w:rFonts w:hint="eastAsia"/>
          <w:color w:val="auto"/>
          <w:u w:val="none"/>
        </w:rPr>
        <w:t>，不作饮用功能</w:t>
      </w:r>
      <w:r>
        <w:rPr>
          <w:rFonts w:hint="eastAsia"/>
          <w:color w:val="auto"/>
          <w:kern w:val="0"/>
          <w:u w:val="none"/>
          <w:lang w:eastAsia="zh-CN"/>
        </w:rPr>
        <w:t>，</w:t>
      </w:r>
      <w:r>
        <w:rPr>
          <w:rFonts w:hint="eastAsia"/>
          <w:color w:val="auto"/>
          <w:kern w:val="0"/>
          <w:u w:val="none"/>
        </w:rPr>
        <w:t>居民用水均来自城市供水，</w:t>
      </w:r>
      <w:r>
        <w:rPr>
          <w:rFonts w:hint="eastAsia"/>
          <w:color w:val="auto"/>
          <w:u w:val="none"/>
        </w:rPr>
        <w:t>故本项目周边不存在集中式饮用水水源（包括已建成的在用、备用、应急水源，在建和规划的饮用水水源）准保护区；除集中式饮用水水源以外的国家或地方政府设定的与地下水环境相关的其它保护区，如热水、矿泉水、温泉等特殊地下水资源保护区，不存在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故为不敏感区域</w:t>
      </w:r>
      <w:r>
        <w:rPr>
          <w:rFonts w:hint="eastAsia"/>
          <w:color w:val="auto"/>
          <w:kern w:val="0"/>
          <w:u w:val="none"/>
        </w:rPr>
        <w:t>，根据评价工作等级表以及地下水环境影响评价行业分类表确定地下水评价工作等级为二级。</w:t>
      </w:r>
    </w:p>
    <w:p>
      <w:pPr>
        <w:tabs>
          <w:tab w:val="left" w:pos="3138"/>
        </w:tabs>
        <w:ind w:firstLine="480"/>
        <w:jc w:val="both"/>
        <w:rPr>
          <w:rFonts w:hint="eastAsia"/>
          <w:color w:val="auto"/>
          <w:kern w:val="0"/>
          <w:u w:val="single"/>
        </w:rPr>
      </w:pPr>
      <w:r>
        <w:rPr>
          <w:rFonts w:hint="eastAsia"/>
          <w:color w:val="auto"/>
          <w:kern w:val="0"/>
          <w:u w:val="single"/>
        </w:rPr>
        <w:t>本次地下水环境评价范围：以污水处理厂为中心面积为</w:t>
      </w:r>
      <w:r>
        <w:rPr>
          <w:rFonts w:hint="eastAsia"/>
          <w:color w:val="auto"/>
          <w:kern w:val="0"/>
          <w:u w:val="single"/>
          <w:lang w:val="en-US" w:eastAsia="zh-CN"/>
        </w:rPr>
        <w:t>6.25</w:t>
      </w:r>
      <w:r>
        <w:rPr>
          <w:rFonts w:hint="eastAsia"/>
          <w:color w:val="auto"/>
          <w:kern w:val="0"/>
          <w:u w:val="single"/>
        </w:rPr>
        <w:t>km</w:t>
      </w:r>
      <w:r>
        <w:rPr>
          <w:rFonts w:hint="eastAsia"/>
          <w:color w:val="auto"/>
          <w:kern w:val="0"/>
          <w:u w:val="single"/>
          <w:vertAlign w:val="superscript"/>
        </w:rPr>
        <w:t>2</w:t>
      </w:r>
      <w:r>
        <w:rPr>
          <w:rFonts w:hint="eastAsia"/>
          <w:color w:val="auto"/>
          <w:kern w:val="0"/>
          <w:u w:val="single"/>
        </w:rPr>
        <w:t>的范围。</w:t>
      </w:r>
    </w:p>
    <w:p>
      <w:pPr>
        <w:pStyle w:val="6"/>
        <w:bidi w:val="0"/>
        <w:rPr>
          <w:rFonts w:hint="eastAsia"/>
        </w:rPr>
      </w:pPr>
      <w:bookmarkStart w:id="106" w:name="_Toc489350124"/>
      <w:bookmarkStart w:id="107" w:name="_Toc489350225"/>
      <w:bookmarkStart w:id="108" w:name="_Toc489349967"/>
      <w:r>
        <w:rPr>
          <w:rFonts w:hint="eastAsia"/>
        </w:rPr>
        <w:t>1.7.3声环境影响评价等级</w:t>
      </w:r>
      <w:bookmarkEnd w:id="106"/>
      <w:bookmarkEnd w:id="107"/>
      <w:bookmarkEnd w:id="108"/>
    </w:p>
    <w:p>
      <w:pPr>
        <w:ind w:firstLine="480"/>
        <w:jc w:val="both"/>
        <w:rPr>
          <w:rFonts w:hint="eastAsia"/>
          <w:color w:val="auto"/>
          <w:kern w:val="0"/>
          <w:u w:val="single"/>
        </w:rPr>
      </w:pPr>
      <w:r>
        <w:rPr>
          <w:rFonts w:hint="eastAsia"/>
          <w:color w:val="auto"/>
          <w:kern w:val="0"/>
          <w:u w:val="single"/>
        </w:rPr>
        <w:t>根据《环境影响评价技术导则 声环境》（HJ2.4-</w:t>
      </w:r>
      <w:r>
        <w:rPr>
          <w:rFonts w:hint="eastAsia"/>
          <w:color w:val="auto"/>
          <w:kern w:val="0"/>
          <w:u w:val="single"/>
          <w:lang w:val="en-US" w:eastAsia="zh-CN"/>
        </w:rPr>
        <w:t>2021</w:t>
      </w:r>
      <w:r>
        <w:rPr>
          <w:rFonts w:hint="eastAsia"/>
          <w:color w:val="auto"/>
          <w:kern w:val="0"/>
          <w:u w:val="single"/>
        </w:rPr>
        <w:t>）规定，噪声评价等级按建设项目所在地声环境功能区划、建设项目</w:t>
      </w:r>
      <w:r>
        <w:rPr>
          <w:rFonts w:hint="eastAsia"/>
          <w:color w:val="auto"/>
          <w:kern w:val="0"/>
          <w:u w:val="single"/>
          <w:lang w:eastAsia="zh-CN"/>
        </w:rPr>
        <w:t>建设前后评价范围内声环境保护目标噪声级增量或受噪声影响人口数量变化</w:t>
      </w:r>
      <w:r>
        <w:rPr>
          <w:rFonts w:hint="eastAsia"/>
          <w:color w:val="auto"/>
          <w:kern w:val="0"/>
          <w:u w:val="single"/>
        </w:rPr>
        <w:t>来确定。</w:t>
      </w:r>
    </w:p>
    <w:p>
      <w:pPr>
        <w:ind w:firstLine="480"/>
        <w:jc w:val="both"/>
        <w:rPr>
          <w:rFonts w:hint="eastAsia"/>
          <w:color w:val="auto"/>
          <w:kern w:val="0"/>
          <w:u w:val="single"/>
        </w:rPr>
      </w:pPr>
      <w:r>
        <w:rPr>
          <w:rFonts w:hint="eastAsia"/>
          <w:color w:val="auto"/>
          <w:kern w:val="0"/>
          <w:u w:val="single"/>
          <w:lang w:eastAsia="zh-CN"/>
        </w:rPr>
        <w:t>①</w:t>
      </w:r>
      <w:r>
        <w:rPr>
          <w:rFonts w:hint="eastAsia"/>
          <w:color w:val="auto"/>
          <w:kern w:val="0"/>
          <w:u w:val="single"/>
        </w:rPr>
        <w:t>评价范围内有适用于 GB 3096 规定的 0 类声环境功能区域，或建设项目建设前后评价范围内声环境保护目标噪声级增量达 5 dB(A)以上（不含 5 dB(A)），或受影响人口数量显著增加时，按一级评价。</w:t>
      </w:r>
    </w:p>
    <w:p>
      <w:pPr>
        <w:ind w:firstLine="480"/>
        <w:jc w:val="both"/>
        <w:rPr>
          <w:rFonts w:hint="eastAsia"/>
          <w:color w:val="auto"/>
          <w:kern w:val="0"/>
          <w:u w:val="single"/>
        </w:rPr>
      </w:pPr>
      <w:r>
        <w:rPr>
          <w:rFonts w:hint="eastAsia"/>
          <w:color w:val="auto"/>
          <w:kern w:val="0"/>
          <w:u w:val="single"/>
          <w:lang w:eastAsia="zh-CN"/>
        </w:rPr>
        <w:t>②</w:t>
      </w:r>
      <w:r>
        <w:rPr>
          <w:rFonts w:hint="eastAsia"/>
          <w:color w:val="auto"/>
          <w:kern w:val="0"/>
          <w:u w:val="single"/>
        </w:rPr>
        <w:t>建设项目所处的声环境功能区为 GB 3096 规定的 1 类、2 类地区，或建设项目建设前后评价范围内声环境保护目标噪声级增量达 3 dB(A)～5 dB(A)，或受噪声影响人口数量增加较多时，按二级评价。</w:t>
      </w:r>
    </w:p>
    <w:p>
      <w:pPr>
        <w:ind w:firstLine="480"/>
        <w:jc w:val="both"/>
        <w:rPr>
          <w:rFonts w:hint="eastAsia"/>
          <w:color w:val="auto"/>
          <w:kern w:val="0"/>
          <w:u w:val="single"/>
        </w:rPr>
      </w:pPr>
      <w:r>
        <w:rPr>
          <w:rFonts w:hint="eastAsia"/>
          <w:color w:val="auto"/>
          <w:kern w:val="0"/>
          <w:u w:val="single"/>
          <w:lang w:eastAsia="zh-CN"/>
        </w:rPr>
        <w:t>③</w:t>
      </w:r>
      <w:r>
        <w:rPr>
          <w:rFonts w:hint="eastAsia"/>
          <w:color w:val="auto"/>
          <w:kern w:val="0"/>
          <w:u w:val="single"/>
        </w:rPr>
        <w:t>建设项目所处的声环境功能区为 GB 3096 规定的 3 类、4 类地区，或建设项目建设前后评价范围内声环境保护目标噪声级增量在 3 dB(A)以下（不含 3 dB(A)），且受影响人口数量变化不大时，按三级评价。</w:t>
      </w:r>
    </w:p>
    <w:p>
      <w:pPr>
        <w:ind w:firstLine="480"/>
        <w:jc w:val="both"/>
        <w:rPr>
          <w:rFonts w:hint="eastAsia"/>
          <w:color w:val="auto"/>
          <w:kern w:val="0"/>
          <w:u w:val="single"/>
        </w:rPr>
      </w:pPr>
      <w:r>
        <w:rPr>
          <w:rFonts w:hint="eastAsia"/>
          <w:color w:val="auto"/>
          <w:kern w:val="0"/>
          <w:u w:val="single"/>
          <w:lang w:eastAsia="zh-CN"/>
        </w:rPr>
        <w:t>④</w:t>
      </w:r>
      <w:r>
        <w:rPr>
          <w:rFonts w:hint="eastAsia"/>
          <w:color w:val="auto"/>
          <w:kern w:val="0"/>
          <w:u w:val="single"/>
        </w:rPr>
        <w:t>在确定评价等级时，如果建设项目符合两个等级的划分原则，按较高等级评价。</w:t>
      </w:r>
    </w:p>
    <w:p>
      <w:pPr>
        <w:pStyle w:val="124"/>
        <w:bidi w:val="0"/>
        <w:rPr>
          <w:rFonts w:hint="default" w:eastAsia="宋体"/>
          <w:color w:val="auto"/>
          <w:kern w:val="0"/>
          <w:u w:val="single"/>
          <w:lang w:val="en-US" w:eastAsia="zh-CN"/>
        </w:rPr>
      </w:pPr>
      <w:r>
        <w:rPr>
          <w:rFonts w:hint="eastAsia"/>
          <w:u w:val="single"/>
          <w:lang w:eastAsia="zh-CN"/>
        </w:rPr>
        <w:t>表</w:t>
      </w:r>
      <w:r>
        <w:rPr>
          <w:rFonts w:hint="eastAsia"/>
          <w:u w:val="single"/>
          <w:lang w:val="en-US" w:eastAsia="zh-CN"/>
        </w:rPr>
        <w:t>1.7-10  本项目声环境评价工作等级判定</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1200"/>
        <w:gridCol w:w="2321"/>
        <w:gridCol w:w="1693"/>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gridSpan w:val="2"/>
            <w:noWrap w:val="0"/>
            <w:vAlign w:val="center"/>
          </w:tcPr>
          <w:p>
            <w:pPr>
              <w:pStyle w:val="120"/>
              <w:bidi w:val="0"/>
              <w:jc w:val="center"/>
              <w:rPr>
                <w:rFonts w:hint="eastAsia"/>
                <w:u w:val="single"/>
              </w:rPr>
            </w:pPr>
            <w:r>
              <w:rPr>
                <w:rFonts w:hint="eastAsia"/>
                <w:u w:val="single"/>
                <w:lang w:eastAsia="zh-CN"/>
              </w:rPr>
              <w:t>影响因素评价等级</w:t>
            </w:r>
          </w:p>
        </w:tc>
        <w:tc>
          <w:tcPr>
            <w:tcW w:w="2321" w:type="dxa"/>
            <w:noWrap w:val="0"/>
            <w:vAlign w:val="center"/>
          </w:tcPr>
          <w:p>
            <w:pPr>
              <w:pStyle w:val="120"/>
              <w:bidi w:val="0"/>
              <w:jc w:val="center"/>
              <w:rPr>
                <w:rFonts w:hint="default" w:eastAsia="宋体"/>
                <w:u w:val="single"/>
                <w:lang w:val="en-US" w:eastAsia="zh-CN"/>
              </w:rPr>
            </w:pPr>
            <w:r>
              <w:rPr>
                <w:rFonts w:hint="eastAsia"/>
                <w:u w:val="single"/>
                <w:lang w:val="en-US" w:eastAsia="zh-CN"/>
              </w:rPr>
              <w:t>声环境功能区</w:t>
            </w:r>
          </w:p>
        </w:tc>
        <w:tc>
          <w:tcPr>
            <w:tcW w:w="1693" w:type="dxa"/>
            <w:noWrap w:val="0"/>
            <w:vAlign w:val="center"/>
          </w:tcPr>
          <w:p>
            <w:pPr>
              <w:pStyle w:val="120"/>
              <w:bidi w:val="0"/>
              <w:jc w:val="center"/>
              <w:rPr>
                <w:rFonts w:hint="eastAsia" w:eastAsia="宋体"/>
                <w:u w:val="single"/>
                <w:lang w:eastAsia="zh-CN"/>
              </w:rPr>
            </w:pPr>
            <w:r>
              <w:rPr>
                <w:rFonts w:hint="eastAsia"/>
                <w:u w:val="single"/>
                <w:lang w:eastAsia="zh-CN"/>
              </w:rPr>
              <w:t>环境敏感目标噪声级增量</w:t>
            </w:r>
          </w:p>
        </w:tc>
        <w:tc>
          <w:tcPr>
            <w:tcW w:w="1694" w:type="dxa"/>
            <w:noWrap w:val="0"/>
            <w:vAlign w:val="center"/>
          </w:tcPr>
          <w:p>
            <w:pPr>
              <w:pStyle w:val="120"/>
              <w:bidi w:val="0"/>
              <w:jc w:val="center"/>
              <w:rPr>
                <w:rFonts w:hint="eastAsia" w:eastAsia="宋体"/>
                <w:u w:val="single"/>
                <w:lang w:eastAsia="zh-CN"/>
              </w:rPr>
            </w:pPr>
            <w:r>
              <w:rPr>
                <w:rFonts w:hint="eastAsia"/>
                <w:u w:val="single"/>
                <w:lang w:eastAsia="zh-CN"/>
              </w:rPr>
              <w:t>影响人口数量变化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vMerge w:val="restart"/>
            <w:noWrap w:val="0"/>
            <w:vAlign w:val="center"/>
          </w:tcPr>
          <w:p>
            <w:pPr>
              <w:pStyle w:val="120"/>
              <w:bidi w:val="0"/>
              <w:jc w:val="center"/>
              <w:rPr>
                <w:rFonts w:hint="eastAsia" w:eastAsia="宋体"/>
                <w:u w:val="single"/>
                <w:lang w:eastAsia="zh-CN"/>
              </w:rPr>
            </w:pPr>
            <w:r>
              <w:rPr>
                <w:rFonts w:hint="eastAsia"/>
                <w:u w:val="single"/>
                <w:lang w:eastAsia="zh-CN"/>
              </w:rPr>
              <w:t>评价等级判据（HJ2.4-2021）</w:t>
            </w:r>
          </w:p>
        </w:tc>
        <w:tc>
          <w:tcPr>
            <w:tcW w:w="1200" w:type="dxa"/>
            <w:noWrap w:val="0"/>
            <w:vAlign w:val="center"/>
          </w:tcPr>
          <w:p>
            <w:pPr>
              <w:pStyle w:val="120"/>
              <w:bidi w:val="0"/>
              <w:jc w:val="center"/>
              <w:rPr>
                <w:rFonts w:hint="eastAsia" w:eastAsia="宋体"/>
                <w:u w:val="single"/>
                <w:lang w:eastAsia="zh-CN"/>
              </w:rPr>
            </w:pPr>
            <w:r>
              <w:rPr>
                <w:rFonts w:hint="eastAsia"/>
                <w:u w:val="single"/>
                <w:lang w:eastAsia="zh-CN"/>
              </w:rPr>
              <w:t>一级</w:t>
            </w:r>
          </w:p>
        </w:tc>
        <w:tc>
          <w:tcPr>
            <w:tcW w:w="2321" w:type="dxa"/>
            <w:noWrap w:val="0"/>
            <w:vAlign w:val="center"/>
          </w:tcPr>
          <w:p>
            <w:pPr>
              <w:pStyle w:val="120"/>
              <w:bidi w:val="0"/>
              <w:jc w:val="center"/>
              <w:rPr>
                <w:rFonts w:hint="eastAsia" w:eastAsia="宋体"/>
                <w:u w:val="single"/>
                <w:lang w:val="en-US" w:eastAsia="zh-CN"/>
              </w:rPr>
            </w:pPr>
            <w:r>
              <w:rPr>
                <w:rFonts w:hint="eastAsia"/>
                <w:u w:val="single"/>
                <w:lang w:val="en-US" w:eastAsia="zh-CN"/>
              </w:rPr>
              <w:t>0类</w:t>
            </w:r>
          </w:p>
        </w:tc>
        <w:tc>
          <w:tcPr>
            <w:tcW w:w="1693" w:type="dxa"/>
            <w:noWrap w:val="0"/>
            <w:vAlign w:val="center"/>
          </w:tcPr>
          <w:p>
            <w:pPr>
              <w:pStyle w:val="120"/>
              <w:bidi w:val="0"/>
              <w:jc w:val="center"/>
              <w:rPr>
                <w:rFonts w:hint="default" w:eastAsia="宋体"/>
                <w:u w:val="single"/>
                <w:lang w:val="en-US" w:eastAsia="zh-CN"/>
              </w:rPr>
            </w:pPr>
            <w:r>
              <w:rPr>
                <w:rFonts w:hint="eastAsia" w:ascii="宋体" w:hAnsi="宋体" w:eastAsia="宋体" w:cs="宋体"/>
                <w:u w:val="single"/>
              </w:rPr>
              <w:t>&gt;</w:t>
            </w:r>
            <w:r>
              <w:rPr>
                <w:rFonts w:hint="eastAsia" w:eastAsia="宋体"/>
                <w:u w:val="single"/>
                <w:lang w:val="en-US" w:eastAsia="zh-CN"/>
              </w:rPr>
              <w:t>5dB（A）</w:t>
            </w:r>
          </w:p>
        </w:tc>
        <w:tc>
          <w:tcPr>
            <w:tcW w:w="1694" w:type="dxa"/>
            <w:noWrap w:val="0"/>
            <w:vAlign w:val="center"/>
          </w:tcPr>
          <w:p>
            <w:pPr>
              <w:pStyle w:val="120"/>
              <w:bidi w:val="0"/>
              <w:jc w:val="center"/>
              <w:rPr>
                <w:rFonts w:hint="eastAsia" w:eastAsia="宋体"/>
                <w:u w:val="single"/>
                <w:lang w:eastAsia="zh-CN"/>
              </w:rPr>
            </w:pPr>
            <w:r>
              <w:rPr>
                <w:rFonts w:hint="eastAsia"/>
                <w:u w:val="single"/>
                <w:lang w:eastAsia="zh-CN"/>
              </w:rPr>
              <w:t>显著增加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vMerge w:val="continue"/>
            <w:noWrap w:val="0"/>
            <w:vAlign w:val="center"/>
          </w:tcPr>
          <w:p>
            <w:pPr>
              <w:pStyle w:val="120"/>
              <w:bidi w:val="0"/>
              <w:jc w:val="center"/>
              <w:rPr>
                <w:rFonts w:hint="eastAsia"/>
                <w:u w:val="single"/>
              </w:rPr>
            </w:pPr>
          </w:p>
        </w:tc>
        <w:tc>
          <w:tcPr>
            <w:tcW w:w="1200" w:type="dxa"/>
            <w:noWrap w:val="0"/>
            <w:vAlign w:val="center"/>
          </w:tcPr>
          <w:p>
            <w:pPr>
              <w:pStyle w:val="120"/>
              <w:bidi w:val="0"/>
              <w:jc w:val="center"/>
              <w:rPr>
                <w:rFonts w:hint="eastAsia" w:eastAsia="宋体"/>
                <w:u w:val="single"/>
                <w:lang w:eastAsia="zh-CN"/>
              </w:rPr>
            </w:pPr>
            <w:r>
              <w:rPr>
                <w:rFonts w:hint="eastAsia"/>
                <w:u w:val="single"/>
                <w:lang w:eastAsia="zh-CN"/>
              </w:rPr>
              <w:t>二级</w:t>
            </w:r>
          </w:p>
        </w:tc>
        <w:tc>
          <w:tcPr>
            <w:tcW w:w="2321" w:type="dxa"/>
            <w:noWrap w:val="0"/>
            <w:vAlign w:val="center"/>
          </w:tcPr>
          <w:p>
            <w:pPr>
              <w:pStyle w:val="120"/>
              <w:bidi w:val="0"/>
              <w:jc w:val="center"/>
              <w:rPr>
                <w:rFonts w:hint="default" w:eastAsia="宋体"/>
                <w:u w:val="single"/>
                <w:lang w:val="en-US" w:eastAsia="zh-CN"/>
              </w:rPr>
            </w:pPr>
            <w:r>
              <w:rPr>
                <w:rFonts w:hint="eastAsia"/>
                <w:u w:val="single"/>
                <w:lang w:val="en-US" w:eastAsia="zh-CN"/>
              </w:rPr>
              <w:t>1类、2类</w:t>
            </w:r>
          </w:p>
        </w:tc>
        <w:tc>
          <w:tcPr>
            <w:tcW w:w="1693" w:type="dxa"/>
            <w:noWrap w:val="0"/>
            <w:vAlign w:val="center"/>
          </w:tcPr>
          <w:p>
            <w:pPr>
              <w:pStyle w:val="120"/>
              <w:bidi w:val="0"/>
              <w:jc w:val="center"/>
              <w:rPr>
                <w:rFonts w:hint="eastAsia"/>
                <w:u w:val="single"/>
              </w:rPr>
            </w:pPr>
            <w:r>
              <w:rPr>
                <w:rFonts w:hint="eastAsia" w:ascii="宋体" w:hAnsi="宋体" w:eastAsia="宋体" w:cs="宋体"/>
                <w:u w:val="single"/>
              </w:rPr>
              <w:t>≧</w:t>
            </w:r>
            <w:r>
              <w:rPr>
                <w:rFonts w:hint="eastAsia" w:eastAsia="宋体"/>
                <w:u w:val="single"/>
                <w:lang w:val="en-US" w:eastAsia="zh-CN"/>
              </w:rPr>
              <w:t>5dB（A）</w:t>
            </w:r>
            <w:r>
              <w:rPr>
                <w:rFonts w:hint="eastAsia" w:ascii="宋体" w:hAnsi="宋体" w:eastAsia="宋体" w:cs="宋体"/>
                <w:u w:val="single"/>
                <w:lang w:eastAsia="zh-CN"/>
              </w:rPr>
              <w:t>，</w:t>
            </w:r>
            <w:r>
              <w:rPr>
                <w:rFonts w:hint="eastAsia" w:ascii="宋体" w:hAnsi="宋体" w:eastAsia="宋体" w:cs="宋体"/>
                <w:u w:val="single"/>
              </w:rPr>
              <w:t>≦</w:t>
            </w:r>
            <w:r>
              <w:rPr>
                <w:rFonts w:hint="eastAsia" w:eastAsia="宋体"/>
                <w:u w:val="single"/>
                <w:lang w:val="en-US" w:eastAsia="zh-CN"/>
              </w:rPr>
              <w:t>5dB（A）</w:t>
            </w:r>
          </w:p>
        </w:tc>
        <w:tc>
          <w:tcPr>
            <w:tcW w:w="1694" w:type="dxa"/>
            <w:noWrap w:val="0"/>
            <w:vAlign w:val="center"/>
          </w:tcPr>
          <w:p>
            <w:pPr>
              <w:pStyle w:val="120"/>
              <w:bidi w:val="0"/>
              <w:jc w:val="center"/>
              <w:rPr>
                <w:rFonts w:hint="eastAsia" w:eastAsia="宋体"/>
                <w:u w:val="single"/>
                <w:lang w:eastAsia="zh-CN"/>
              </w:rPr>
            </w:pPr>
            <w:r>
              <w:rPr>
                <w:rFonts w:hint="eastAsia"/>
                <w:u w:val="single"/>
                <w:lang w:eastAsia="zh-CN"/>
              </w:rPr>
              <w:t>增加较多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vMerge w:val="continue"/>
            <w:noWrap w:val="0"/>
            <w:vAlign w:val="center"/>
          </w:tcPr>
          <w:p>
            <w:pPr>
              <w:pStyle w:val="120"/>
              <w:bidi w:val="0"/>
              <w:jc w:val="center"/>
              <w:rPr>
                <w:rFonts w:hint="eastAsia"/>
                <w:u w:val="single"/>
              </w:rPr>
            </w:pPr>
          </w:p>
        </w:tc>
        <w:tc>
          <w:tcPr>
            <w:tcW w:w="1200" w:type="dxa"/>
            <w:noWrap w:val="0"/>
            <w:vAlign w:val="center"/>
          </w:tcPr>
          <w:p>
            <w:pPr>
              <w:pStyle w:val="120"/>
              <w:bidi w:val="0"/>
              <w:jc w:val="center"/>
              <w:rPr>
                <w:rFonts w:hint="eastAsia" w:eastAsia="宋体"/>
                <w:u w:val="single"/>
                <w:lang w:eastAsia="zh-CN"/>
              </w:rPr>
            </w:pPr>
            <w:r>
              <w:rPr>
                <w:rFonts w:hint="eastAsia"/>
                <w:u w:val="single"/>
                <w:lang w:eastAsia="zh-CN"/>
              </w:rPr>
              <w:t>三级</w:t>
            </w:r>
          </w:p>
        </w:tc>
        <w:tc>
          <w:tcPr>
            <w:tcW w:w="2321" w:type="dxa"/>
            <w:noWrap w:val="0"/>
            <w:vAlign w:val="center"/>
          </w:tcPr>
          <w:p>
            <w:pPr>
              <w:pStyle w:val="120"/>
              <w:bidi w:val="0"/>
              <w:jc w:val="center"/>
              <w:rPr>
                <w:rFonts w:hint="eastAsia"/>
                <w:u w:val="single"/>
              </w:rPr>
            </w:pPr>
            <w:r>
              <w:rPr>
                <w:rFonts w:hint="eastAsia"/>
                <w:u w:val="single"/>
                <w:lang w:val="en-US" w:eastAsia="zh-CN"/>
              </w:rPr>
              <w:t>3类、4类</w:t>
            </w:r>
          </w:p>
        </w:tc>
        <w:tc>
          <w:tcPr>
            <w:tcW w:w="1693" w:type="dxa"/>
            <w:noWrap w:val="0"/>
            <w:vAlign w:val="center"/>
          </w:tcPr>
          <w:p>
            <w:pPr>
              <w:pStyle w:val="120"/>
              <w:bidi w:val="0"/>
              <w:jc w:val="center"/>
              <w:rPr>
                <w:rFonts w:hint="eastAsia"/>
                <w:u w:val="single"/>
              </w:rPr>
            </w:pPr>
            <w:r>
              <w:rPr>
                <w:rFonts w:hint="eastAsia" w:ascii="宋体" w:hAnsi="宋体" w:eastAsia="宋体" w:cs="宋体"/>
                <w:u w:val="single"/>
              </w:rPr>
              <w:t>&lt;</w:t>
            </w:r>
            <w:r>
              <w:rPr>
                <w:rFonts w:hint="eastAsia" w:eastAsia="宋体"/>
                <w:u w:val="single"/>
                <w:lang w:val="en-US" w:eastAsia="zh-CN"/>
              </w:rPr>
              <w:t>3dB（A）</w:t>
            </w:r>
          </w:p>
        </w:tc>
        <w:tc>
          <w:tcPr>
            <w:tcW w:w="1694" w:type="dxa"/>
            <w:noWrap w:val="0"/>
            <w:vAlign w:val="center"/>
          </w:tcPr>
          <w:p>
            <w:pPr>
              <w:pStyle w:val="120"/>
              <w:bidi w:val="0"/>
              <w:jc w:val="center"/>
              <w:rPr>
                <w:rFonts w:hint="eastAsia" w:eastAsia="宋体"/>
                <w:u w:val="single"/>
                <w:lang w:eastAsia="zh-CN"/>
              </w:rPr>
            </w:pPr>
            <w:r>
              <w:rPr>
                <w:rFonts w:hint="eastAsia"/>
                <w:u w:val="single"/>
                <w:lang w:eastAsia="zh-CN"/>
              </w:rPr>
              <w:t>变化不大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vMerge w:val="restart"/>
            <w:noWrap w:val="0"/>
            <w:vAlign w:val="center"/>
          </w:tcPr>
          <w:p>
            <w:pPr>
              <w:pStyle w:val="120"/>
              <w:bidi w:val="0"/>
              <w:jc w:val="center"/>
              <w:rPr>
                <w:rFonts w:hint="eastAsia" w:eastAsia="宋体"/>
                <w:u w:val="single"/>
                <w:lang w:eastAsia="zh-CN"/>
              </w:rPr>
            </w:pPr>
            <w:r>
              <w:rPr>
                <w:rFonts w:hint="eastAsia"/>
                <w:u w:val="single"/>
                <w:lang w:eastAsia="zh-CN"/>
              </w:rPr>
              <w:t>本项目</w:t>
            </w:r>
          </w:p>
        </w:tc>
        <w:tc>
          <w:tcPr>
            <w:tcW w:w="1200" w:type="dxa"/>
            <w:noWrap w:val="0"/>
            <w:vAlign w:val="center"/>
          </w:tcPr>
          <w:p>
            <w:pPr>
              <w:pStyle w:val="120"/>
              <w:bidi w:val="0"/>
              <w:jc w:val="center"/>
              <w:rPr>
                <w:rFonts w:hint="eastAsia" w:eastAsia="宋体"/>
                <w:u w:val="single"/>
                <w:lang w:eastAsia="zh-CN"/>
              </w:rPr>
            </w:pPr>
            <w:r>
              <w:rPr>
                <w:rFonts w:hint="eastAsia"/>
                <w:u w:val="single"/>
                <w:lang w:eastAsia="zh-CN"/>
              </w:rPr>
              <w:t>评价结论</w:t>
            </w:r>
          </w:p>
        </w:tc>
        <w:tc>
          <w:tcPr>
            <w:tcW w:w="2321" w:type="dxa"/>
            <w:noWrap w:val="0"/>
            <w:vAlign w:val="center"/>
          </w:tcPr>
          <w:p>
            <w:pPr>
              <w:pStyle w:val="120"/>
              <w:bidi w:val="0"/>
              <w:jc w:val="center"/>
              <w:rPr>
                <w:rFonts w:hint="eastAsia"/>
                <w:u w:val="single"/>
              </w:rPr>
            </w:pPr>
            <w:r>
              <w:rPr>
                <w:rFonts w:hint="eastAsia"/>
                <w:u w:val="single"/>
              </w:rPr>
              <w:t>GB 3096 规定的</w:t>
            </w:r>
            <w:r>
              <w:rPr>
                <w:rFonts w:hint="eastAsia"/>
                <w:u w:val="single"/>
                <w:lang w:val="en-US" w:eastAsia="zh-CN"/>
              </w:rPr>
              <w:t>3</w:t>
            </w:r>
            <w:r>
              <w:rPr>
                <w:rFonts w:hint="eastAsia"/>
                <w:u w:val="single"/>
              </w:rPr>
              <w:t xml:space="preserve"> 类</w:t>
            </w:r>
          </w:p>
        </w:tc>
        <w:tc>
          <w:tcPr>
            <w:tcW w:w="1693" w:type="dxa"/>
            <w:noWrap w:val="0"/>
            <w:vAlign w:val="center"/>
          </w:tcPr>
          <w:p>
            <w:pPr>
              <w:pStyle w:val="120"/>
              <w:bidi w:val="0"/>
              <w:jc w:val="center"/>
              <w:rPr>
                <w:rFonts w:hint="eastAsia"/>
                <w:u w:val="single"/>
              </w:rPr>
            </w:pPr>
            <w:r>
              <w:rPr>
                <w:rFonts w:hint="eastAsia" w:ascii="宋体" w:hAnsi="宋体" w:eastAsia="宋体" w:cs="宋体"/>
                <w:u w:val="single"/>
              </w:rPr>
              <w:t>&lt;</w:t>
            </w:r>
            <w:r>
              <w:rPr>
                <w:rFonts w:hint="eastAsia" w:eastAsia="宋体"/>
                <w:u w:val="single"/>
                <w:lang w:val="en-US" w:eastAsia="zh-CN"/>
              </w:rPr>
              <w:t>3dB（A）</w:t>
            </w:r>
          </w:p>
        </w:tc>
        <w:tc>
          <w:tcPr>
            <w:tcW w:w="1694" w:type="dxa"/>
            <w:noWrap w:val="0"/>
            <w:vAlign w:val="center"/>
          </w:tcPr>
          <w:p>
            <w:pPr>
              <w:pStyle w:val="120"/>
              <w:bidi w:val="0"/>
              <w:jc w:val="center"/>
              <w:rPr>
                <w:rFonts w:hint="eastAsia" w:eastAsia="宋体"/>
                <w:u w:val="single"/>
                <w:lang w:eastAsia="zh-CN"/>
              </w:rPr>
            </w:pPr>
            <w:r>
              <w:rPr>
                <w:rFonts w:hint="eastAsia"/>
                <w:u w:val="single"/>
                <w:lang w:eastAsia="zh-CN"/>
              </w:rPr>
              <w:t>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vMerge w:val="continue"/>
            <w:noWrap w:val="0"/>
            <w:vAlign w:val="center"/>
          </w:tcPr>
          <w:p>
            <w:pPr>
              <w:pStyle w:val="120"/>
              <w:bidi w:val="0"/>
              <w:jc w:val="center"/>
              <w:rPr>
                <w:rFonts w:hint="eastAsia"/>
                <w:u w:val="single"/>
                <w:lang w:eastAsia="zh-CN"/>
              </w:rPr>
            </w:pPr>
          </w:p>
        </w:tc>
        <w:tc>
          <w:tcPr>
            <w:tcW w:w="1200" w:type="dxa"/>
            <w:noWrap w:val="0"/>
            <w:vAlign w:val="center"/>
          </w:tcPr>
          <w:p>
            <w:pPr>
              <w:pStyle w:val="120"/>
              <w:bidi w:val="0"/>
              <w:jc w:val="center"/>
              <w:rPr>
                <w:rFonts w:hint="eastAsia"/>
                <w:u w:val="single"/>
                <w:lang w:eastAsia="zh-CN"/>
              </w:rPr>
            </w:pPr>
            <w:r>
              <w:rPr>
                <w:rFonts w:hint="eastAsia"/>
                <w:u w:val="single"/>
                <w:lang w:eastAsia="zh-CN"/>
              </w:rPr>
              <w:t>单独评价等级</w:t>
            </w:r>
          </w:p>
        </w:tc>
        <w:tc>
          <w:tcPr>
            <w:tcW w:w="2321" w:type="dxa"/>
            <w:noWrap w:val="0"/>
            <w:vAlign w:val="center"/>
          </w:tcPr>
          <w:p>
            <w:pPr>
              <w:pStyle w:val="120"/>
              <w:bidi w:val="0"/>
              <w:jc w:val="center"/>
              <w:rPr>
                <w:rFonts w:hint="eastAsia" w:eastAsia="宋体"/>
                <w:u w:val="single"/>
                <w:lang w:eastAsia="zh-CN"/>
              </w:rPr>
            </w:pPr>
            <w:r>
              <w:rPr>
                <w:rFonts w:hint="eastAsia"/>
                <w:u w:val="single"/>
                <w:lang w:eastAsia="zh-CN"/>
              </w:rPr>
              <w:t>三级</w:t>
            </w:r>
          </w:p>
        </w:tc>
        <w:tc>
          <w:tcPr>
            <w:tcW w:w="1693" w:type="dxa"/>
            <w:noWrap w:val="0"/>
            <w:vAlign w:val="center"/>
          </w:tcPr>
          <w:p>
            <w:pPr>
              <w:pStyle w:val="120"/>
              <w:bidi w:val="0"/>
              <w:jc w:val="center"/>
              <w:rPr>
                <w:rFonts w:hint="eastAsia" w:ascii="宋体" w:hAnsi="宋体" w:eastAsia="宋体" w:cs="宋体"/>
                <w:u w:val="single"/>
              </w:rPr>
            </w:pPr>
            <w:r>
              <w:rPr>
                <w:rFonts w:hint="eastAsia"/>
                <w:u w:val="single"/>
                <w:lang w:eastAsia="zh-CN"/>
              </w:rPr>
              <w:t>三级</w:t>
            </w:r>
          </w:p>
        </w:tc>
        <w:tc>
          <w:tcPr>
            <w:tcW w:w="1694" w:type="dxa"/>
            <w:noWrap w:val="0"/>
            <w:vAlign w:val="center"/>
          </w:tcPr>
          <w:p>
            <w:pPr>
              <w:pStyle w:val="120"/>
              <w:bidi w:val="0"/>
              <w:jc w:val="center"/>
              <w:rPr>
                <w:rFonts w:hint="eastAsia"/>
                <w:u w:val="single"/>
                <w:lang w:eastAsia="zh-CN"/>
              </w:rPr>
            </w:pPr>
            <w:r>
              <w:rPr>
                <w:rFonts w:hint="eastAsia"/>
                <w:u w:val="single"/>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vMerge w:val="continue"/>
            <w:noWrap w:val="0"/>
            <w:vAlign w:val="center"/>
          </w:tcPr>
          <w:p>
            <w:pPr>
              <w:pStyle w:val="120"/>
              <w:bidi w:val="0"/>
              <w:jc w:val="center"/>
              <w:rPr>
                <w:rFonts w:hint="eastAsia"/>
                <w:u w:val="single"/>
                <w:lang w:eastAsia="zh-CN"/>
              </w:rPr>
            </w:pPr>
          </w:p>
        </w:tc>
        <w:tc>
          <w:tcPr>
            <w:tcW w:w="1200" w:type="dxa"/>
            <w:noWrap w:val="0"/>
            <w:vAlign w:val="center"/>
          </w:tcPr>
          <w:p>
            <w:pPr>
              <w:pStyle w:val="120"/>
              <w:bidi w:val="0"/>
              <w:jc w:val="center"/>
              <w:rPr>
                <w:rFonts w:hint="eastAsia"/>
                <w:u w:val="single"/>
                <w:lang w:eastAsia="zh-CN"/>
              </w:rPr>
            </w:pPr>
            <w:r>
              <w:rPr>
                <w:rFonts w:hint="eastAsia"/>
                <w:u w:val="single"/>
                <w:lang w:eastAsia="zh-CN"/>
              </w:rPr>
              <w:t>项目评价工作确定</w:t>
            </w:r>
          </w:p>
        </w:tc>
        <w:tc>
          <w:tcPr>
            <w:tcW w:w="5708" w:type="dxa"/>
            <w:gridSpan w:val="3"/>
            <w:noWrap w:val="0"/>
            <w:vAlign w:val="center"/>
          </w:tcPr>
          <w:p>
            <w:pPr>
              <w:pStyle w:val="120"/>
              <w:bidi w:val="0"/>
              <w:jc w:val="center"/>
              <w:rPr>
                <w:rFonts w:hint="eastAsia"/>
                <w:u w:val="single"/>
                <w:lang w:eastAsia="zh-CN"/>
              </w:rPr>
            </w:pPr>
            <w:r>
              <w:rPr>
                <w:rFonts w:hint="eastAsia"/>
                <w:u w:val="single"/>
                <w:lang w:eastAsia="zh-CN"/>
              </w:rPr>
              <w:t>三级</w:t>
            </w:r>
          </w:p>
        </w:tc>
      </w:tr>
    </w:tbl>
    <w:p>
      <w:pPr>
        <w:ind w:firstLine="480"/>
        <w:jc w:val="both"/>
        <w:rPr>
          <w:color w:val="auto"/>
          <w:kern w:val="0"/>
          <w:u w:val="none"/>
        </w:rPr>
      </w:pPr>
      <w:r>
        <w:rPr>
          <w:rFonts w:hint="eastAsia"/>
          <w:color w:val="auto"/>
          <w:kern w:val="0"/>
          <w:u w:val="single"/>
          <w:lang w:eastAsia="zh-CN"/>
        </w:rPr>
        <w:t>综上，本项目</w:t>
      </w:r>
      <w:r>
        <w:rPr>
          <w:rFonts w:hint="eastAsia"/>
          <w:color w:val="auto"/>
          <w:kern w:val="0"/>
          <w:u w:val="single"/>
        </w:rPr>
        <w:t>评价等级确定为</w:t>
      </w:r>
      <w:r>
        <w:rPr>
          <w:rFonts w:hint="eastAsia"/>
          <w:color w:val="auto"/>
          <w:kern w:val="0"/>
          <w:u w:val="single"/>
          <w:lang w:eastAsia="zh-CN"/>
        </w:rPr>
        <w:t>三</w:t>
      </w:r>
      <w:r>
        <w:rPr>
          <w:rFonts w:hint="eastAsia"/>
          <w:color w:val="auto"/>
          <w:kern w:val="0"/>
          <w:u w:val="single"/>
        </w:rPr>
        <w:t>级</w:t>
      </w:r>
      <w:r>
        <w:rPr>
          <w:rFonts w:hint="eastAsia"/>
          <w:color w:val="auto"/>
          <w:kern w:val="0"/>
          <w:u w:val="single"/>
          <w:lang w:eastAsia="zh-CN"/>
        </w:rPr>
        <w:t>，故</w:t>
      </w:r>
      <w:r>
        <w:rPr>
          <w:rFonts w:hint="eastAsia"/>
          <w:color w:val="auto"/>
          <w:kern w:val="0"/>
          <w:u w:val="single"/>
        </w:rPr>
        <w:t>本次声环境评价范围为建设用地厂界范围外</w:t>
      </w:r>
      <w:r>
        <w:rPr>
          <w:rFonts w:hint="eastAsia"/>
          <w:color w:val="auto"/>
          <w:kern w:val="0"/>
          <w:u w:val="single"/>
          <w:lang w:val="en-US" w:eastAsia="zh-CN"/>
        </w:rPr>
        <w:t>100</w:t>
      </w:r>
      <w:r>
        <w:rPr>
          <w:rFonts w:hint="eastAsia"/>
          <w:color w:val="auto"/>
          <w:kern w:val="0"/>
          <w:u w:val="single"/>
        </w:rPr>
        <w:t>m区域。</w:t>
      </w:r>
    </w:p>
    <w:p>
      <w:pPr>
        <w:pStyle w:val="6"/>
        <w:bidi w:val="0"/>
        <w:rPr>
          <w:rFonts w:hint="eastAsia"/>
        </w:rPr>
      </w:pPr>
      <w:bookmarkStart w:id="109" w:name="_Toc489349968"/>
      <w:bookmarkStart w:id="110" w:name="_Toc489350226"/>
      <w:bookmarkStart w:id="111" w:name="_Toc489350125"/>
      <w:r>
        <w:rPr>
          <w:rFonts w:hint="eastAsia"/>
        </w:rPr>
        <w:t>1.7.4土壤环境影响评价等级</w:t>
      </w:r>
    </w:p>
    <w:p>
      <w:pPr>
        <w:ind w:firstLine="480"/>
        <w:jc w:val="both"/>
        <w:rPr>
          <w:color w:val="auto"/>
          <w:position w:val="-1"/>
          <w:u w:val="none"/>
        </w:rPr>
      </w:pPr>
      <w:r>
        <w:rPr>
          <w:rFonts w:hint="eastAsia"/>
          <w:color w:val="auto"/>
          <w:u w:val="none"/>
        </w:rPr>
        <w:t>本项目为污水处理厂项目，根据</w:t>
      </w:r>
      <w:r>
        <w:rPr>
          <w:color w:val="auto"/>
          <w:kern w:val="24"/>
          <w:u w:val="none"/>
        </w:rPr>
        <w:t>HJ964-20</w:t>
      </w:r>
      <w:r>
        <w:rPr>
          <w:rFonts w:hint="eastAsia"/>
          <w:color w:val="auto"/>
          <w:kern w:val="24"/>
          <w:u w:val="none"/>
        </w:rPr>
        <w:t>1</w:t>
      </w:r>
      <w:r>
        <w:rPr>
          <w:color w:val="auto"/>
          <w:kern w:val="24"/>
          <w:u w:val="none"/>
        </w:rPr>
        <w:t>8《</w:t>
      </w:r>
      <w:r>
        <w:rPr>
          <w:color w:val="auto"/>
          <w:u w:val="none"/>
        </w:rPr>
        <w:t>环境影响评价技术导则—</w:t>
      </w:r>
      <w:r>
        <w:rPr>
          <w:rFonts w:hint="eastAsia"/>
          <w:color w:val="auto"/>
          <w:u w:val="none"/>
        </w:rPr>
        <w:t>土壤</w:t>
      </w:r>
      <w:r>
        <w:rPr>
          <w:color w:val="auto"/>
          <w:u w:val="none"/>
        </w:rPr>
        <w:t>环境</w:t>
      </w:r>
      <w:r>
        <w:rPr>
          <w:rFonts w:hint="eastAsia"/>
          <w:color w:val="auto"/>
          <w:u w:val="none"/>
        </w:rPr>
        <w:t>（试行）</w:t>
      </w:r>
      <w:r>
        <w:rPr>
          <w:color w:val="auto"/>
          <w:kern w:val="24"/>
          <w:u w:val="none"/>
        </w:rPr>
        <w:t>》</w:t>
      </w:r>
      <w:r>
        <w:rPr>
          <w:rFonts w:hint="eastAsia"/>
          <w:color w:val="auto"/>
          <w:kern w:val="24"/>
          <w:u w:val="none"/>
        </w:rPr>
        <w:t>中附录A-土壤环境影响评价行业分类表，本项目属于II类。</w:t>
      </w:r>
      <w:r>
        <w:rPr>
          <w:color w:val="auto"/>
          <w:u w:val="none"/>
        </w:rPr>
        <w:t>项目</w:t>
      </w:r>
      <w:r>
        <w:rPr>
          <w:rFonts w:hint="eastAsia"/>
          <w:color w:val="auto"/>
          <w:u w:val="none"/>
        </w:rPr>
        <w:t>位于</w:t>
      </w:r>
      <w:r>
        <w:rPr>
          <w:rFonts w:hint="eastAsia"/>
          <w:color w:val="auto"/>
          <w:u w:val="none"/>
          <w:lang w:eastAsia="zh-CN"/>
        </w:rPr>
        <w:t>永顺经济开发区猛洞河产业园</w:t>
      </w:r>
      <w:r>
        <w:rPr>
          <w:rFonts w:hint="eastAsia"/>
          <w:color w:val="auto"/>
          <w:u w:val="none"/>
        </w:rPr>
        <w:t>，属于土壤环境污染影响类敏感程度分级表的“不敏感”地区；项目占地规模为小型。</w:t>
      </w:r>
      <w:r>
        <w:rPr>
          <w:color w:val="auto"/>
          <w:u w:val="none"/>
        </w:rPr>
        <w:t>由下表可知，</w:t>
      </w:r>
      <w:r>
        <w:rPr>
          <w:rFonts w:hint="eastAsia"/>
          <w:color w:val="auto"/>
          <w:u w:val="none"/>
        </w:rPr>
        <w:t>本项目土壤评价等级为三级</w:t>
      </w:r>
      <w:r>
        <w:rPr>
          <w:color w:val="auto"/>
          <w:position w:val="-1"/>
          <w:u w:val="none"/>
        </w:rPr>
        <w:t>。</w:t>
      </w:r>
    </w:p>
    <w:p>
      <w:pPr>
        <w:spacing w:line="240" w:lineRule="auto"/>
        <w:ind w:firstLine="420"/>
        <w:jc w:val="center"/>
        <w:rPr>
          <w:rFonts w:cs="宋体"/>
          <w:b/>
          <w:bCs/>
          <w:color w:val="auto"/>
          <w:sz w:val="21"/>
          <w:szCs w:val="21"/>
          <w:u w:val="none"/>
        </w:rPr>
      </w:pPr>
      <w:r>
        <w:rPr>
          <w:rFonts w:cs="宋体"/>
          <w:b/>
          <w:bCs/>
          <w:color w:val="auto"/>
          <w:sz w:val="21"/>
          <w:szCs w:val="21"/>
          <w:u w:val="none"/>
        </w:rPr>
        <w:t>表</w:t>
      </w:r>
      <w:r>
        <w:rPr>
          <w:rFonts w:cs="宋体"/>
          <w:b/>
          <w:bCs/>
          <w:color w:val="auto"/>
          <w:spacing w:val="-52"/>
          <w:sz w:val="21"/>
          <w:szCs w:val="21"/>
          <w:u w:val="none"/>
        </w:rPr>
        <w:t xml:space="preserve"> </w:t>
      </w:r>
      <w:r>
        <w:rPr>
          <w:rFonts w:cs="宋体"/>
          <w:b/>
          <w:bCs/>
          <w:color w:val="auto"/>
          <w:spacing w:val="-8"/>
          <w:sz w:val="21"/>
          <w:szCs w:val="21"/>
          <w:u w:val="none"/>
        </w:rPr>
        <w:t>1.7-</w:t>
      </w:r>
      <w:r>
        <w:rPr>
          <w:rFonts w:hint="eastAsia" w:cs="宋体"/>
          <w:b/>
          <w:bCs/>
          <w:color w:val="auto"/>
          <w:spacing w:val="-8"/>
          <w:sz w:val="21"/>
          <w:szCs w:val="21"/>
          <w:u w:val="none"/>
          <w:lang w:val="en-US" w:eastAsia="zh-CN"/>
        </w:rPr>
        <w:t>11</w:t>
      </w:r>
      <w:r>
        <w:rPr>
          <w:rFonts w:cs="宋体"/>
          <w:b/>
          <w:bCs/>
          <w:color w:val="auto"/>
          <w:spacing w:val="-8"/>
          <w:sz w:val="21"/>
          <w:szCs w:val="21"/>
          <w:u w:val="none"/>
        </w:rPr>
        <w:t xml:space="preserve"> </w:t>
      </w:r>
      <w:r>
        <w:rPr>
          <w:rFonts w:hint="eastAsia" w:cs="宋体"/>
          <w:b/>
          <w:bCs/>
          <w:color w:val="auto"/>
          <w:sz w:val="21"/>
          <w:szCs w:val="21"/>
          <w:u w:val="none"/>
        </w:rPr>
        <w:t xml:space="preserve"> </w:t>
      </w:r>
      <w:r>
        <w:rPr>
          <w:rFonts w:cs="宋体"/>
          <w:b/>
          <w:bCs/>
          <w:color w:val="auto"/>
          <w:sz w:val="21"/>
          <w:szCs w:val="21"/>
          <w:u w:val="none"/>
        </w:rPr>
        <w:t>评价工作等级分级</w:t>
      </w:r>
      <w:r>
        <w:rPr>
          <w:rFonts w:hint="eastAsia" w:cs="宋体"/>
          <w:b/>
          <w:bCs/>
          <w:color w:val="auto"/>
          <w:sz w:val="21"/>
          <w:szCs w:val="21"/>
          <w:u w:val="none"/>
        </w:rPr>
        <w:t>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9"/>
        <w:gridCol w:w="725"/>
        <w:gridCol w:w="821"/>
        <w:gridCol w:w="708"/>
        <w:gridCol w:w="704"/>
        <w:gridCol w:w="704"/>
        <w:gridCol w:w="703"/>
        <w:gridCol w:w="704"/>
        <w:gridCol w:w="679"/>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45" w:type="pct"/>
            <w:vMerge w:val="restart"/>
            <w:noWrap w:val="0"/>
            <w:vAlign w:val="center"/>
          </w:tcPr>
          <w:p>
            <w:pPr>
              <w:snapToGrid w:val="0"/>
              <w:spacing w:line="240" w:lineRule="auto"/>
              <w:ind w:firstLine="0" w:firstLineChars="0"/>
              <w:jc w:val="center"/>
              <w:rPr>
                <w:rFonts w:cs="黑体"/>
                <w:color w:val="auto"/>
                <w:sz w:val="21"/>
                <w:szCs w:val="21"/>
                <w:u w:val="none"/>
              </w:rPr>
            </w:pPr>
            <w:r>
              <w:rPr>
                <w:rFonts w:hint="eastAsia" w:cs="宋体"/>
                <w:bCs/>
                <w:color w:val="auto"/>
                <w:sz w:val="21"/>
                <w:szCs w:val="21"/>
                <w:u w:val="none"/>
              </w:rPr>
              <mc:AlternateContent>
                <mc:Choice Requires="wps">
                  <w:drawing>
                    <wp:anchor distT="0" distB="0" distL="114300" distR="114300" simplePos="0" relativeHeight="251667456" behindDoc="0" locked="0" layoutInCell="1" allowOverlap="1">
                      <wp:simplePos x="0" y="0"/>
                      <wp:positionH relativeFrom="column">
                        <wp:posOffset>-59055</wp:posOffset>
                      </wp:positionH>
                      <wp:positionV relativeFrom="paragraph">
                        <wp:posOffset>635</wp:posOffset>
                      </wp:positionV>
                      <wp:extent cx="1207135" cy="560070"/>
                      <wp:effectExtent l="1905" t="4445" r="10160" b="14605"/>
                      <wp:wrapNone/>
                      <wp:docPr id="9" name="自选图形 518"/>
                      <wp:cNvGraphicFramePr/>
                      <a:graphic xmlns:a="http://schemas.openxmlformats.org/drawingml/2006/main">
                        <a:graphicData uri="http://schemas.microsoft.com/office/word/2010/wordprocessingShape">
                          <wps:wsp>
                            <wps:cNvCnPr/>
                            <wps:spPr>
                              <a:xfrm>
                                <a:off x="0" y="0"/>
                                <a:ext cx="1207135" cy="56007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自选图形 518" o:spid="_x0000_s1026" o:spt="32" type="#_x0000_t32" style="position:absolute;left:0pt;margin-left:-4.65pt;margin-top:0.05pt;height:44.1pt;width:95.05pt;z-index:251667456;mso-width-relative:page;mso-height-relative:page;" filled="f" stroked="t" coordsize="21600,21600" o:gfxdata="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VsHvHUAAAABgEAAA8AAAAAAAAAAQAgAAAAIgAAAGRycy9kb3ducmV2Lnht&#10;bFBLAQIUABQAAAAIAIdO4kCp5wjP/QEAAOoDAAAOAAAAAAAAAAEAIAAAACMBAABkcnMvZTJvRG9j&#10;LnhtbFBLBQYAAAAABgAGAFkBAACSBQAAAAA=&#10;">
                      <v:fill on="f" focussize="0,0"/>
                      <v:stroke weight="0.5pt" color="#000000" joinstyle="round"/>
                      <v:imagedata o:title=""/>
                      <o:lock v:ext="edit" aspectratio="f"/>
                    </v:shape>
                  </w:pict>
                </mc:Fallback>
              </mc:AlternateContent>
            </w:r>
            <w:r>
              <w:rPr>
                <w:rFonts w:cs="宋体"/>
                <w:b/>
                <w:bCs/>
                <w:color w:val="auto"/>
                <w:sz w:val="21"/>
                <w:szCs w:val="21"/>
                <w:u w:val="none"/>
              </w:rPr>
              <mc:AlternateContent>
                <mc:Choice Requires="wps">
                  <w:drawing>
                    <wp:anchor distT="0" distB="0" distL="114300" distR="114300" simplePos="0" relativeHeight="251666432" behindDoc="0" locked="0" layoutInCell="1" allowOverlap="1">
                      <wp:simplePos x="0" y="0"/>
                      <wp:positionH relativeFrom="column">
                        <wp:posOffset>428625</wp:posOffset>
                      </wp:positionH>
                      <wp:positionV relativeFrom="paragraph">
                        <wp:posOffset>-13970</wp:posOffset>
                      </wp:positionV>
                      <wp:extent cx="713740" cy="560070"/>
                      <wp:effectExtent l="3175" t="3810" r="14605" b="15240"/>
                      <wp:wrapNone/>
                      <wp:docPr id="8" name="自选图形 517"/>
                      <wp:cNvGraphicFramePr/>
                      <a:graphic xmlns:a="http://schemas.openxmlformats.org/drawingml/2006/main">
                        <a:graphicData uri="http://schemas.microsoft.com/office/word/2010/wordprocessingShape">
                          <wps:wsp>
                            <wps:cNvCnPr/>
                            <wps:spPr>
                              <a:xfrm>
                                <a:off x="0" y="0"/>
                                <a:ext cx="713740" cy="56007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自选图形 517" o:spid="_x0000_s1026" o:spt="32" type="#_x0000_t32" style="position:absolute;left:0pt;margin-left:33.75pt;margin-top:-1.1pt;height:44.1pt;width:56.2pt;z-index:251666432;mso-width-relative:page;mso-height-relative:page;" filled="f" stroked="t" coordsize="21600,21600" o:gfxdata="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JxGd1wAAAAgBAAAPAAAAAAAAAAEAIAAAACIAAABkcnMvZG93bnJldi54&#10;bWxQSwECFAAUAAAACACHTuJAzrI90PsBAADpAwAADgAAAAAAAAABACAAAAAmAQAAZHJzL2Uyb0Rv&#10;Yy54bWxQSwUGAAAAAAYABgBZAQAAkwUAAAAA&#10;">
                      <v:fill on="f" focussize="0,0"/>
                      <v:stroke weight="0.5pt" color="#000000" joinstyle="round"/>
                      <v:imagedata o:title=""/>
                      <o:lock v:ext="edit" aspectratio="f"/>
                    </v:shape>
                  </w:pict>
                </mc:Fallback>
              </mc:AlternateContent>
            </w:r>
            <w:r>
              <w:rPr>
                <w:rFonts w:hint="eastAsia" w:cs="黑体"/>
                <w:color w:val="auto"/>
                <w:sz w:val="21"/>
                <w:szCs w:val="21"/>
                <w:u w:val="none"/>
              </w:rPr>
              <w:t xml:space="preserve"> </w:t>
            </w:r>
            <w:r>
              <w:rPr>
                <w:rFonts w:cs="黑体"/>
                <w:color w:val="auto"/>
                <w:sz w:val="21"/>
                <w:szCs w:val="21"/>
                <w:u w:val="none"/>
              </w:rPr>
              <w:t xml:space="preserve">       </w:t>
            </w:r>
            <w:r>
              <w:rPr>
                <w:rFonts w:hint="eastAsia" w:cs="黑体"/>
                <w:color w:val="auto"/>
                <w:sz w:val="21"/>
                <w:szCs w:val="21"/>
                <w:u w:val="none"/>
              </w:rPr>
              <w:t>占地规模</w:t>
            </w:r>
          </w:p>
          <w:p>
            <w:pPr>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 xml:space="preserve"> 评价工作等级</w:t>
            </w:r>
          </w:p>
          <w:p>
            <w:pPr>
              <w:snapToGrid w:val="0"/>
              <w:spacing w:line="240" w:lineRule="auto"/>
              <w:ind w:firstLine="0" w:firstLineChars="0"/>
              <w:rPr>
                <w:rFonts w:hint="eastAsia" w:cs="黑体"/>
                <w:color w:val="auto"/>
                <w:sz w:val="21"/>
                <w:szCs w:val="21"/>
                <w:u w:val="none"/>
              </w:rPr>
            </w:pPr>
            <w:r>
              <w:rPr>
                <w:rFonts w:hint="eastAsia" w:cs="黑体"/>
                <w:color w:val="auto"/>
                <w:sz w:val="21"/>
                <w:szCs w:val="21"/>
                <w:u w:val="none"/>
              </w:rPr>
              <w:t>环境敏感程度</w:t>
            </w:r>
          </w:p>
        </w:tc>
        <w:tc>
          <w:tcPr>
            <w:tcW w:w="1331" w:type="pct"/>
            <w:gridSpan w:val="3"/>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I类</w:t>
            </w:r>
          </w:p>
        </w:tc>
        <w:tc>
          <w:tcPr>
            <w:tcW w:w="1247" w:type="pct"/>
            <w:gridSpan w:val="3"/>
            <w:noWrap w:val="0"/>
            <w:vAlign w:val="center"/>
          </w:tcPr>
          <w:p>
            <w:pPr>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II类</w:t>
            </w:r>
          </w:p>
        </w:tc>
        <w:tc>
          <w:tcPr>
            <w:tcW w:w="1277" w:type="pct"/>
            <w:gridSpan w:val="3"/>
            <w:noWrap w:val="0"/>
            <w:vAlign w:val="center"/>
          </w:tcPr>
          <w:p>
            <w:pPr>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45" w:type="pct"/>
            <w:vMerge w:val="continue"/>
            <w:noWrap w:val="0"/>
            <w:vAlign w:val="center"/>
          </w:tcPr>
          <w:p>
            <w:pPr>
              <w:snapToGrid w:val="0"/>
              <w:spacing w:line="240" w:lineRule="auto"/>
              <w:ind w:firstLine="0" w:firstLineChars="0"/>
              <w:jc w:val="center"/>
              <w:rPr>
                <w:rFonts w:hint="eastAsia" w:cs="黑体"/>
                <w:color w:val="auto"/>
                <w:sz w:val="21"/>
                <w:szCs w:val="21"/>
                <w:u w:val="none"/>
              </w:rPr>
            </w:pPr>
          </w:p>
        </w:tc>
        <w:tc>
          <w:tcPr>
            <w:tcW w:w="428"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大</w:t>
            </w:r>
          </w:p>
        </w:tc>
        <w:tc>
          <w:tcPr>
            <w:tcW w:w="485"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中</w:t>
            </w:r>
          </w:p>
        </w:tc>
        <w:tc>
          <w:tcPr>
            <w:tcW w:w="417"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小</w:t>
            </w:r>
          </w:p>
        </w:tc>
        <w:tc>
          <w:tcPr>
            <w:tcW w:w="416"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大</w:t>
            </w:r>
          </w:p>
        </w:tc>
        <w:tc>
          <w:tcPr>
            <w:tcW w:w="416"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中</w:t>
            </w:r>
          </w:p>
        </w:tc>
        <w:tc>
          <w:tcPr>
            <w:tcW w:w="415"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小</w:t>
            </w:r>
          </w:p>
        </w:tc>
        <w:tc>
          <w:tcPr>
            <w:tcW w:w="416"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大</w:t>
            </w:r>
          </w:p>
        </w:tc>
        <w:tc>
          <w:tcPr>
            <w:tcW w:w="401"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中</w:t>
            </w:r>
          </w:p>
        </w:tc>
        <w:tc>
          <w:tcPr>
            <w:tcW w:w="460"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敏感</w:t>
            </w:r>
          </w:p>
        </w:tc>
        <w:tc>
          <w:tcPr>
            <w:tcW w:w="428"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一级</w:t>
            </w:r>
          </w:p>
        </w:tc>
        <w:tc>
          <w:tcPr>
            <w:tcW w:w="485"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一级</w:t>
            </w:r>
          </w:p>
        </w:tc>
        <w:tc>
          <w:tcPr>
            <w:tcW w:w="417"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一级</w:t>
            </w:r>
          </w:p>
        </w:tc>
        <w:tc>
          <w:tcPr>
            <w:tcW w:w="416"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二级</w:t>
            </w:r>
          </w:p>
        </w:tc>
        <w:tc>
          <w:tcPr>
            <w:tcW w:w="416"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二级</w:t>
            </w:r>
          </w:p>
        </w:tc>
        <w:tc>
          <w:tcPr>
            <w:tcW w:w="415" w:type="pct"/>
            <w:noWrap w:val="0"/>
            <w:vAlign w:val="center"/>
          </w:tcPr>
          <w:p>
            <w:pPr>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二级</w:t>
            </w:r>
          </w:p>
        </w:tc>
        <w:tc>
          <w:tcPr>
            <w:tcW w:w="416"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三级</w:t>
            </w:r>
          </w:p>
        </w:tc>
        <w:tc>
          <w:tcPr>
            <w:tcW w:w="401"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三级</w:t>
            </w:r>
          </w:p>
        </w:tc>
        <w:tc>
          <w:tcPr>
            <w:tcW w:w="460"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较敏感</w:t>
            </w:r>
          </w:p>
        </w:tc>
        <w:tc>
          <w:tcPr>
            <w:tcW w:w="428" w:type="pct"/>
            <w:noWrap w:val="0"/>
            <w:vAlign w:val="center"/>
          </w:tcPr>
          <w:p>
            <w:pPr>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一级</w:t>
            </w:r>
          </w:p>
        </w:tc>
        <w:tc>
          <w:tcPr>
            <w:tcW w:w="485" w:type="pct"/>
            <w:noWrap w:val="0"/>
            <w:vAlign w:val="center"/>
          </w:tcPr>
          <w:p>
            <w:pPr>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一级</w:t>
            </w:r>
          </w:p>
        </w:tc>
        <w:tc>
          <w:tcPr>
            <w:tcW w:w="417"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二级</w:t>
            </w:r>
          </w:p>
        </w:tc>
        <w:tc>
          <w:tcPr>
            <w:tcW w:w="416"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二级</w:t>
            </w:r>
          </w:p>
        </w:tc>
        <w:tc>
          <w:tcPr>
            <w:tcW w:w="416"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二级</w:t>
            </w:r>
          </w:p>
        </w:tc>
        <w:tc>
          <w:tcPr>
            <w:tcW w:w="415" w:type="pct"/>
            <w:noWrap w:val="0"/>
            <w:vAlign w:val="center"/>
          </w:tcPr>
          <w:p>
            <w:pPr>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三级</w:t>
            </w:r>
          </w:p>
        </w:tc>
        <w:tc>
          <w:tcPr>
            <w:tcW w:w="416"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三级</w:t>
            </w:r>
          </w:p>
        </w:tc>
        <w:tc>
          <w:tcPr>
            <w:tcW w:w="401"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三级</w:t>
            </w:r>
          </w:p>
        </w:tc>
        <w:tc>
          <w:tcPr>
            <w:tcW w:w="460" w:type="pct"/>
            <w:noWrap w:val="0"/>
            <w:vAlign w:val="center"/>
          </w:tcPr>
          <w:p>
            <w:pPr>
              <w:snapToGrid w:val="0"/>
              <w:spacing w:line="240" w:lineRule="auto"/>
              <w:ind w:firstLine="0" w:firstLineChars="0"/>
              <w:jc w:val="center"/>
              <w:rPr>
                <w:rFonts w:hint="eastAsia" w:cs="黑体"/>
                <w:color w:val="auto"/>
                <w:sz w:val="21"/>
                <w:szCs w:val="21"/>
                <w:u w:val="none"/>
              </w:rPr>
            </w:pPr>
            <w:r>
              <w:rPr>
                <w:rFonts w:cs="黑体"/>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不敏感</w:t>
            </w:r>
          </w:p>
        </w:tc>
        <w:tc>
          <w:tcPr>
            <w:tcW w:w="428" w:type="pct"/>
            <w:noWrap w:val="0"/>
            <w:vAlign w:val="center"/>
          </w:tcPr>
          <w:p>
            <w:pPr>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一级</w:t>
            </w:r>
          </w:p>
        </w:tc>
        <w:tc>
          <w:tcPr>
            <w:tcW w:w="485" w:type="pct"/>
            <w:noWrap w:val="0"/>
            <w:vAlign w:val="center"/>
          </w:tcPr>
          <w:p>
            <w:pPr>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二级</w:t>
            </w:r>
          </w:p>
        </w:tc>
        <w:tc>
          <w:tcPr>
            <w:tcW w:w="417"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二级</w:t>
            </w:r>
          </w:p>
        </w:tc>
        <w:tc>
          <w:tcPr>
            <w:tcW w:w="416"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二级</w:t>
            </w:r>
          </w:p>
        </w:tc>
        <w:tc>
          <w:tcPr>
            <w:tcW w:w="416"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三级</w:t>
            </w:r>
          </w:p>
        </w:tc>
        <w:tc>
          <w:tcPr>
            <w:tcW w:w="415" w:type="pct"/>
            <w:noWrap w:val="0"/>
            <w:vAlign w:val="center"/>
          </w:tcPr>
          <w:p>
            <w:pPr>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三级</w:t>
            </w:r>
          </w:p>
        </w:tc>
        <w:tc>
          <w:tcPr>
            <w:tcW w:w="416" w:type="pct"/>
            <w:noWrap w:val="0"/>
            <w:vAlign w:val="center"/>
          </w:tcPr>
          <w:p>
            <w:pPr>
              <w:spacing w:line="240" w:lineRule="auto"/>
              <w:ind w:firstLine="0" w:firstLineChars="0"/>
              <w:jc w:val="center"/>
              <w:rPr>
                <w:color w:val="auto"/>
                <w:sz w:val="21"/>
                <w:szCs w:val="21"/>
                <w:u w:val="none"/>
              </w:rPr>
            </w:pPr>
            <w:r>
              <w:rPr>
                <w:rFonts w:hint="eastAsia"/>
                <w:color w:val="auto"/>
                <w:sz w:val="21"/>
                <w:szCs w:val="21"/>
                <w:u w:val="none"/>
              </w:rPr>
              <w:t>三级</w:t>
            </w:r>
          </w:p>
        </w:tc>
        <w:tc>
          <w:tcPr>
            <w:tcW w:w="401" w:type="pct"/>
            <w:noWrap w:val="0"/>
            <w:vAlign w:val="center"/>
          </w:tcPr>
          <w:p>
            <w:pPr>
              <w:snapToGrid w:val="0"/>
              <w:spacing w:line="240" w:lineRule="auto"/>
              <w:ind w:firstLine="0" w:firstLineChars="0"/>
              <w:jc w:val="center"/>
              <w:rPr>
                <w:rFonts w:hint="eastAsia" w:cs="黑体"/>
                <w:color w:val="auto"/>
                <w:sz w:val="21"/>
                <w:szCs w:val="21"/>
                <w:u w:val="none"/>
              </w:rPr>
            </w:pPr>
            <w:r>
              <w:rPr>
                <w:rFonts w:cs="黑体"/>
                <w:color w:val="auto"/>
                <w:sz w:val="21"/>
                <w:szCs w:val="21"/>
                <w:u w:val="none"/>
              </w:rPr>
              <w:t>—</w:t>
            </w:r>
          </w:p>
        </w:tc>
        <w:tc>
          <w:tcPr>
            <w:tcW w:w="460" w:type="pct"/>
            <w:noWrap w:val="0"/>
            <w:vAlign w:val="center"/>
          </w:tcPr>
          <w:p>
            <w:pPr>
              <w:snapToGrid w:val="0"/>
              <w:spacing w:line="240" w:lineRule="auto"/>
              <w:ind w:firstLine="0" w:firstLineChars="0"/>
              <w:jc w:val="center"/>
              <w:rPr>
                <w:rFonts w:hint="eastAsia" w:cs="黑体"/>
                <w:color w:val="auto"/>
                <w:sz w:val="21"/>
                <w:szCs w:val="21"/>
                <w:u w:val="none"/>
              </w:rPr>
            </w:pPr>
            <w:r>
              <w:rPr>
                <w:rFonts w:cs="黑体"/>
                <w:color w:val="auto"/>
                <w:sz w:val="21"/>
                <w:szCs w:val="21"/>
                <w:u w:val="none"/>
              </w:rPr>
              <w:t>—</w:t>
            </w:r>
          </w:p>
        </w:tc>
      </w:tr>
    </w:tbl>
    <w:p>
      <w:pPr>
        <w:ind w:firstLine="480"/>
        <w:rPr>
          <w:rFonts w:hint="eastAsia"/>
          <w:color w:val="auto"/>
          <w:kern w:val="0"/>
          <w:szCs w:val="22"/>
          <w:u w:val="none"/>
        </w:rPr>
      </w:pPr>
      <w:r>
        <w:rPr>
          <w:rFonts w:hint="eastAsia"/>
          <w:color w:val="auto"/>
          <w:kern w:val="0"/>
          <w:szCs w:val="22"/>
          <w:u w:val="none"/>
        </w:rPr>
        <w:t>评价范围为项目所在地占地范围外5</w:t>
      </w:r>
      <w:r>
        <w:rPr>
          <w:color w:val="auto"/>
          <w:kern w:val="0"/>
          <w:szCs w:val="22"/>
          <w:u w:val="none"/>
        </w:rPr>
        <w:t>0m</w:t>
      </w:r>
      <w:r>
        <w:rPr>
          <w:rFonts w:hint="eastAsia"/>
          <w:color w:val="auto"/>
          <w:kern w:val="0"/>
          <w:szCs w:val="22"/>
          <w:u w:val="none"/>
          <w:lang w:eastAsia="zh-CN"/>
        </w:rPr>
        <w:t>的区域</w:t>
      </w:r>
      <w:r>
        <w:rPr>
          <w:rFonts w:hint="eastAsia"/>
          <w:color w:val="auto"/>
          <w:kern w:val="0"/>
          <w:szCs w:val="22"/>
          <w:u w:val="none"/>
        </w:rPr>
        <w:t>。</w:t>
      </w:r>
    </w:p>
    <w:p>
      <w:pPr>
        <w:pStyle w:val="6"/>
        <w:bidi w:val="0"/>
        <w:rPr>
          <w:rFonts w:hint="eastAsia"/>
        </w:rPr>
      </w:pPr>
      <w:r>
        <w:t>1.7.5</w:t>
      </w:r>
      <w:r>
        <w:rPr>
          <w:rFonts w:hint="eastAsia"/>
        </w:rPr>
        <w:t xml:space="preserve"> 生态环境</w:t>
      </w:r>
      <w:r>
        <w:rPr>
          <w:rFonts w:hint="eastAsia"/>
          <w:lang w:eastAsia="zh-CN"/>
        </w:rPr>
        <w:t>影响</w:t>
      </w:r>
      <w:r>
        <w:rPr>
          <w:rFonts w:hint="eastAsia"/>
        </w:rPr>
        <w:t>评价等级</w:t>
      </w:r>
      <w:bookmarkEnd w:id="109"/>
      <w:bookmarkEnd w:id="110"/>
      <w:bookmarkEnd w:id="111"/>
    </w:p>
    <w:p>
      <w:pPr>
        <w:ind w:firstLine="480"/>
        <w:jc w:val="both"/>
        <w:rPr>
          <w:rFonts w:hint="eastAsia"/>
          <w:color w:val="auto"/>
          <w:kern w:val="0"/>
          <w:szCs w:val="21"/>
          <w:u w:val="single"/>
          <w:lang w:eastAsia="zh-CN"/>
        </w:rPr>
      </w:pPr>
      <w:r>
        <w:rPr>
          <w:rFonts w:hint="eastAsia"/>
          <w:color w:val="auto"/>
          <w:kern w:val="0"/>
          <w:szCs w:val="21"/>
          <w:u w:val="single"/>
          <w:lang w:eastAsia="zh-CN"/>
        </w:rPr>
        <w:t>（</w:t>
      </w:r>
      <w:r>
        <w:rPr>
          <w:rFonts w:hint="eastAsia"/>
          <w:color w:val="auto"/>
          <w:kern w:val="0"/>
          <w:szCs w:val="21"/>
          <w:u w:val="single"/>
          <w:lang w:val="en-US" w:eastAsia="zh-CN"/>
        </w:rPr>
        <w:t>1</w:t>
      </w:r>
      <w:r>
        <w:rPr>
          <w:rFonts w:hint="eastAsia"/>
          <w:color w:val="auto"/>
          <w:kern w:val="0"/>
          <w:szCs w:val="21"/>
          <w:u w:val="single"/>
          <w:lang w:eastAsia="zh-CN"/>
        </w:rPr>
        <w:t>）评价等级</w:t>
      </w:r>
    </w:p>
    <w:p>
      <w:pPr>
        <w:ind w:firstLine="480"/>
        <w:jc w:val="both"/>
        <w:rPr>
          <w:rFonts w:hint="eastAsia"/>
          <w:color w:val="auto"/>
          <w:kern w:val="0"/>
          <w:szCs w:val="21"/>
          <w:u w:val="single"/>
          <w:lang w:val="en-US" w:eastAsia="zh-CN"/>
        </w:rPr>
      </w:pPr>
      <w:r>
        <w:rPr>
          <w:rFonts w:hint="eastAsia"/>
          <w:color w:val="auto"/>
          <w:kern w:val="0"/>
          <w:szCs w:val="21"/>
          <w:u w:val="single"/>
        </w:rPr>
        <w:t>本项目</w:t>
      </w:r>
      <w:r>
        <w:rPr>
          <w:color w:val="auto"/>
          <w:kern w:val="0"/>
          <w:szCs w:val="21"/>
          <w:u w:val="single"/>
        </w:rPr>
        <w:t>厂址位于</w:t>
      </w:r>
      <w:r>
        <w:rPr>
          <w:rFonts w:hint="eastAsia"/>
          <w:color w:val="auto"/>
          <w:kern w:val="0"/>
          <w:szCs w:val="21"/>
          <w:u w:val="single"/>
          <w:lang w:eastAsia="zh-CN"/>
        </w:rPr>
        <w:t>永顺经济开发区猛洞河产业园内，</w:t>
      </w:r>
      <w:r>
        <w:rPr>
          <w:rFonts w:hint="eastAsia"/>
          <w:color w:val="auto"/>
          <w:kern w:val="0"/>
          <w:szCs w:val="21"/>
          <w:u w:val="single"/>
        </w:rPr>
        <w:t>目前场地已平整，为</w:t>
      </w:r>
      <w:r>
        <w:rPr>
          <w:color w:val="auto"/>
          <w:u w:val="single"/>
        </w:rPr>
        <w:t>碎石回填区</w:t>
      </w:r>
      <w:r>
        <w:rPr>
          <w:rFonts w:hint="eastAsia"/>
          <w:color w:val="auto"/>
          <w:kern w:val="0"/>
          <w:szCs w:val="21"/>
          <w:u w:val="single"/>
        </w:rPr>
        <w:t>，</w:t>
      </w:r>
      <w:r>
        <w:rPr>
          <w:rFonts w:hint="eastAsia"/>
          <w:color w:val="auto"/>
          <w:kern w:val="0"/>
          <w:szCs w:val="21"/>
          <w:u w:val="single"/>
          <w:lang w:val="en-US" w:eastAsia="zh-CN"/>
        </w:rPr>
        <w:t>本项目排水管道靠近猛洞河一端及排污口涉及到湖南不二门国家级森林公园官河保育区（约300m）、湖南永顺猛洞河地质公园地质遗迹三级保护区（约560m）、猛洞河国家级风景名胜区外围保护区（约150m）、永顺县猛洞河湿地保护区，其他建设工程均不涉及。</w:t>
      </w:r>
    </w:p>
    <w:p>
      <w:pPr>
        <w:ind w:firstLine="480"/>
        <w:jc w:val="both"/>
        <w:rPr>
          <w:rFonts w:hint="eastAsia"/>
          <w:color w:val="auto"/>
          <w:kern w:val="0"/>
          <w:szCs w:val="21"/>
          <w:u w:val="single"/>
          <w:lang w:eastAsia="zh-CN"/>
        </w:rPr>
      </w:pPr>
      <w:r>
        <w:rPr>
          <w:rFonts w:hint="eastAsia"/>
          <w:color w:val="auto"/>
          <w:kern w:val="0"/>
          <w:szCs w:val="21"/>
          <w:u w:val="single"/>
        </w:rPr>
        <w:t>根据《环境影响评价技术导则 生态影响》（HJ19-</w:t>
      </w:r>
      <w:r>
        <w:rPr>
          <w:rFonts w:hint="eastAsia"/>
          <w:color w:val="auto"/>
          <w:kern w:val="0"/>
          <w:szCs w:val="21"/>
          <w:u w:val="single"/>
          <w:lang w:val="en-US" w:eastAsia="zh-CN"/>
        </w:rPr>
        <w:t>2022</w:t>
      </w:r>
      <w:r>
        <w:rPr>
          <w:rFonts w:hint="eastAsia"/>
          <w:color w:val="auto"/>
          <w:kern w:val="0"/>
          <w:szCs w:val="21"/>
          <w:u w:val="single"/>
        </w:rPr>
        <w:t>）</w:t>
      </w:r>
      <w:r>
        <w:rPr>
          <w:rFonts w:hint="eastAsia"/>
          <w:color w:val="auto"/>
          <w:kern w:val="0"/>
          <w:szCs w:val="21"/>
          <w:u w:val="single"/>
          <w:lang w:eastAsia="zh-CN"/>
        </w:rPr>
        <w:t>中评价等级判定原则：</w:t>
      </w:r>
    </w:p>
    <w:p>
      <w:pPr>
        <w:ind w:firstLine="480"/>
        <w:jc w:val="both"/>
        <w:rPr>
          <w:rFonts w:hint="eastAsia"/>
          <w:color w:val="auto"/>
          <w:kern w:val="0"/>
          <w:szCs w:val="21"/>
          <w:u w:val="single"/>
          <w:lang w:eastAsia="zh-CN"/>
        </w:rPr>
      </w:pPr>
      <w:r>
        <w:rPr>
          <w:rFonts w:hint="eastAsia"/>
          <w:color w:val="auto"/>
          <w:kern w:val="0"/>
          <w:szCs w:val="21"/>
          <w:u w:val="single"/>
          <w:lang w:eastAsia="zh-CN"/>
        </w:rPr>
        <w:t>①涉及国家公园、自然保护区、世界自然遗产、重要生境时，评价等级为一级；</w:t>
      </w:r>
    </w:p>
    <w:p>
      <w:pPr>
        <w:ind w:firstLine="480"/>
        <w:jc w:val="both"/>
        <w:rPr>
          <w:rFonts w:hint="eastAsia"/>
          <w:color w:val="auto"/>
          <w:kern w:val="0"/>
          <w:szCs w:val="21"/>
          <w:u w:val="single"/>
          <w:lang w:eastAsia="zh-CN"/>
        </w:rPr>
      </w:pPr>
      <w:r>
        <w:rPr>
          <w:rFonts w:hint="eastAsia"/>
          <w:color w:val="auto"/>
          <w:kern w:val="0"/>
          <w:szCs w:val="21"/>
          <w:u w:val="single"/>
          <w:lang w:eastAsia="zh-CN"/>
        </w:rPr>
        <w:t>②涉及自然公园时，评价等级为二级；</w:t>
      </w:r>
    </w:p>
    <w:p>
      <w:pPr>
        <w:ind w:firstLine="480"/>
        <w:jc w:val="both"/>
        <w:rPr>
          <w:rFonts w:hint="eastAsia"/>
          <w:color w:val="auto"/>
          <w:kern w:val="0"/>
          <w:szCs w:val="21"/>
          <w:u w:val="single"/>
          <w:lang w:eastAsia="zh-CN"/>
        </w:rPr>
      </w:pPr>
      <w:r>
        <w:rPr>
          <w:rFonts w:hint="eastAsia"/>
          <w:color w:val="auto"/>
          <w:kern w:val="0"/>
          <w:szCs w:val="21"/>
          <w:u w:val="single"/>
          <w:lang w:eastAsia="zh-CN"/>
        </w:rPr>
        <w:t>③涉及生态保护红线时，评价等级不低于二级；</w:t>
      </w:r>
    </w:p>
    <w:p>
      <w:pPr>
        <w:ind w:firstLine="480"/>
        <w:jc w:val="both"/>
        <w:rPr>
          <w:rFonts w:hint="eastAsia"/>
          <w:color w:val="auto"/>
          <w:kern w:val="0"/>
          <w:szCs w:val="21"/>
          <w:u w:val="single"/>
          <w:lang w:eastAsia="zh-CN"/>
        </w:rPr>
      </w:pPr>
      <w:r>
        <w:rPr>
          <w:rFonts w:hint="eastAsia"/>
          <w:color w:val="auto"/>
          <w:kern w:val="0"/>
          <w:szCs w:val="21"/>
          <w:u w:val="single"/>
          <w:lang w:eastAsia="zh-CN"/>
        </w:rPr>
        <w:t>④根据 HJ 2.3 判断属于水文要素影响型且地表水评价等级不低于二级的建设项目，生态影响评价等级不低于二级；</w:t>
      </w:r>
    </w:p>
    <w:p>
      <w:pPr>
        <w:ind w:firstLine="480"/>
        <w:jc w:val="both"/>
        <w:rPr>
          <w:rFonts w:hint="eastAsia"/>
          <w:color w:val="auto"/>
          <w:kern w:val="0"/>
          <w:szCs w:val="21"/>
          <w:u w:val="single"/>
          <w:lang w:eastAsia="zh-CN"/>
        </w:rPr>
      </w:pPr>
      <w:r>
        <w:rPr>
          <w:rFonts w:hint="eastAsia"/>
          <w:color w:val="auto"/>
          <w:kern w:val="0"/>
          <w:szCs w:val="21"/>
          <w:u w:val="single"/>
          <w:lang w:eastAsia="zh-CN"/>
        </w:rPr>
        <w:t>⑤根据 HJ 610、HJ 964 判断地下水水位或土壤影响范围内分布有天然林、公益林、湿地等生态保护目标的建设项目，生态影响评价等级不低于二级；</w:t>
      </w:r>
    </w:p>
    <w:p>
      <w:pPr>
        <w:ind w:firstLine="480"/>
        <w:jc w:val="both"/>
        <w:rPr>
          <w:rFonts w:hint="eastAsia"/>
          <w:color w:val="auto"/>
          <w:kern w:val="0"/>
          <w:szCs w:val="21"/>
          <w:u w:val="single"/>
          <w:lang w:eastAsia="zh-CN"/>
        </w:rPr>
      </w:pPr>
      <w:r>
        <w:rPr>
          <w:rFonts w:hint="eastAsia"/>
          <w:color w:val="auto"/>
          <w:kern w:val="0"/>
          <w:szCs w:val="21"/>
          <w:u w:val="single"/>
          <w:lang w:eastAsia="zh-CN"/>
        </w:rPr>
        <w:t>⑥当工程占地规模大于 20 km</w:t>
      </w:r>
      <w:r>
        <w:rPr>
          <w:rFonts w:hint="eastAsia"/>
          <w:color w:val="auto"/>
          <w:kern w:val="0"/>
          <w:szCs w:val="21"/>
          <w:u w:val="single"/>
          <w:vertAlign w:val="superscript"/>
          <w:lang w:eastAsia="zh-CN"/>
        </w:rPr>
        <w:t>2</w:t>
      </w:r>
      <w:r>
        <w:rPr>
          <w:rFonts w:hint="eastAsia"/>
          <w:color w:val="auto"/>
          <w:kern w:val="0"/>
          <w:szCs w:val="21"/>
          <w:u w:val="single"/>
          <w:lang w:eastAsia="zh-CN"/>
        </w:rPr>
        <w:t xml:space="preserve"> 时（包括永久和临时占用陆域和水域），评价等级不低于二级；改扩建项目的占地范围以新增占地（包括陆域和水域）确定；</w:t>
      </w:r>
    </w:p>
    <w:p>
      <w:pPr>
        <w:ind w:firstLine="480"/>
        <w:jc w:val="both"/>
        <w:rPr>
          <w:rFonts w:hint="eastAsia"/>
          <w:color w:val="auto"/>
          <w:kern w:val="0"/>
          <w:szCs w:val="21"/>
          <w:u w:val="single"/>
          <w:lang w:eastAsia="zh-CN"/>
        </w:rPr>
      </w:pPr>
      <w:r>
        <w:rPr>
          <w:rFonts w:hint="eastAsia"/>
          <w:color w:val="auto"/>
          <w:kern w:val="0"/>
          <w:szCs w:val="21"/>
          <w:u w:val="single"/>
          <w:lang w:eastAsia="zh-CN"/>
        </w:rPr>
        <w:t>⑦除本条①、②、③、④、⑤、⑥以外的情况，评价等级为三级；</w:t>
      </w:r>
    </w:p>
    <w:p>
      <w:pPr>
        <w:ind w:firstLine="480"/>
        <w:jc w:val="both"/>
        <w:rPr>
          <w:rFonts w:hint="eastAsia"/>
          <w:color w:val="auto"/>
          <w:kern w:val="0"/>
          <w:szCs w:val="21"/>
          <w:u w:val="single"/>
          <w:lang w:eastAsia="zh-CN"/>
        </w:rPr>
      </w:pPr>
      <w:r>
        <w:rPr>
          <w:rFonts w:hint="eastAsia"/>
          <w:color w:val="auto"/>
          <w:kern w:val="0"/>
          <w:szCs w:val="21"/>
          <w:u w:val="single"/>
          <w:lang w:eastAsia="zh-CN"/>
        </w:rPr>
        <w:t>⑧当评价等级判定同时符合上述多种情况时，应采用其中最高的评价等级。</w:t>
      </w:r>
    </w:p>
    <w:p>
      <w:pPr>
        <w:ind w:firstLine="480"/>
        <w:jc w:val="both"/>
        <w:rPr>
          <w:rFonts w:hint="eastAsia"/>
          <w:color w:val="auto"/>
          <w:kern w:val="0"/>
          <w:szCs w:val="21"/>
          <w:u w:val="single"/>
        </w:rPr>
      </w:pPr>
      <w:r>
        <w:rPr>
          <w:rFonts w:hint="eastAsia"/>
          <w:color w:val="auto"/>
          <w:kern w:val="0"/>
          <w:szCs w:val="21"/>
          <w:u w:val="single"/>
          <w:lang w:eastAsia="zh-CN"/>
        </w:rPr>
        <w:t>本项目管网铺设涉及的</w:t>
      </w:r>
      <w:r>
        <w:rPr>
          <w:rFonts w:hint="eastAsia"/>
          <w:color w:val="auto"/>
          <w:kern w:val="0"/>
          <w:szCs w:val="21"/>
          <w:u w:val="single"/>
          <w:lang w:val="en-US" w:eastAsia="zh-CN"/>
        </w:rPr>
        <w:t>湖南不二门国家级森林公园、湖南永顺猛洞河地质公园、猛洞河国家级风景名胜区及永顺县猛洞河湿地保护区均属于自然公园，且不再涉及其他生态敏感区，故</w:t>
      </w:r>
      <w:r>
        <w:rPr>
          <w:rFonts w:hint="eastAsia"/>
          <w:color w:val="auto"/>
          <w:kern w:val="0"/>
          <w:szCs w:val="21"/>
          <w:u w:val="single"/>
          <w:lang w:eastAsia="zh-CN"/>
        </w:rPr>
        <w:t>本项目生态环境评价等级为二级。</w:t>
      </w:r>
    </w:p>
    <w:p>
      <w:pPr>
        <w:ind w:firstLine="480"/>
        <w:jc w:val="both"/>
        <w:rPr>
          <w:rFonts w:hint="eastAsia"/>
          <w:color w:val="auto"/>
          <w:kern w:val="0"/>
          <w:szCs w:val="21"/>
          <w:u w:val="single"/>
          <w:lang w:eastAsia="zh-CN"/>
        </w:rPr>
      </w:pPr>
      <w:r>
        <w:rPr>
          <w:rFonts w:hint="eastAsia"/>
          <w:color w:val="auto"/>
          <w:kern w:val="0"/>
          <w:szCs w:val="21"/>
          <w:u w:val="single"/>
          <w:lang w:eastAsia="zh-CN"/>
        </w:rPr>
        <w:t>（</w:t>
      </w:r>
      <w:r>
        <w:rPr>
          <w:rFonts w:hint="eastAsia"/>
          <w:color w:val="auto"/>
          <w:kern w:val="0"/>
          <w:szCs w:val="21"/>
          <w:u w:val="single"/>
          <w:lang w:val="en-US" w:eastAsia="zh-CN"/>
        </w:rPr>
        <w:t>2</w:t>
      </w:r>
      <w:r>
        <w:rPr>
          <w:rFonts w:hint="eastAsia"/>
          <w:color w:val="auto"/>
          <w:kern w:val="0"/>
          <w:szCs w:val="21"/>
          <w:u w:val="single"/>
          <w:lang w:eastAsia="zh-CN"/>
        </w:rPr>
        <w:t>）评价范围</w:t>
      </w:r>
    </w:p>
    <w:p>
      <w:pPr>
        <w:ind w:firstLine="480"/>
        <w:jc w:val="both"/>
        <w:rPr>
          <w:rFonts w:hint="eastAsia"/>
          <w:color w:val="auto"/>
          <w:kern w:val="0"/>
          <w:szCs w:val="21"/>
          <w:u w:val="single"/>
        </w:rPr>
      </w:pPr>
      <w:r>
        <w:rPr>
          <w:rFonts w:hint="eastAsia" w:ascii="Times New Roman" w:hAnsi="Times New Roman" w:eastAsia="宋体" w:cs="Times New Roman"/>
          <w:color w:val="000000"/>
          <w:sz w:val="24"/>
          <w:u w:val="single"/>
          <w:lang w:val="en-US" w:eastAsia="zh-CN"/>
        </w:rPr>
        <w:t>根据《环境影响评价技术导则 生态影响》（HJ19-20</w:t>
      </w:r>
      <w:r>
        <w:rPr>
          <w:rFonts w:hint="eastAsia" w:cs="Times New Roman"/>
          <w:color w:val="000000"/>
          <w:sz w:val="24"/>
          <w:u w:val="single"/>
          <w:lang w:val="en-US" w:eastAsia="zh-CN"/>
        </w:rPr>
        <w:t>22</w:t>
      </w:r>
      <w:r>
        <w:rPr>
          <w:rFonts w:hint="eastAsia" w:ascii="Times New Roman" w:hAnsi="Times New Roman" w:eastAsia="宋体" w:cs="Times New Roman"/>
          <w:color w:val="000000"/>
          <w:sz w:val="24"/>
          <w:u w:val="single"/>
          <w:lang w:val="en-US" w:eastAsia="zh-CN"/>
        </w:rPr>
        <w:t>）的要求，</w:t>
      </w:r>
      <w:r>
        <w:rPr>
          <w:rFonts w:hint="eastAsia" w:cs="Times New Roman"/>
          <w:color w:val="000000"/>
          <w:sz w:val="24"/>
          <w:u w:val="single"/>
          <w:lang w:val="en-US" w:eastAsia="zh-CN"/>
        </w:rPr>
        <w:t>生态评价范围应</w:t>
      </w:r>
      <w:r>
        <w:rPr>
          <w:rFonts w:hint="eastAsia" w:ascii="Times New Roman" w:hAnsi="Times New Roman" w:eastAsia="宋体" w:cs="Times New Roman"/>
          <w:color w:val="000000"/>
          <w:sz w:val="24"/>
          <w:u w:val="single"/>
          <w:lang w:val="en-US" w:eastAsia="zh-CN"/>
        </w:rPr>
        <w:t>涵盖评价项目全部活动的直接影响区域和间接影响区域</w:t>
      </w:r>
      <w:r>
        <w:rPr>
          <w:rFonts w:hint="eastAsia" w:cs="Times New Roman"/>
          <w:color w:val="000000"/>
          <w:sz w:val="24"/>
          <w:u w:val="single"/>
          <w:lang w:val="en-US" w:eastAsia="zh-CN"/>
        </w:rPr>
        <w:t>且</w:t>
      </w:r>
      <w:r>
        <w:rPr>
          <w:rFonts w:hint="eastAsia" w:ascii="Times New Roman" w:hAnsi="Times New Roman" w:eastAsia="宋体" w:cs="Times New Roman"/>
          <w:color w:val="000000"/>
          <w:sz w:val="24"/>
          <w:u w:val="single"/>
          <w:lang w:val="en-US" w:eastAsia="zh-CN"/>
        </w:rPr>
        <w:t>涉及占用或穿（跨）越生态敏感区时，应考虑生态敏感区的结构、功能及主要保护对象合理确定评价范围，</w:t>
      </w:r>
      <w:r>
        <w:rPr>
          <w:rFonts w:hint="eastAsia"/>
          <w:color w:val="auto"/>
          <w:kern w:val="0"/>
          <w:szCs w:val="21"/>
          <w:u w:val="single"/>
        </w:rPr>
        <w:t>生态环境评价范围为污水处理厂占地区域及周围</w:t>
      </w:r>
      <w:r>
        <w:rPr>
          <w:rFonts w:hint="eastAsia"/>
          <w:color w:val="auto"/>
          <w:kern w:val="0"/>
          <w:szCs w:val="21"/>
          <w:u w:val="single"/>
          <w:lang w:val="en-US" w:eastAsia="zh-CN"/>
        </w:rPr>
        <w:t>300</w:t>
      </w:r>
      <w:r>
        <w:rPr>
          <w:rFonts w:hint="eastAsia"/>
          <w:color w:val="auto"/>
          <w:kern w:val="0"/>
          <w:szCs w:val="21"/>
          <w:u w:val="single"/>
        </w:rPr>
        <w:t>m范围</w:t>
      </w:r>
      <w:r>
        <w:rPr>
          <w:rFonts w:hint="eastAsia"/>
          <w:color w:val="auto"/>
          <w:kern w:val="0"/>
          <w:szCs w:val="21"/>
          <w:u w:val="single"/>
          <w:lang w:eastAsia="zh-CN"/>
        </w:rPr>
        <w:t>、</w:t>
      </w:r>
      <w:r>
        <w:rPr>
          <w:rFonts w:hint="eastAsia"/>
          <w:color w:val="auto"/>
          <w:kern w:val="0"/>
          <w:szCs w:val="21"/>
          <w:u w:val="single"/>
        </w:rPr>
        <w:t>污水管线及周边100m范围内。</w:t>
      </w:r>
    </w:p>
    <w:p>
      <w:pPr>
        <w:pStyle w:val="6"/>
        <w:bidi w:val="0"/>
        <w:rPr>
          <w:rFonts w:hint="eastAsia"/>
        </w:rPr>
      </w:pPr>
      <w:bookmarkStart w:id="112" w:name="_Toc489349969"/>
      <w:bookmarkStart w:id="113" w:name="_Toc489350126"/>
      <w:bookmarkStart w:id="114" w:name="_Toc489350227"/>
      <w:r>
        <w:rPr>
          <w:rFonts w:hint="eastAsia"/>
        </w:rPr>
        <w:t>1.7.</w:t>
      </w:r>
      <w:r>
        <w:t>6</w:t>
      </w:r>
      <w:r>
        <w:rPr>
          <w:rFonts w:hint="eastAsia"/>
        </w:rPr>
        <w:t xml:space="preserve"> 环境风险评价等级</w:t>
      </w:r>
      <w:bookmarkEnd w:id="112"/>
      <w:bookmarkEnd w:id="113"/>
      <w:bookmarkEnd w:id="114"/>
    </w:p>
    <w:p>
      <w:pPr>
        <w:ind w:firstLine="480"/>
        <w:jc w:val="both"/>
        <w:rPr>
          <w:color w:val="auto"/>
          <w:kern w:val="0"/>
          <w:u w:val="none"/>
        </w:rPr>
      </w:pPr>
      <w:r>
        <w:rPr>
          <w:rFonts w:hint="eastAsia" w:cs="宋体"/>
          <w:color w:val="auto"/>
          <w:kern w:val="0"/>
          <w:u w:val="none"/>
        </w:rPr>
        <w:t>本项目运营过程中不使用具有强氧化性、易燃、易爆、有毒物质，根据项目主要有害物质的特性、存贮量、使用量及工程区</w:t>
      </w:r>
      <w:r>
        <w:rPr>
          <w:rFonts w:hint="eastAsia" w:cs="宋体"/>
          <w:i w:val="0"/>
          <w:iCs w:val="0"/>
          <w:color w:val="auto"/>
          <w:kern w:val="0"/>
          <w:u w:val="none"/>
        </w:rPr>
        <w:t>域</w:t>
      </w:r>
      <w:r>
        <w:rPr>
          <w:rFonts w:hint="eastAsia" w:cs="宋体"/>
          <w:color w:val="auto"/>
          <w:kern w:val="0"/>
          <w:u w:val="none"/>
        </w:rPr>
        <w:t>特点，</w:t>
      </w:r>
      <w:r>
        <w:rPr>
          <w:rFonts w:hint="eastAsia"/>
          <w:color w:val="auto"/>
          <w:kern w:val="0"/>
          <w:u w:val="none"/>
        </w:rPr>
        <w:t>由于项目Q值&lt;1，可直接判定项目环境风险潜势为I，根据《建设项目环境风险评价技术导则》（HJ169-2018）评价工作等级划分要求，确定本项目环境风险评价等级为简单分析。</w:t>
      </w:r>
    </w:p>
    <w:p>
      <w:pPr>
        <w:ind w:firstLine="422"/>
        <w:jc w:val="center"/>
        <w:rPr>
          <w:b/>
          <w:color w:val="auto"/>
          <w:kern w:val="0"/>
          <w:sz w:val="21"/>
          <w:szCs w:val="21"/>
          <w:u w:val="none"/>
        </w:rPr>
      </w:pPr>
      <w:r>
        <w:rPr>
          <w:b/>
          <w:color w:val="auto"/>
          <w:kern w:val="0"/>
          <w:sz w:val="21"/>
          <w:szCs w:val="21"/>
          <w:u w:val="none"/>
        </w:rPr>
        <w:t>1.</w:t>
      </w:r>
      <w:r>
        <w:rPr>
          <w:rFonts w:hint="eastAsia"/>
          <w:b/>
          <w:color w:val="auto"/>
          <w:kern w:val="0"/>
          <w:sz w:val="21"/>
          <w:szCs w:val="21"/>
          <w:u w:val="none"/>
        </w:rPr>
        <w:t>7</w:t>
      </w:r>
      <w:r>
        <w:rPr>
          <w:b/>
          <w:color w:val="auto"/>
          <w:kern w:val="0"/>
          <w:sz w:val="21"/>
          <w:szCs w:val="21"/>
          <w:u w:val="none"/>
        </w:rPr>
        <w:t>-</w:t>
      </w:r>
      <w:r>
        <w:rPr>
          <w:rFonts w:hint="eastAsia"/>
          <w:b/>
          <w:color w:val="auto"/>
          <w:kern w:val="0"/>
          <w:sz w:val="21"/>
          <w:szCs w:val="21"/>
          <w:u w:val="none"/>
          <w:lang w:val="en-US" w:eastAsia="zh-CN"/>
        </w:rPr>
        <w:t>12</w:t>
      </w:r>
      <w:r>
        <w:rPr>
          <w:b/>
          <w:color w:val="auto"/>
          <w:kern w:val="0"/>
          <w:sz w:val="21"/>
          <w:szCs w:val="21"/>
          <w:u w:val="none"/>
        </w:rPr>
        <w:t xml:space="preserve">  风险评级等级划分标准</w:t>
      </w: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194"/>
        <w:gridCol w:w="1637"/>
        <w:gridCol w:w="1353"/>
        <w:gridCol w:w="1458"/>
        <w:gridCol w:w="182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296" w:type="pct"/>
            <w:noWrap w:val="0"/>
            <w:vAlign w:val="center"/>
          </w:tcPr>
          <w:p>
            <w:pPr>
              <w:pStyle w:val="73"/>
              <w:rPr>
                <w:color w:val="auto"/>
                <w:u w:val="none"/>
              </w:rPr>
            </w:pPr>
            <w:bookmarkStart w:id="115" w:name="_Toc489350127"/>
            <w:r>
              <w:rPr>
                <w:rFonts w:hint="eastAsia"/>
                <w:color w:val="auto"/>
                <w:u w:val="none"/>
              </w:rPr>
              <w:t>环境风险潜势</w:t>
            </w:r>
          </w:p>
        </w:tc>
        <w:tc>
          <w:tcPr>
            <w:tcW w:w="967" w:type="pct"/>
            <w:noWrap w:val="0"/>
            <w:vAlign w:val="center"/>
          </w:tcPr>
          <w:p>
            <w:pPr>
              <w:pStyle w:val="73"/>
              <w:rPr>
                <w:rFonts w:hint="eastAsia"/>
                <w:color w:val="auto"/>
                <w:u w:val="none"/>
              </w:rPr>
            </w:pPr>
            <w:r>
              <w:rPr>
                <w:rFonts w:hint="eastAsia"/>
                <w:color w:val="auto"/>
                <w:u w:val="none"/>
              </w:rPr>
              <w:t>Ⅳ</w:t>
            </w:r>
            <w:r>
              <w:rPr>
                <w:rFonts w:hint="eastAsia"/>
                <w:color w:val="auto"/>
                <w:u w:val="none"/>
                <w:vertAlign w:val="superscript"/>
              </w:rPr>
              <w:t>+</w:t>
            </w:r>
            <w:r>
              <w:rPr>
                <w:rFonts w:hint="eastAsia"/>
                <w:color w:val="auto"/>
                <w:u w:val="none"/>
              </w:rPr>
              <w:t>、Ⅳ</w:t>
            </w:r>
          </w:p>
        </w:tc>
        <w:tc>
          <w:tcPr>
            <w:tcW w:w="799" w:type="pct"/>
            <w:noWrap w:val="0"/>
            <w:vAlign w:val="center"/>
          </w:tcPr>
          <w:p>
            <w:pPr>
              <w:pStyle w:val="73"/>
              <w:rPr>
                <w:color w:val="auto"/>
                <w:u w:val="none"/>
              </w:rPr>
            </w:pPr>
            <w:r>
              <w:rPr>
                <w:rFonts w:hint="eastAsia"/>
                <w:color w:val="auto"/>
                <w:u w:val="none"/>
              </w:rPr>
              <w:t>Ⅲ</w:t>
            </w:r>
          </w:p>
        </w:tc>
        <w:tc>
          <w:tcPr>
            <w:tcW w:w="861" w:type="pct"/>
            <w:noWrap w:val="0"/>
            <w:vAlign w:val="center"/>
          </w:tcPr>
          <w:p>
            <w:pPr>
              <w:pStyle w:val="73"/>
              <w:rPr>
                <w:color w:val="auto"/>
                <w:u w:val="none"/>
              </w:rPr>
            </w:pPr>
            <w:r>
              <w:rPr>
                <w:rFonts w:hint="eastAsia"/>
                <w:color w:val="auto"/>
                <w:u w:val="none"/>
              </w:rPr>
              <w:t>Ⅱ</w:t>
            </w:r>
          </w:p>
        </w:tc>
        <w:tc>
          <w:tcPr>
            <w:tcW w:w="1077" w:type="pct"/>
            <w:noWrap w:val="0"/>
            <w:vAlign w:val="center"/>
          </w:tcPr>
          <w:p>
            <w:pPr>
              <w:pStyle w:val="73"/>
              <w:rPr>
                <w:color w:val="auto"/>
                <w:u w:val="none"/>
              </w:rPr>
            </w:pPr>
            <w:r>
              <w:rPr>
                <w:rFonts w:hint="eastAsia"/>
                <w:color w:val="auto"/>
                <w:u w:val="none"/>
              </w:rPr>
              <w:t>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296" w:type="pct"/>
            <w:noWrap w:val="0"/>
            <w:vAlign w:val="center"/>
          </w:tcPr>
          <w:p>
            <w:pPr>
              <w:pStyle w:val="73"/>
              <w:rPr>
                <w:rFonts w:hint="eastAsia"/>
                <w:color w:val="auto"/>
                <w:u w:val="none"/>
              </w:rPr>
            </w:pPr>
            <w:r>
              <w:rPr>
                <w:rFonts w:hint="eastAsia"/>
                <w:color w:val="auto"/>
                <w:u w:val="none"/>
              </w:rPr>
              <w:t>评价工作等级</w:t>
            </w:r>
          </w:p>
        </w:tc>
        <w:tc>
          <w:tcPr>
            <w:tcW w:w="967" w:type="pct"/>
            <w:noWrap w:val="0"/>
            <w:vAlign w:val="center"/>
          </w:tcPr>
          <w:p>
            <w:pPr>
              <w:pStyle w:val="73"/>
              <w:rPr>
                <w:rFonts w:hint="eastAsia"/>
                <w:color w:val="auto"/>
                <w:u w:val="none"/>
              </w:rPr>
            </w:pPr>
            <w:r>
              <w:rPr>
                <w:rFonts w:hint="eastAsia"/>
                <w:color w:val="auto"/>
                <w:u w:val="none"/>
              </w:rPr>
              <w:t>一</w:t>
            </w:r>
          </w:p>
        </w:tc>
        <w:tc>
          <w:tcPr>
            <w:tcW w:w="799" w:type="pct"/>
            <w:noWrap w:val="0"/>
            <w:vAlign w:val="center"/>
          </w:tcPr>
          <w:p>
            <w:pPr>
              <w:pStyle w:val="73"/>
              <w:rPr>
                <w:rFonts w:hint="eastAsia"/>
                <w:color w:val="auto"/>
                <w:u w:val="none"/>
              </w:rPr>
            </w:pPr>
            <w:r>
              <w:rPr>
                <w:rFonts w:hint="eastAsia"/>
                <w:color w:val="auto"/>
                <w:u w:val="none"/>
              </w:rPr>
              <w:t>二</w:t>
            </w:r>
          </w:p>
        </w:tc>
        <w:tc>
          <w:tcPr>
            <w:tcW w:w="861" w:type="pct"/>
            <w:noWrap w:val="0"/>
            <w:vAlign w:val="center"/>
          </w:tcPr>
          <w:p>
            <w:pPr>
              <w:pStyle w:val="73"/>
              <w:rPr>
                <w:rFonts w:hint="eastAsia"/>
                <w:color w:val="auto"/>
                <w:u w:val="none"/>
              </w:rPr>
            </w:pPr>
            <w:r>
              <w:rPr>
                <w:rFonts w:hint="eastAsia"/>
                <w:color w:val="auto"/>
                <w:u w:val="none"/>
              </w:rPr>
              <w:t>三</w:t>
            </w:r>
          </w:p>
        </w:tc>
        <w:tc>
          <w:tcPr>
            <w:tcW w:w="1077" w:type="pct"/>
            <w:noWrap w:val="0"/>
            <w:vAlign w:val="center"/>
          </w:tcPr>
          <w:p>
            <w:pPr>
              <w:pStyle w:val="73"/>
              <w:rPr>
                <w:color w:val="auto"/>
                <w:u w:val="none"/>
              </w:rPr>
            </w:pPr>
            <w:r>
              <w:rPr>
                <w:rFonts w:hint="eastAsia"/>
                <w:color w:val="auto"/>
                <w:u w:val="none"/>
              </w:rPr>
              <w:t>简单分析</w:t>
            </w:r>
            <w:r>
              <w:rPr>
                <w:rFonts w:hint="eastAsia"/>
                <w:color w:val="auto"/>
                <w:u w:val="none"/>
                <w:vertAlign w:val="superscript"/>
              </w:rPr>
              <w: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5000" w:type="pct"/>
            <w:gridSpan w:val="5"/>
            <w:noWrap w:val="0"/>
            <w:vAlign w:val="center"/>
          </w:tcPr>
          <w:p>
            <w:pPr>
              <w:pStyle w:val="73"/>
              <w:jc w:val="left"/>
              <w:rPr>
                <w:rFonts w:hint="eastAsia"/>
                <w:color w:val="auto"/>
                <w:u w:val="none"/>
              </w:rPr>
            </w:pPr>
            <w:r>
              <w:rPr>
                <w:rFonts w:hint="eastAsia"/>
                <w:color w:val="auto"/>
                <w:u w:val="none"/>
              </w:rPr>
              <w:t>注：a是相对于详细评价工作内容而言，在描述危险物质、环境影响途径、环境危害后果、风险防范措施等方面给出定性说明。</w:t>
            </w:r>
          </w:p>
        </w:tc>
      </w:tr>
    </w:tbl>
    <w:p>
      <w:pPr>
        <w:ind w:firstLine="480"/>
        <w:jc w:val="both"/>
        <w:rPr>
          <w:rFonts w:hint="eastAsia"/>
          <w:color w:val="auto"/>
          <w:kern w:val="0"/>
          <w:szCs w:val="20"/>
          <w:u w:val="none"/>
        </w:rPr>
      </w:pPr>
      <w:r>
        <w:rPr>
          <w:rFonts w:hint="eastAsia"/>
          <w:color w:val="auto"/>
          <w:kern w:val="0"/>
          <w:szCs w:val="20"/>
          <w:u w:val="none"/>
        </w:rPr>
        <w:t>评价范围：按照《建设项目环境风险评价技术导则》（HJ169-2018）中的相关规定，风险评价范围为大气要素</w:t>
      </w:r>
      <w:r>
        <w:rPr>
          <w:rFonts w:hint="eastAsia"/>
          <w:color w:val="auto"/>
          <w:kern w:val="0"/>
          <w:szCs w:val="20"/>
          <w:u w:val="none"/>
          <w:lang w:eastAsia="zh-CN"/>
        </w:rPr>
        <w:t>与</w:t>
      </w:r>
      <w:r>
        <w:rPr>
          <w:rFonts w:hint="eastAsia"/>
          <w:color w:val="auto"/>
          <w:kern w:val="0"/>
          <w:szCs w:val="20"/>
          <w:u w:val="none"/>
        </w:rPr>
        <w:t>大气环境评价范围相同，水要素与水环境评价范围相同。</w:t>
      </w:r>
    </w:p>
    <w:p>
      <w:pPr>
        <w:pStyle w:val="76"/>
        <w:spacing w:before="163" w:after="163"/>
        <w:rPr>
          <w:rFonts w:hint="eastAsia"/>
          <w:color w:val="auto"/>
          <w:u w:val="none"/>
        </w:rPr>
      </w:pPr>
      <w:bookmarkStart w:id="116" w:name="_Toc16439"/>
      <w:r>
        <w:rPr>
          <w:rFonts w:hint="eastAsia"/>
          <w:color w:val="auto"/>
          <w:u w:val="none"/>
        </w:rPr>
        <w:t>1.8 评价内容、重点及时段</w:t>
      </w:r>
      <w:bookmarkEnd w:id="115"/>
      <w:bookmarkEnd w:id="116"/>
    </w:p>
    <w:p>
      <w:pPr>
        <w:pStyle w:val="6"/>
        <w:bidi w:val="0"/>
        <w:rPr>
          <w:rFonts w:hint="eastAsia"/>
        </w:rPr>
      </w:pPr>
      <w:bookmarkStart w:id="117" w:name="_Toc441075615"/>
      <w:bookmarkStart w:id="118" w:name="_Toc489349970"/>
      <w:bookmarkStart w:id="119" w:name="_Toc489350128"/>
      <w:bookmarkStart w:id="120" w:name="_Toc489350229"/>
      <w:r>
        <w:rPr>
          <w:rFonts w:hint="eastAsia"/>
        </w:rPr>
        <w:t>1.8.1</w:t>
      </w:r>
      <w:r>
        <w:t xml:space="preserve"> </w:t>
      </w:r>
      <w:r>
        <w:rPr>
          <w:rFonts w:hint="eastAsia"/>
        </w:rPr>
        <w:t>评价内容</w:t>
      </w:r>
      <w:bookmarkEnd w:id="117"/>
      <w:r>
        <w:rPr>
          <w:rFonts w:hint="eastAsia"/>
        </w:rPr>
        <w:t>以及评价重点</w:t>
      </w:r>
      <w:bookmarkEnd w:id="118"/>
      <w:bookmarkEnd w:id="119"/>
      <w:bookmarkEnd w:id="120"/>
    </w:p>
    <w:p>
      <w:pPr>
        <w:ind w:firstLine="480"/>
        <w:jc w:val="both"/>
        <w:rPr>
          <w:rFonts w:hint="eastAsia" w:cs="宋体"/>
          <w:color w:val="auto"/>
          <w:kern w:val="0"/>
          <w:u w:val="none"/>
        </w:rPr>
      </w:pPr>
      <w:bookmarkStart w:id="121" w:name="_Toc489349971"/>
      <w:bookmarkStart w:id="122" w:name="_Toc489350129"/>
      <w:bookmarkStart w:id="123" w:name="_Toc489350230"/>
      <w:bookmarkStart w:id="124" w:name="_Toc489349343"/>
      <w:r>
        <w:rPr>
          <w:rFonts w:hint="eastAsia" w:cs="宋体"/>
          <w:color w:val="auto"/>
          <w:kern w:val="0"/>
          <w:u w:val="none"/>
        </w:rPr>
        <w:t>本次环评主要工作内容有：</w:t>
      </w:r>
      <w:bookmarkEnd w:id="121"/>
      <w:bookmarkEnd w:id="122"/>
      <w:bookmarkEnd w:id="123"/>
      <w:bookmarkEnd w:id="124"/>
    </w:p>
    <w:p>
      <w:pPr>
        <w:ind w:firstLine="480"/>
        <w:jc w:val="both"/>
        <w:rPr>
          <w:rFonts w:hint="eastAsia"/>
          <w:color w:val="auto"/>
          <w:kern w:val="0"/>
          <w:u w:val="none"/>
        </w:rPr>
      </w:pPr>
      <w:r>
        <w:rPr>
          <w:rFonts w:hint="eastAsia"/>
          <w:color w:val="auto"/>
          <w:kern w:val="0"/>
          <w:u w:val="none"/>
        </w:rPr>
        <w:t>（1）对项目所在区域内环境质量现状进行调查、监测，根据所得的资料、数据，对评价范围内环境质量现状进行分析评价，掌握项目所在区域的污染现状、环境质量现状；</w:t>
      </w:r>
    </w:p>
    <w:p>
      <w:pPr>
        <w:ind w:firstLine="480"/>
        <w:jc w:val="both"/>
        <w:rPr>
          <w:rFonts w:hint="eastAsia"/>
          <w:color w:val="auto"/>
          <w:kern w:val="0"/>
          <w:u w:val="none"/>
        </w:rPr>
      </w:pPr>
      <w:r>
        <w:rPr>
          <w:rFonts w:hint="eastAsia"/>
          <w:color w:val="auto"/>
          <w:kern w:val="0"/>
          <w:u w:val="none"/>
        </w:rPr>
        <w:t xml:space="preserve">（2）对拟建项目进行工程分析，确定项目建设的工程内容、项目建设施工期和营运期可能造成的环境影响、核算污染物排放总量； </w:t>
      </w:r>
    </w:p>
    <w:p>
      <w:pPr>
        <w:ind w:firstLine="480"/>
        <w:jc w:val="both"/>
        <w:rPr>
          <w:rFonts w:hint="eastAsia"/>
          <w:color w:val="auto"/>
          <w:kern w:val="0"/>
          <w:u w:val="none"/>
        </w:rPr>
      </w:pPr>
      <w:r>
        <w:rPr>
          <w:rFonts w:hint="eastAsia"/>
          <w:color w:val="auto"/>
          <w:kern w:val="0"/>
          <w:u w:val="none"/>
        </w:rPr>
        <w:t>（3）根据项目工程分析，选择对环境危害大、不利影响较为突出的环境影响因子进行评价，并提出相应的污染防治措施；</w:t>
      </w:r>
    </w:p>
    <w:p>
      <w:pPr>
        <w:ind w:firstLine="480"/>
        <w:jc w:val="both"/>
        <w:rPr>
          <w:color w:val="auto"/>
          <w:kern w:val="0"/>
          <w:u w:val="none"/>
        </w:rPr>
      </w:pPr>
      <w:r>
        <w:rPr>
          <w:rFonts w:hint="eastAsia"/>
          <w:color w:val="auto"/>
          <w:kern w:val="0"/>
          <w:u w:val="none"/>
        </w:rPr>
        <w:t>（4）对项目污染防治措施及对策进行分析评述；</w:t>
      </w:r>
    </w:p>
    <w:p>
      <w:pPr>
        <w:ind w:firstLine="480"/>
        <w:jc w:val="both"/>
        <w:rPr>
          <w:rFonts w:hint="eastAsia"/>
          <w:color w:val="auto"/>
          <w:kern w:val="0"/>
          <w:u w:val="none"/>
        </w:rPr>
      </w:pPr>
      <w:r>
        <w:rPr>
          <w:rFonts w:hint="eastAsia" w:cs="宋体"/>
          <w:color w:val="auto"/>
          <w:kern w:val="0"/>
          <w:u w:val="none"/>
        </w:rPr>
        <w:t>本次评价重点：建设项目概况与工程分析、环境影响预测及评价</w:t>
      </w:r>
      <w:r>
        <w:rPr>
          <w:rFonts w:hint="eastAsia"/>
          <w:color w:val="auto"/>
          <w:kern w:val="0"/>
          <w:u w:val="none"/>
        </w:rPr>
        <w:t>、环境风险评价。</w:t>
      </w:r>
    </w:p>
    <w:p>
      <w:pPr>
        <w:pStyle w:val="6"/>
        <w:bidi w:val="0"/>
        <w:rPr>
          <w:rFonts w:hint="eastAsia"/>
        </w:rPr>
      </w:pPr>
      <w:r>
        <w:rPr>
          <w:rFonts w:hint="eastAsia"/>
        </w:rPr>
        <w:t>1.8.2 评价时段</w:t>
      </w:r>
    </w:p>
    <w:p>
      <w:pPr>
        <w:ind w:firstLine="480"/>
        <w:rPr>
          <w:color w:val="auto"/>
          <w:kern w:val="0"/>
          <w:u w:val="none"/>
        </w:rPr>
      </w:pPr>
      <w:r>
        <w:rPr>
          <w:rFonts w:hint="eastAsia"/>
          <w:color w:val="auto"/>
          <w:kern w:val="0"/>
          <w:u w:val="none"/>
        </w:rPr>
        <w:t>拟建项目评价时段为施工期以及运营期。</w:t>
      </w:r>
    </w:p>
    <w:p>
      <w:pPr>
        <w:pStyle w:val="76"/>
        <w:spacing w:before="163" w:after="163"/>
        <w:rPr>
          <w:rFonts w:hint="eastAsia"/>
          <w:color w:val="auto"/>
          <w:u w:val="none"/>
        </w:rPr>
      </w:pPr>
      <w:bookmarkStart w:id="125" w:name="_Toc16204"/>
      <w:r>
        <w:rPr>
          <w:rFonts w:hint="eastAsia"/>
          <w:color w:val="auto"/>
          <w:u w:val="none"/>
        </w:rPr>
        <w:t>1.9 环境功能区划分</w:t>
      </w:r>
      <w:bookmarkEnd w:id="125"/>
    </w:p>
    <w:p>
      <w:pPr>
        <w:pStyle w:val="6"/>
        <w:bidi w:val="0"/>
        <w:rPr>
          <w:rFonts w:hint="eastAsia"/>
        </w:rPr>
      </w:pPr>
      <w:r>
        <w:rPr>
          <w:rFonts w:hint="eastAsia"/>
        </w:rPr>
        <w:t>1.9.1地表水环境功能区划</w:t>
      </w:r>
    </w:p>
    <w:p>
      <w:pPr>
        <w:ind w:firstLine="480"/>
        <w:jc w:val="both"/>
        <w:rPr>
          <w:rFonts w:hint="eastAsia"/>
          <w:color w:val="auto"/>
          <w:u w:val="single"/>
        </w:rPr>
      </w:pPr>
      <w:r>
        <w:rPr>
          <w:rFonts w:hint="eastAsia" w:ascii="Times New Roman" w:hAnsi="Times New Roman"/>
          <w:color w:val="000000"/>
          <w:u w:val="single"/>
        </w:rPr>
        <w:t>根据《湖南省水功能区划》、《湘西土家族苗族自治州水功能区划》可知，</w:t>
      </w:r>
      <w:r>
        <w:rPr>
          <w:rFonts w:hint="eastAsia"/>
          <w:u w:val="single"/>
        </w:rPr>
        <w:t>纳污水体</w:t>
      </w:r>
      <w:r>
        <w:rPr>
          <w:rFonts w:hint="eastAsia"/>
          <w:u w:val="single"/>
          <w:lang w:val="en-US" w:eastAsia="zh-CN"/>
        </w:rPr>
        <w:t>猛洞河</w:t>
      </w:r>
      <w:r>
        <w:rPr>
          <w:rFonts w:hint="eastAsia"/>
          <w:u w:val="single"/>
        </w:rPr>
        <w:t>为《湖南省水功能区划》</w:t>
      </w:r>
      <w:r>
        <w:rPr>
          <w:rFonts w:hint="eastAsia"/>
          <w:u w:val="single"/>
          <w:lang w:val="en-US" w:eastAsia="zh-CN"/>
        </w:rPr>
        <w:t>中</w:t>
      </w:r>
      <w:r>
        <w:rPr>
          <w:rFonts w:hint="eastAsia"/>
          <w:u w:val="single"/>
        </w:rPr>
        <w:t>“</w:t>
      </w:r>
      <w:r>
        <w:rPr>
          <w:rFonts w:hint="eastAsia"/>
          <w:u w:val="single"/>
          <w:lang w:val="en-US" w:eastAsia="zh-CN"/>
        </w:rPr>
        <w:t>景观娱乐用水区</w:t>
      </w:r>
      <w:r>
        <w:rPr>
          <w:rFonts w:hint="eastAsia"/>
          <w:u w:val="single"/>
        </w:rPr>
        <w:t>”；《湘西土家族苗族自治州水功能区划》一级区划的“</w:t>
      </w:r>
      <w:r>
        <w:rPr>
          <w:rFonts w:hint="eastAsia"/>
          <w:u w:val="single"/>
          <w:lang w:val="en-US" w:eastAsia="zh-CN"/>
        </w:rPr>
        <w:t>猛洞河永顺开发利用区</w:t>
      </w:r>
      <w:r>
        <w:rPr>
          <w:rFonts w:hint="eastAsia"/>
          <w:u w:val="single"/>
        </w:rPr>
        <w:t>”、二级区划的“</w:t>
      </w:r>
      <w:r>
        <w:rPr>
          <w:rFonts w:hint="eastAsia"/>
          <w:u w:val="single"/>
          <w:lang w:val="en-US" w:eastAsia="zh-CN"/>
        </w:rPr>
        <w:t>猛洞河永顺景观娱乐用水区</w:t>
      </w:r>
      <w:r>
        <w:rPr>
          <w:rFonts w:hint="eastAsia"/>
          <w:u w:val="single"/>
        </w:rPr>
        <w:t>”，根据水功能区划，水功能区的水质管理目标为</w:t>
      </w:r>
      <w:r>
        <w:rPr>
          <w:rFonts w:hint="eastAsia"/>
          <w:u w:val="single"/>
          <w:lang w:eastAsia="zh-CN"/>
        </w:rPr>
        <w:t>Ⅲ</w:t>
      </w:r>
      <w:r>
        <w:rPr>
          <w:rFonts w:hint="eastAsia"/>
          <w:u w:val="single"/>
        </w:rPr>
        <w:t>类。</w:t>
      </w:r>
      <w:r>
        <w:rPr>
          <w:u w:val="single"/>
        </w:rPr>
        <w:t>按照湘西自治州水环境质量要求，该河段</w:t>
      </w:r>
      <w:r>
        <w:rPr>
          <w:rFonts w:hint="eastAsia"/>
          <w:u w:val="single"/>
        </w:rPr>
        <w:t>水质管理目标为</w:t>
      </w:r>
      <w:r>
        <w:rPr>
          <w:rFonts w:hint="eastAsia"/>
          <w:u w:val="single"/>
          <w:lang w:eastAsia="zh-CN"/>
        </w:rPr>
        <w:t>Ⅲ</w:t>
      </w:r>
      <w:r>
        <w:rPr>
          <w:rFonts w:hint="eastAsia"/>
          <w:u w:val="single"/>
        </w:rPr>
        <w:t>类，</w:t>
      </w:r>
      <w:r>
        <w:rPr>
          <w:u w:val="single"/>
        </w:rPr>
        <w:t>执行</w:t>
      </w:r>
      <w:r>
        <w:rPr>
          <w:rFonts w:hint="eastAsia"/>
          <w:u w:val="single"/>
          <w:lang w:eastAsia="zh-CN"/>
        </w:rPr>
        <w:t>Ⅲ</w:t>
      </w:r>
      <w:r>
        <w:rPr>
          <w:u w:val="single"/>
        </w:rPr>
        <w:t>类水标准。</w:t>
      </w:r>
    </w:p>
    <w:p>
      <w:pPr>
        <w:pStyle w:val="6"/>
        <w:bidi w:val="0"/>
        <w:rPr>
          <w:rFonts w:hint="eastAsia"/>
          <w:color w:val="auto"/>
          <w:u w:val="none"/>
        </w:rPr>
      </w:pPr>
      <w:r>
        <w:rPr>
          <w:rFonts w:hint="eastAsia"/>
        </w:rPr>
        <w:t>1.9.2大气环境功能区划</w:t>
      </w:r>
    </w:p>
    <w:p>
      <w:pPr>
        <w:ind w:firstLine="480"/>
        <w:jc w:val="both"/>
        <w:rPr>
          <w:rFonts w:hint="eastAsia"/>
          <w:bCs/>
          <w:color w:val="auto"/>
          <w:kern w:val="0"/>
          <w:u w:val="none"/>
        </w:rPr>
      </w:pPr>
      <w:r>
        <w:rPr>
          <w:rFonts w:hint="eastAsia"/>
          <w:bCs/>
          <w:color w:val="auto"/>
          <w:kern w:val="0"/>
          <w:u w:val="none"/>
        </w:rPr>
        <w:t>按《环境空气质量标准》（GB3095-2012）中规定一类区为自然保护区、风景名胜区，二类区属于居民区、文化区等人群较集中区域，项目属于人群较集中区域，因此项目所在地区域属二类功能区。</w:t>
      </w:r>
    </w:p>
    <w:p>
      <w:pPr>
        <w:pStyle w:val="6"/>
        <w:bidi w:val="0"/>
        <w:rPr>
          <w:rFonts w:hint="eastAsia"/>
        </w:rPr>
      </w:pPr>
      <w:r>
        <w:rPr>
          <w:rFonts w:hint="eastAsia"/>
        </w:rPr>
        <w:t>1.9.3声环境功能区划</w:t>
      </w:r>
    </w:p>
    <w:p>
      <w:pPr>
        <w:ind w:firstLine="480"/>
        <w:jc w:val="both"/>
        <w:rPr>
          <w:rFonts w:hint="eastAsia" w:eastAsia="宋体"/>
          <w:color w:val="auto"/>
          <w:kern w:val="0"/>
          <w:u w:val="none"/>
          <w:lang w:val="en-US" w:eastAsia="zh-CN"/>
        </w:rPr>
      </w:pPr>
      <w:r>
        <w:rPr>
          <w:rFonts w:hint="eastAsia"/>
          <w:color w:val="auto"/>
          <w:kern w:val="0"/>
          <w:u w:val="none"/>
        </w:rPr>
        <w:t>按《声环境质量标准》（GB3096-2008）</w:t>
      </w:r>
      <w:r>
        <w:rPr>
          <w:rFonts w:hint="eastAsia"/>
          <w:color w:val="auto"/>
          <w:kern w:val="0"/>
          <w:u w:val="none"/>
          <w:lang w:eastAsia="zh-CN"/>
        </w:rPr>
        <w:t>中声功能区划分，</w:t>
      </w:r>
      <w:r>
        <w:rPr>
          <w:rFonts w:hint="eastAsia"/>
          <w:color w:val="auto"/>
          <w:kern w:val="0"/>
          <w:u w:val="none"/>
          <w:lang w:val="en-US" w:eastAsia="zh-CN"/>
        </w:rPr>
        <w:t>3</w:t>
      </w:r>
      <w:r>
        <w:rPr>
          <w:rFonts w:hint="eastAsia"/>
          <w:color w:val="auto"/>
          <w:kern w:val="0"/>
          <w:u w:val="none"/>
        </w:rPr>
        <w:t>类声环境功能区指以</w:t>
      </w:r>
      <w:r>
        <w:rPr>
          <w:rFonts w:hint="eastAsia"/>
          <w:color w:val="auto"/>
          <w:kern w:val="0"/>
          <w:u w:val="none"/>
          <w:lang w:eastAsia="zh-CN"/>
        </w:rPr>
        <w:t>工业生产、仓储物流为主要功能，需要防止工业噪声对周围环境产生严重影响</w:t>
      </w:r>
      <w:r>
        <w:rPr>
          <w:rFonts w:hint="eastAsia"/>
          <w:color w:val="auto"/>
          <w:kern w:val="0"/>
          <w:u w:val="none"/>
        </w:rPr>
        <w:t>的区域。</w:t>
      </w:r>
      <w:r>
        <w:rPr>
          <w:rFonts w:hint="eastAsia"/>
          <w:color w:val="auto"/>
          <w:kern w:val="0"/>
          <w:u w:val="none"/>
          <w:lang w:eastAsia="zh-CN"/>
        </w:rPr>
        <w:t>本项目位于猛洞河产业园，故</w:t>
      </w:r>
      <w:r>
        <w:rPr>
          <w:rFonts w:hint="eastAsia"/>
          <w:color w:val="auto"/>
          <w:kern w:val="0"/>
          <w:u w:val="none"/>
        </w:rPr>
        <w:t>本项目声环境功能区分类属于</w:t>
      </w:r>
      <w:r>
        <w:rPr>
          <w:rFonts w:hint="eastAsia"/>
          <w:color w:val="auto"/>
          <w:kern w:val="0"/>
          <w:u w:val="none"/>
          <w:lang w:val="en-US" w:eastAsia="zh-CN"/>
        </w:rPr>
        <w:t>3类。</w:t>
      </w:r>
    </w:p>
    <w:p>
      <w:pPr>
        <w:pStyle w:val="6"/>
        <w:bidi w:val="0"/>
        <w:rPr>
          <w:rFonts w:hint="eastAsia"/>
        </w:rPr>
      </w:pPr>
      <w:r>
        <w:rPr>
          <w:rFonts w:hint="eastAsia"/>
        </w:rPr>
        <w:t>1.9.4地下水环境功能区划</w:t>
      </w:r>
    </w:p>
    <w:p>
      <w:pPr>
        <w:ind w:firstLine="480"/>
        <w:jc w:val="both"/>
        <w:rPr>
          <w:color w:val="000000"/>
          <w:kern w:val="0"/>
          <w:u w:val="single"/>
        </w:rPr>
      </w:pPr>
      <w:r>
        <w:rPr>
          <w:rFonts w:hint="eastAsia"/>
          <w:color w:val="000000"/>
          <w:kern w:val="0"/>
          <w:u w:val="single"/>
        </w:rPr>
        <w:t>根据现场调查，项目区域饮用水为</w:t>
      </w:r>
      <w:r>
        <w:rPr>
          <w:rFonts w:hint="eastAsia"/>
          <w:color w:val="000000"/>
          <w:kern w:val="0"/>
          <w:u w:val="single"/>
          <w:lang w:eastAsia="zh-CN"/>
        </w:rPr>
        <w:t>城市供水管网</w:t>
      </w:r>
      <w:r>
        <w:rPr>
          <w:rFonts w:hint="eastAsia"/>
          <w:color w:val="000000"/>
          <w:kern w:val="0"/>
          <w:u w:val="single"/>
        </w:rPr>
        <w:t>，区域地下水使用功能为生活用水</w:t>
      </w:r>
      <w:r>
        <w:rPr>
          <w:rFonts w:hint="eastAsia"/>
          <w:color w:val="000000"/>
          <w:kern w:val="0"/>
          <w:u w:val="single"/>
          <w:lang w:eastAsia="zh-CN"/>
        </w:rPr>
        <w:t>、工业用水</w:t>
      </w:r>
      <w:r>
        <w:rPr>
          <w:rFonts w:hint="eastAsia"/>
          <w:color w:val="000000"/>
          <w:kern w:val="0"/>
          <w:u w:val="single"/>
        </w:rPr>
        <w:t>，区域地下水尚未划分功能区，区域地下水水质参照《地下水质量标准》(GB/T14848-2017)III类标准执行</w:t>
      </w:r>
      <w:r>
        <w:rPr>
          <w:color w:val="000000"/>
          <w:kern w:val="0"/>
          <w:u w:val="single"/>
        </w:rPr>
        <w:t>。</w:t>
      </w:r>
    </w:p>
    <w:p>
      <w:pPr>
        <w:pStyle w:val="6"/>
        <w:bidi w:val="0"/>
        <w:rPr>
          <w:rFonts w:hint="eastAsia"/>
        </w:rPr>
      </w:pPr>
      <w:r>
        <w:rPr>
          <w:rFonts w:hint="eastAsia"/>
          <w:lang w:val="en-US" w:eastAsia="zh-CN"/>
        </w:rPr>
        <w:t xml:space="preserve">1.9.5 </w:t>
      </w:r>
      <w:r>
        <w:rPr>
          <w:rFonts w:hint="eastAsia"/>
        </w:rPr>
        <w:t>区域环境功能区划</w:t>
      </w:r>
    </w:p>
    <w:p>
      <w:pPr>
        <w:pStyle w:val="62"/>
        <w:spacing w:line="360" w:lineRule="auto"/>
        <w:ind w:firstLine="480" w:firstLineChars="200"/>
        <w:rPr>
          <w:rFonts w:ascii="Times New Roman" w:hAnsi="Times New Roman" w:cs="Times New Roman"/>
          <w:color w:val="auto"/>
          <w:kern w:val="2"/>
        </w:rPr>
      </w:pPr>
      <w:r>
        <w:rPr>
          <w:rFonts w:hint="eastAsia" w:ascii="Times New Roman" w:hAnsi="Times New Roman" w:cs="Times New Roman"/>
          <w:color w:val="auto"/>
          <w:kern w:val="2"/>
        </w:rPr>
        <w:t>项目所在区域环</w:t>
      </w:r>
      <w:r>
        <w:rPr>
          <w:rFonts w:ascii="Times New Roman" w:hAnsi="Times New Roman" w:cs="Times New Roman"/>
          <w:color w:val="auto"/>
          <w:kern w:val="2"/>
        </w:rPr>
        <w:t>境功能区划见下表：</w:t>
      </w:r>
    </w:p>
    <w:p>
      <w:pPr>
        <w:ind w:firstLine="482"/>
        <w:jc w:val="center"/>
        <w:rPr>
          <w:rFonts w:ascii="Times New Roman" w:hAnsi="Times New Roman"/>
          <w:b/>
          <w:szCs w:val="21"/>
        </w:rPr>
      </w:pPr>
      <w:r>
        <w:rPr>
          <w:rFonts w:ascii="Times New Roman" w:hAnsi="Times New Roman"/>
          <w:b/>
          <w:szCs w:val="21"/>
        </w:rPr>
        <w:t>表1.</w:t>
      </w:r>
      <w:r>
        <w:rPr>
          <w:rFonts w:hint="eastAsia"/>
          <w:b/>
          <w:szCs w:val="21"/>
          <w:lang w:val="en-US" w:eastAsia="zh-CN"/>
        </w:rPr>
        <w:t>9</w:t>
      </w:r>
      <w:r>
        <w:rPr>
          <w:rFonts w:ascii="Times New Roman" w:hAnsi="Times New Roman"/>
          <w:b/>
          <w:szCs w:val="21"/>
        </w:rPr>
        <w:t>-1 建设项目所在区域环境功能区划表</w:t>
      </w:r>
    </w:p>
    <w:tbl>
      <w:tblPr>
        <w:tblStyle w:val="36"/>
        <w:tblW w:w="82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537"/>
        <w:gridCol w:w="755"/>
        <w:gridCol w:w="1485"/>
        <w:gridCol w:w="2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编号</w:t>
            </w:r>
          </w:p>
        </w:tc>
        <w:tc>
          <w:tcPr>
            <w:tcW w:w="2537"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项目</w:t>
            </w:r>
          </w:p>
        </w:tc>
        <w:tc>
          <w:tcPr>
            <w:tcW w:w="5059" w:type="dxa"/>
            <w:gridSpan w:val="3"/>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功能属性及执行标准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02" w:type="dxa"/>
            <w:vMerge w:val="restart"/>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1</w:t>
            </w:r>
          </w:p>
        </w:tc>
        <w:tc>
          <w:tcPr>
            <w:tcW w:w="2537"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地表水环境功能区</w:t>
            </w:r>
          </w:p>
        </w:tc>
        <w:tc>
          <w:tcPr>
            <w:tcW w:w="755" w:type="dxa"/>
            <w:noWrap w:val="0"/>
            <w:vAlign w:val="center"/>
          </w:tcPr>
          <w:p>
            <w:pPr>
              <w:pStyle w:val="13"/>
              <w:spacing w:line="240" w:lineRule="auto"/>
              <w:rPr>
                <w:rFonts w:hint="eastAsia" w:ascii="Times New Roman" w:hAnsi="Times New Roman" w:eastAsia="宋体"/>
                <w:bCs/>
                <w:sz w:val="21"/>
                <w:szCs w:val="21"/>
                <w:lang w:eastAsia="zh-CN"/>
              </w:rPr>
            </w:pPr>
            <w:r>
              <w:rPr>
                <w:rFonts w:hint="eastAsia" w:ascii="Times New Roman" w:hAnsi="Times New Roman"/>
                <w:bCs/>
                <w:sz w:val="21"/>
                <w:szCs w:val="21"/>
                <w:lang w:eastAsia="zh-CN"/>
              </w:rPr>
              <w:t>猛洞河</w:t>
            </w:r>
          </w:p>
        </w:tc>
        <w:tc>
          <w:tcPr>
            <w:tcW w:w="1485" w:type="dxa"/>
            <w:noWrap w:val="0"/>
            <w:vAlign w:val="center"/>
          </w:tcPr>
          <w:p>
            <w:pPr>
              <w:pStyle w:val="13"/>
              <w:spacing w:line="240" w:lineRule="auto"/>
              <w:rPr>
                <w:rFonts w:hint="eastAsia" w:ascii="Times New Roman" w:hAnsi="Times New Roman" w:eastAsia="宋体"/>
                <w:bCs/>
                <w:sz w:val="21"/>
                <w:szCs w:val="21"/>
                <w:lang w:eastAsia="zh-CN"/>
              </w:rPr>
            </w:pPr>
            <w:r>
              <w:rPr>
                <w:rFonts w:hint="eastAsia" w:ascii="Times New Roman" w:hAnsi="Times New Roman"/>
                <w:bCs/>
                <w:sz w:val="21"/>
                <w:szCs w:val="21"/>
                <w:lang w:val="en-US" w:eastAsia="zh-CN"/>
              </w:rPr>
              <w:t>/</w:t>
            </w:r>
          </w:p>
        </w:tc>
        <w:tc>
          <w:tcPr>
            <w:tcW w:w="2819"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02" w:type="dxa"/>
            <w:vMerge w:val="continue"/>
            <w:noWrap w:val="0"/>
            <w:vAlign w:val="center"/>
          </w:tcPr>
          <w:p>
            <w:pPr>
              <w:pStyle w:val="13"/>
              <w:spacing w:line="240" w:lineRule="auto"/>
              <w:rPr>
                <w:rFonts w:ascii="Times New Roman" w:hAnsi="Times New Roman"/>
                <w:bCs/>
                <w:sz w:val="21"/>
                <w:szCs w:val="21"/>
              </w:rPr>
            </w:pPr>
          </w:p>
        </w:tc>
        <w:tc>
          <w:tcPr>
            <w:tcW w:w="2537"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地下水环境功能区</w:t>
            </w:r>
          </w:p>
        </w:tc>
        <w:tc>
          <w:tcPr>
            <w:tcW w:w="755"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地下水</w:t>
            </w:r>
          </w:p>
        </w:tc>
        <w:tc>
          <w:tcPr>
            <w:tcW w:w="1485" w:type="dxa"/>
            <w:noWrap w:val="0"/>
            <w:vAlign w:val="center"/>
          </w:tcPr>
          <w:p>
            <w:pPr>
              <w:pStyle w:val="13"/>
              <w:spacing w:line="240" w:lineRule="auto"/>
              <w:rPr>
                <w:rFonts w:hint="eastAsia" w:ascii="Times New Roman" w:hAnsi="Times New Roman" w:eastAsia="宋体"/>
                <w:bCs/>
                <w:sz w:val="21"/>
                <w:szCs w:val="21"/>
                <w:lang w:eastAsia="zh-CN"/>
              </w:rPr>
            </w:pPr>
            <w:r>
              <w:rPr>
                <w:rFonts w:ascii="Times New Roman" w:hAnsi="Times New Roman"/>
                <w:bCs/>
                <w:sz w:val="21"/>
                <w:szCs w:val="21"/>
              </w:rPr>
              <w:t>生活用水</w:t>
            </w:r>
            <w:r>
              <w:rPr>
                <w:rFonts w:hint="eastAsia" w:ascii="Times New Roman" w:hAnsi="Times New Roman"/>
                <w:bCs/>
                <w:sz w:val="21"/>
                <w:szCs w:val="21"/>
                <w:lang w:eastAsia="zh-CN"/>
              </w:rPr>
              <w:t>、工业用水</w:t>
            </w:r>
          </w:p>
        </w:tc>
        <w:tc>
          <w:tcPr>
            <w:tcW w:w="2819"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《地下水质量标准》（GB/T14848-2017）Ⅲ类标准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2</w:t>
            </w:r>
          </w:p>
        </w:tc>
        <w:tc>
          <w:tcPr>
            <w:tcW w:w="2537"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环境空气质量功能区</w:t>
            </w:r>
          </w:p>
        </w:tc>
        <w:tc>
          <w:tcPr>
            <w:tcW w:w="5059" w:type="dxa"/>
            <w:gridSpan w:val="3"/>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lang w:eastAsia="zh-CN"/>
              </w:rPr>
              <w:t>二</w:t>
            </w:r>
            <w:r>
              <w:rPr>
                <w:rFonts w:ascii="Times New Roman" w:hAnsi="Times New Roman"/>
                <w:bCs/>
                <w:sz w:val="21"/>
                <w:szCs w:val="21"/>
              </w:rPr>
              <w:t>类，《环境空气质量标准》（GB3095-2012）及修改单中二级标准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3</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声环境功能区</w:t>
            </w:r>
          </w:p>
        </w:tc>
        <w:tc>
          <w:tcPr>
            <w:tcW w:w="5059" w:type="dxa"/>
            <w:gridSpan w:val="3"/>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lang w:val="en-US" w:eastAsia="zh-CN"/>
              </w:rPr>
              <w:t>3</w:t>
            </w:r>
            <w:r>
              <w:rPr>
                <w:rFonts w:hint="eastAsia" w:ascii="Times New Roman" w:hAnsi="Times New Roman"/>
                <w:bCs/>
                <w:sz w:val="21"/>
                <w:szCs w:val="21"/>
              </w:rPr>
              <w:t>类，《声环境质量标准》（GB3096-2008）的</w:t>
            </w:r>
            <w:r>
              <w:rPr>
                <w:rFonts w:hint="eastAsia" w:ascii="Times New Roman" w:hAnsi="Times New Roman"/>
                <w:bCs/>
                <w:sz w:val="21"/>
                <w:szCs w:val="21"/>
                <w:lang w:val="en-US" w:eastAsia="zh-CN"/>
              </w:rPr>
              <w:t>3</w:t>
            </w:r>
            <w:r>
              <w:rPr>
                <w:rFonts w:hint="eastAsia" w:ascii="Times New Roman" w:hAnsi="Times New Roman"/>
                <w:bCs/>
                <w:sz w:val="21"/>
                <w:szCs w:val="21"/>
              </w:rPr>
              <w:t>类区标准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4</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是否基本农田保护区</w:t>
            </w:r>
          </w:p>
        </w:tc>
        <w:tc>
          <w:tcPr>
            <w:tcW w:w="5059" w:type="dxa"/>
            <w:gridSpan w:val="3"/>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5</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是否森林、公园</w:t>
            </w:r>
          </w:p>
        </w:tc>
        <w:tc>
          <w:tcPr>
            <w:tcW w:w="5059" w:type="dxa"/>
            <w:gridSpan w:val="3"/>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6</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是否生态功能保护区</w:t>
            </w:r>
          </w:p>
        </w:tc>
        <w:tc>
          <w:tcPr>
            <w:tcW w:w="5059" w:type="dxa"/>
            <w:gridSpan w:val="3"/>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7</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是否水土流失重点防治区</w:t>
            </w:r>
          </w:p>
        </w:tc>
        <w:tc>
          <w:tcPr>
            <w:tcW w:w="5059" w:type="dxa"/>
            <w:gridSpan w:val="3"/>
            <w:noWrap w:val="0"/>
            <w:vAlign w:val="center"/>
          </w:tcPr>
          <w:p>
            <w:pPr>
              <w:pStyle w:val="13"/>
              <w:spacing w:line="240" w:lineRule="auto"/>
              <w:rPr>
                <w:rFonts w:hint="eastAsia" w:ascii="Times New Roman" w:hAnsi="Times New Roman" w:eastAsia="宋体"/>
                <w:bCs/>
                <w:sz w:val="21"/>
                <w:szCs w:val="21"/>
                <w:lang w:eastAsia="zh-CN"/>
              </w:rPr>
            </w:pPr>
            <w:r>
              <w:rPr>
                <w:rFonts w:hint="eastAsia"/>
                <w:bCs/>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8</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是否人口密集区</w:t>
            </w:r>
          </w:p>
        </w:tc>
        <w:tc>
          <w:tcPr>
            <w:tcW w:w="5059" w:type="dxa"/>
            <w:gridSpan w:val="3"/>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9</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是否重点文物保护单位</w:t>
            </w:r>
          </w:p>
        </w:tc>
        <w:tc>
          <w:tcPr>
            <w:tcW w:w="5059" w:type="dxa"/>
            <w:gridSpan w:val="3"/>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10</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是否三河、三湖、两控区</w:t>
            </w:r>
          </w:p>
        </w:tc>
        <w:tc>
          <w:tcPr>
            <w:tcW w:w="5059" w:type="dxa"/>
            <w:gridSpan w:val="3"/>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11</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是否水库库区</w:t>
            </w:r>
          </w:p>
        </w:tc>
        <w:tc>
          <w:tcPr>
            <w:tcW w:w="5059" w:type="dxa"/>
            <w:gridSpan w:val="3"/>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13</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是否污水处理厂纳污范围</w:t>
            </w:r>
          </w:p>
        </w:tc>
        <w:tc>
          <w:tcPr>
            <w:tcW w:w="5059" w:type="dxa"/>
            <w:gridSpan w:val="3"/>
            <w:noWrap w:val="0"/>
            <w:vAlign w:val="center"/>
          </w:tcPr>
          <w:p>
            <w:pPr>
              <w:pStyle w:val="13"/>
              <w:spacing w:line="240" w:lineRule="auto"/>
              <w:rPr>
                <w:rFonts w:hint="eastAsia" w:ascii="Times New Roman" w:hAnsi="Times New Roman" w:eastAsia="宋体"/>
                <w:bCs/>
                <w:sz w:val="21"/>
                <w:szCs w:val="21"/>
                <w:lang w:eastAsia="zh-CN"/>
              </w:rPr>
            </w:pPr>
            <w:r>
              <w:rPr>
                <w:rFonts w:hint="eastAsia" w:ascii="Times New Roman" w:hAnsi="Times New Roman"/>
                <w:bCs/>
                <w:sz w:val="21"/>
                <w:szCs w:val="21"/>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2" w:type="dxa"/>
            <w:noWrap w:val="0"/>
            <w:vAlign w:val="center"/>
          </w:tcPr>
          <w:p>
            <w:pPr>
              <w:pStyle w:val="13"/>
              <w:spacing w:line="240" w:lineRule="auto"/>
              <w:rPr>
                <w:rFonts w:ascii="Times New Roman" w:hAnsi="Times New Roman"/>
                <w:bCs/>
                <w:sz w:val="21"/>
                <w:szCs w:val="21"/>
              </w:rPr>
            </w:pPr>
            <w:r>
              <w:rPr>
                <w:rFonts w:ascii="Times New Roman" w:hAnsi="Times New Roman"/>
                <w:bCs/>
                <w:sz w:val="21"/>
                <w:szCs w:val="21"/>
              </w:rPr>
              <w:t>14</w:t>
            </w:r>
          </w:p>
        </w:tc>
        <w:tc>
          <w:tcPr>
            <w:tcW w:w="2537" w:type="dxa"/>
            <w:noWrap w:val="0"/>
            <w:vAlign w:val="center"/>
          </w:tcPr>
          <w:p>
            <w:pPr>
              <w:pStyle w:val="13"/>
              <w:spacing w:line="240" w:lineRule="auto"/>
              <w:rPr>
                <w:rFonts w:ascii="Times New Roman" w:hAnsi="Times New Roman"/>
                <w:bCs/>
                <w:sz w:val="21"/>
                <w:szCs w:val="21"/>
              </w:rPr>
            </w:pPr>
            <w:r>
              <w:rPr>
                <w:rFonts w:hint="eastAsia" w:ascii="Times New Roman" w:hAnsi="Times New Roman"/>
                <w:bCs/>
                <w:sz w:val="21"/>
                <w:szCs w:val="21"/>
              </w:rPr>
              <w:t>是否属于生态敏感与脆弱区</w:t>
            </w:r>
          </w:p>
        </w:tc>
        <w:tc>
          <w:tcPr>
            <w:tcW w:w="5059" w:type="dxa"/>
            <w:gridSpan w:val="3"/>
            <w:noWrap w:val="0"/>
            <w:vAlign w:val="center"/>
          </w:tcPr>
          <w:p>
            <w:pPr>
              <w:pStyle w:val="13"/>
              <w:spacing w:line="240" w:lineRule="auto"/>
              <w:rPr>
                <w:rFonts w:hint="eastAsia" w:ascii="Times New Roman" w:hAnsi="Times New Roman" w:eastAsia="宋体"/>
                <w:bCs/>
                <w:sz w:val="21"/>
                <w:szCs w:val="21"/>
                <w:lang w:eastAsia="zh-CN"/>
              </w:rPr>
            </w:pPr>
            <w:r>
              <w:rPr>
                <w:rFonts w:hint="eastAsia" w:ascii="Times New Roman" w:hAnsi="Times New Roman"/>
                <w:bCs/>
                <w:sz w:val="21"/>
                <w:szCs w:val="21"/>
                <w:lang w:eastAsia="zh-CN"/>
              </w:rPr>
              <w:t>是</w:t>
            </w:r>
          </w:p>
        </w:tc>
      </w:tr>
    </w:tbl>
    <w:p>
      <w:pPr>
        <w:pStyle w:val="76"/>
        <w:spacing w:before="163" w:after="163"/>
        <w:rPr>
          <w:rFonts w:hint="eastAsia"/>
          <w:color w:val="auto"/>
          <w:u w:val="none"/>
        </w:rPr>
      </w:pPr>
      <w:bookmarkStart w:id="126" w:name="_Toc22522"/>
      <w:bookmarkStart w:id="127" w:name="_Toc489350131"/>
      <w:r>
        <w:rPr>
          <w:rFonts w:hint="eastAsia"/>
          <w:color w:val="auto"/>
          <w:u w:val="none"/>
        </w:rPr>
        <w:t>1.10 污染控制及环境保护目标</w:t>
      </w:r>
      <w:bookmarkEnd w:id="126"/>
      <w:bookmarkEnd w:id="127"/>
    </w:p>
    <w:p>
      <w:pPr>
        <w:pStyle w:val="6"/>
        <w:bidi w:val="0"/>
        <w:rPr>
          <w:rFonts w:hint="eastAsia"/>
        </w:rPr>
      </w:pPr>
      <w:bookmarkStart w:id="128" w:name="_Toc489350132"/>
      <w:bookmarkStart w:id="129" w:name="_Toc489350233"/>
      <w:bookmarkStart w:id="130" w:name="_Toc489349973"/>
      <w:r>
        <w:rPr>
          <w:rFonts w:hint="eastAsia"/>
        </w:rPr>
        <w:t>1.10.1 本项目污染控制</w:t>
      </w:r>
      <w:bookmarkEnd w:id="128"/>
      <w:bookmarkEnd w:id="129"/>
      <w:bookmarkEnd w:id="130"/>
    </w:p>
    <w:p>
      <w:pPr>
        <w:ind w:firstLine="480"/>
        <w:rPr>
          <w:color w:val="auto"/>
          <w:kern w:val="0"/>
          <w:u w:val="none"/>
        </w:rPr>
      </w:pPr>
      <w:r>
        <w:rPr>
          <w:rFonts w:hint="eastAsia"/>
          <w:color w:val="auto"/>
          <w:kern w:val="0"/>
          <w:u w:val="none"/>
        </w:rPr>
        <w:t>（</w:t>
      </w:r>
      <w:r>
        <w:rPr>
          <w:color w:val="auto"/>
          <w:kern w:val="0"/>
          <w:u w:val="none"/>
        </w:rPr>
        <w:t>1</w:t>
      </w:r>
      <w:r>
        <w:rPr>
          <w:rFonts w:hint="eastAsia"/>
          <w:color w:val="auto"/>
          <w:kern w:val="0"/>
          <w:u w:val="none"/>
        </w:rPr>
        <w:t>）废气污染控制</w:t>
      </w:r>
    </w:p>
    <w:p>
      <w:pPr>
        <w:ind w:firstLine="480"/>
        <w:jc w:val="both"/>
        <w:rPr>
          <w:rFonts w:hint="eastAsia"/>
          <w:color w:val="auto"/>
          <w:kern w:val="0"/>
          <w:u w:val="none"/>
        </w:rPr>
      </w:pPr>
      <w:r>
        <w:rPr>
          <w:rFonts w:hint="eastAsia"/>
          <w:color w:val="auto"/>
          <w:kern w:val="0"/>
          <w:u w:val="none"/>
        </w:rPr>
        <w:t>控制项目产生的废气达标排放，使项目运营期恶臭有组织排放执行《恶臭污染物排放标准》（GB14554-93）有组织排放限值、无组织排放达到《城镇污水处理厂污染物排放标准》（</w:t>
      </w:r>
      <w:r>
        <w:rPr>
          <w:color w:val="auto"/>
          <w:kern w:val="0"/>
          <w:u w:val="none"/>
        </w:rPr>
        <w:t>GB18918 -2002</w:t>
      </w:r>
      <w:r>
        <w:rPr>
          <w:rFonts w:hint="eastAsia"/>
          <w:color w:val="auto"/>
          <w:kern w:val="0"/>
          <w:u w:val="none"/>
        </w:rPr>
        <w:t>）表</w:t>
      </w:r>
      <w:r>
        <w:rPr>
          <w:rFonts w:hint="eastAsia"/>
          <w:color w:val="auto"/>
          <w:kern w:val="0"/>
          <w:sz w:val="12"/>
          <w:szCs w:val="12"/>
          <w:u w:val="none"/>
        </w:rPr>
        <w:t xml:space="preserve"> </w:t>
      </w:r>
      <w:r>
        <w:rPr>
          <w:color w:val="auto"/>
          <w:kern w:val="0"/>
          <w:u w:val="none"/>
        </w:rPr>
        <w:t>4</w:t>
      </w:r>
      <w:r>
        <w:rPr>
          <w:color w:val="auto"/>
          <w:kern w:val="0"/>
          <w:sz w:val="12"/>
          <w:szCs w:val="12"/>
          <w:u w:val="none"/>
        </w:rPr>
        <w:t xml:space="preserve"> </w:t>
      </w:r>
      <w:r>
        <w:rPr>
          <w:rFonts w:hint="eastAsia"/>
          <w:color w:val="auto"/>
          <w:kern w:val="0"/>
          <w:u w:val="none"/>
        </w:rPr>
        <w:t>中二级排放标准，确保区域环境空气质量满足《环境空气质量标准》（</w:t>
      </w:r>
      <w:r>
        <w:rPr>
          <w:color w:val="auto"/>
          <w:kern w:val="0"/>
          <w:u w:val="none"/>
        </w:rPr>
        <w:t>GB3095-</w:t>
      </w:r>
      <w:r>
        <w:rPr>
          <w:rFonts w:hint="eastAsia"/>
          <w:color w:val="auto"/>
          <w:kern w:val="0"/>
          <w:u w:val="none"/>
        </w:rPr>
        <w:t>2012）及《环境影响评价技术导则—大气环境》（HJ2.2-2018）附录 D 中质量浓度参考限值要求。</w:t>
      </w:r>
    </w:p>
    <w:p>
      <w:pPr>
        <w:ind w:firstLine="480"/>
        <w:rPr>
          <w:rFonts w:hint="eastAsia"/>
          <w:color w:val="auto"/>
          <w:kern w:val="0"/>
          <w:u w:val="none"/>
        </w:rPr>
      </w:pPr>
      <w:r>
        <w:rPr>
          <w:rFonts w:hint="eastAsia"/>
          <w:color w:val="auto"/>
          <w:kern w:val="0"/>
          <w:u w:val="none"/>
        </w:rPr>
        <w:t>（2）噪声污染控制</w:t>
      </w:r>
    </w:p>
    <w:p>
      <w:pPr>
        <w:ind w:firstLine="480"/>
        <w:jc w:val="both"/>
        <w:rPr>
          <w:color w:val="auto"/>
          <w:kern w:val="0"/>
          <w:u w:val="none"/>
        </w:rPr>
      </w:pPr>
      <w:r>
        <w:rPr>
          <w:rFonts w:hint="eastAsia"/>
          <w:color w:val="auto"/>
          <w:kern w:val="0"/>
          <w:u w:val="none"/>
        </w:rPr>
        <w:t>采取有效的减噪措施，确保厂界噪声控制在《工业企业厂界噪声排放标准》（GB12348-2008）表1中</w:t>
      </w:r>
      <w:r>
        <w:rPr>
          <w:rFonts w:hint="eastAsia"/>
          <w:color w:val="auto"/>
          <w:kern w:val="0"/>
          <w:u w:val="none"/>
          <w:lang w:val="en-US" w:eastAsia="zh-CN"/>
        </w:rPr>
        <w:t>3</w:t>
      </w:r>
      <w:r>
        <w:rPr>
          <w:rFonts w:hint="eastAsia"/>
          <w:color w:val="auto"/>
          <w:kern w:val="0"/>
          <w:u w:val="none"/>
        </w:rPr>
        <w:t>类标准以内。</w:t>
      </w:r>
    </w:p>
    <w:p>
      <w:pPr>
        <w:ind w:firstLine="480"/>
        <w:rPr>
          <w:rFonts w:hint="eastAsia"/>
          <w:color w:val="auto"/>
          <w:kern w:val="0"/>
          <w:u w:val="none"/>
        </w:rPr>
      </w:pPr>
      <w:r>
        <w:rPr>
          <w:rFonts w:hint="eastAsia"/>
          <w:color w:val="auto"/>
          <w:kern w:val="0"/>
          <w:u w:val="none"/>
        </w:rPr>
        <w:t>（3）废水污染控制</w:t>
      </w:r>
    </w:p>
    <w:p>
      <w:pPr>
        <w:ind w:firstLine="480"/>
        <w:jc w:val="both"/>
        <w:rPr>
          <w:rFonts w:hint="eastAsia" w:eastAsia="宋体" w:cs="宋体"/>
          <w:color w:val="auto"/>
          <w:kern w:val="0"/>
          <w:lang w:eastAsia="zh-CN"/>
        </w:rPr>
      </w:pPr>
      <w:r>
        <w:rPr>
          <w:rFonts w:hint="eastAsia"/>
          <w:color w:val="auto"/>
          <w:kern w:val="0"/>
          <w:u w:val="single"/>
          <w:lang w:eastAsia="zh-CN"/>
        </w:rPr>
        <w:t>猛洞河产业园无重金属废水外排，废水主要为生活污水，故各企事业废水达到</w:t>
      </w:r>
      <w:r>
        <w:rPr>
          <w:rFonts w:hint="eastAsia"/>
          <w:color w:val="auto"/>
          <w:kern w:val="0"/>
          <w:u w:val="single"/>
          <w:lang w:val="en-US" w:eastAsia="zh-CN"/>
        </w:rPr>
        <w:t>《污水综合排放标准</w:t>
      </w:r>
      <w:r>
        <w:rPr>
          <w:rFonts w:hint="default" w:ascii="Times New Roman" w:hAnsi="Times New Roman" w:cs="Times New Roman"/>
          <w:color w:val="auto"/>
          <w:kern w:val="0"/>
          <w:u w:val="single"/>
          <w:lang w:val="en-US" w:eastAsia="zh-CN"/>
        </w:rPr>
        <w:t>》（GB8978-1996）中</w:t>
      </w:r>
      <w:r>
        <w:rPr>
          <w:rFonts w:hint="eastAsia"/>
          <w:color w:val="auto"/>
          <w:kern w:val="0"/>
          <w:u w:val="single"/>
          <w:lang w:val="en-US" w:eastAsia="zh-CN"/>
        </w:rPr>
        <w:t>的</w:t>
      </w:r>
      <w:r>
        <w:rPr>
          <w:rFonts w:hint="default" w:ascii="Times New Roman" w:hAnsi="Times New Roman" w:cs="Times New Roman"/>
          <w:color w:val="auto"/>
          <w:kern w:val="0"/>
          <w:u w:val="single"/>
          <w:lang w:val="en-US" w:eastAsia="zh-CN"/>
        </w:rPr>
        <w:t>三级标准浓度</w:t>
      </w:r>
      <w:r>
        <w:rPr>
          <w:rFonts w:hint="eastAsia" w:ascii="Times New Roman" w:hAnsi="Times New Roman" w:cs="Times New Roman"/>
          <w:color w:val="auto"/>
          <w:kern w:val="0"/>
          <w:u w:val="single"/>
          <w:lang w:val="en-US" w:eastAsia="zh-CN"/>
        </w:rPr>
        <w:t>及《污水排入城镇下水道水质标准》（GB/T31962-2015）中C级标准后接入污水管网，污水经本项目处理后达到</w:t>
      </w:r>
      <w:r>
        <w:rPr>
          <w:rFonts w:hint="eastAsia"/>
          <w:color w:val="auto"/>
          <w:u w:val="single"/>
        </w:rPr>
        <w:t>《城镇污水处理厂污染物排放标准》（GB18918-2002）表1中一级A标准</w:t>
      </w:r>
      <w:r>
        <w:rPr>
          <w:rFonts w:hint="eastAsia"/>
          <w:color w:val="auto"/>
          <w:u w:val="single"/>
          <w:lang w:eastAsia="zh-CN"/>
        </w:rPr>
        <w:t>处理后达标外排，</w:t>
      </w:r>
      <w:r>
        <w:rPr>
          <w:rFonts w:hint="eastAsia"/>
          <w:color w:val="auto"/>
          <w:kern w:val="0"/>
          <w:u w:val="single"/>
        </w:rPr>
        <w:t>确保</w:t>
      </w:r>
      <w:r>
        <w:rPr>
          <w:rFonts w:hint="eastAsia"/>
          <w:color w:val="auto"/>
          <w:kern w:val="0"/>
          <w:u w:val="single"/>
          <w:lang w:eastAsia="zh-CN"/>
        </w:rPr>
        <w:t>猛洞河</w:t>
      </w:r>
      <w:r>
        <w:rPr>
          <w:rFonts w:hint="eastAsia"/>
          <w:color w:val="auto"/>
          <w:kern w:val="0"/>
          <w:u w:val="single"/>
        </w:rPr>
        <w:t>评价段水质符合《地表水环境质量标准》（GB3838-2002）</w:t>
      </w:r>
      <w:r>
        <w:rPr>
          <w:rFonts w:hint="eastAsia" w:cs="宋体"/>
          <w:color w:val="auto"/>
          <w:kern w:val="0"/>
          <w:u w:val="single"/>
        </w:rPr>
        <w:t>Ⅲ类标准要求。</w:t>
      </w:r>
    </w:p>
    <w:p>
      <w:pPr>
        <w:ind w:firstLine="480"/>
        <w:rPr>
          <w:rFonts w:hint="eastAsia"/>
          <w:color w:val="auto"/>
          <w:kern w:val="0"/>
          <w:u w:val="none"/>
        </w:rPr>
      </w:pPr>
      <w:r>
        <w:rPr>
          <w:rFonts w:hint="eastAsia"/>
          <w:color w:val="auto"/>
          <w:kern w:val="0"/>
          <w:u w:val="none"/>
        </w:rPr>
        <w:t>（4）固体废物控制</w:t>
      </w:r>
    </w:p>
    <w:p>
      <w:pPr>
        <w:ind w:firstLine="480"/>
        <w:rPr>
          <w:color w:val="auto"/>
          <w:kern w:val="0"/>
          <w:u w:val="none"/>
        </w:rPr>
      </w:pPr>
      <w:r>
        <w:rPr>
          <w:rFonts w:hint="eastAsia"/>
          <w:color w:val="auto"/>
          <w:kern w:val="0"/>
          <w:u w:val="none"/>
        </w:rPr>
        <w:t xml:space="preserve">妥善处置或综合利用固体废物，避免产生二次污染。 </w:t>
      </w:r>
    </w:p>
    <w:p>
      <w:pPr>
        <w:pStyle w:val="6"/>
        <w:bidi w:val="0"/>
        <w:rPr>
          <w:rFonts w:hint="eastAsia"/>
        </w:rPr>
      </w:pPr>
      <w:bookmarkStart w:id="131" w:name="_Toc489349974"/>
      <w:bookmarkStart w:id="132" w:name="_Toc489350133"/>
      <w:bookmarkStart w:id="133" w:name="_Toc489350234"/>
      <w:r>
        <w:rPr>
          <w:rFonts w:hint="eastAsia"/>
        </w:rPr>
        <w:t>1.10.2环境保护目标</w:t>
      </w:r>
      <w:bookmarkEnd w:id="131"/>
      <w:bookmarkEnd w:id="132"/>
      <w:bookmarkEnd w:id="133"/>
    </w:p>
    <w:p>
      <w:pPr>
        <w:ind w:firstLine="480"/>
        <w:jc w:val="both"/>
        <w:rPr>
          <w:rFonts w:hint="eastAsia"/>
          <w:color w:val="auto"/>
          <w:kern w:val="0"/>
          <w:u w:val="none"/>
        </w:rPr>
      </w:pPr>
      <w:r>
        <w:rPr>
          <w:rFonts w:hint="eastAsia"/>
          <w:color w:val="auto"/>
          <w:kern w:val="0"/>
          <w:u w:val="none"/>
        </w:rPr>
        <w:t>在了解项目选址周边环境现状、发展规划及功能区划的基础上，结合项目工程特征，确定本次评价环境保护目标。</w:t>
      </w:r>
    </w:p>
    <w:p>
      <w:pPr>
        <w:ind w:firstLine="480"/>
        <w:jc w:val="both"/>
        <w:rPr>
          <w:rFonts w:hint="eastAsia"/>
          <w:color w:val="auto"/>
          <w:kern w:val="0"/>
          <w:u w:val="none"/>
        </w:rPr>
      </w:pPr>
      <w:r>
        <w:rPr>
          <w:rFonts w:hint="eastAsia"/>
          <w:color w:val="auto"/>
          <w:kern w:val="0"/>
          <w:u w:val="none"/>
          <w:lang w:val="en-US" w:eastAsia="zh-CN"/>
        </w:rPr>
        <w:t>本项目排水管道靠近猛洞河一端及排污口涉及到湖南不二门国家级森林公园官河保育区（约300m）、湖南永顺猛洞河地质公园地质遗迹三级保护区（约560m）、猛洞河国家级风景名胜区外围保护区（约150m）、永顺县猛洞河湿地保护区，其他建设工程均不涉及。</w:t>
      </w:r>
      <w:r>
        <w:rPr>
          <w:rFonts w:hint="eastAsia"/>
          <w:color w:val="auto"/>
          <w:kern w:val="0"/>
          <w:u w:val="none"/>
        </w:rPr>
        <w:t>根据工程性质及周围环境特征，确定环境保护目标主要为污水厂附近居民点以及管道沿线附近居民点以及区域地表水体</w:t>
      </w:r>
      <w:r>
        <w:rPr>
          <w:rFonts w:hint="eastAsia"/>
          <w:color w:val="auto"/>
          <w:kern w:val="0"/>
          <w:u w:val="none"/>
          <w:lang w:eastAsia="zh-CN"/>
        </w:rPr>
        <w:t>猛洞河</w:t>
      </w:r>
      <w:r>
        <w:rPr>
          <w:rFonts w:hint="eastAsia"/>
          <w:color w:val="auto"/>
          <w:kern w:val="0"/>
          <w:u w:val="none"/>
        </w:rPr>
        <w:t>等</w:t>
      </w:r>
      <w:r>
        <w:rPr>
          <w:rFonts w:hint="eastAsia"/>
          <w:color w:val="auto"/>
          <w:kern w:val="0"/>
          <w:u w:val="none"/>
          <w:lang w:eastAsia="zh-CN"/>
        </w:rPr>
        <w:t>敏感点，</w:t>
      </w:r>
      <w:r>
        <w:rPr>
          <w:rFonts w:hint="eastAsia"/>
          <w:color w:val="auto"/>
          <w:kern w:val="0"/>
          <w:u w:val="none"/>
        </w:rPr>
        <w:t>项目周边环境见附图</w:t>
      </w:r>
      <w:r>
        <w:rPr>
          <w:rFonts w:hint="eastAsia"/>
          <w:color w:val="auto"/>
          <w:kern w:val="0"/>
          <w:u w:val="none"/>
          <w:lang w:val="en-US" w:eastAsia="zh-CN"/>
        </w:rPr>
        <w:t>4</w:t>
      </w:r>
      <w:r>
        <w:rPr>
          <w:rFonts w:hint="eastAsia"/>
          <w:color w:val="auto"/>
          <w:kern w:val="0"/>
          <w:u w:val="none"/>
        </w:rPr>
        <w:t>：项目外环境保护关系图。</w:t>
      </w:r>
    </w:p>
    <w:p>
      <w:pPr>
        <w:ind w:firstLine="480"/>
        <w:rPr>
          <w:rFonts w:hint="eastAsia"/>
          <w:color w:val="auto"/>
          <w:kern w:val="0"/>
          <w:u w:val="none"/>
        </w:rPr>
      </w:pPr>
      <w:r>
        <w:rPr>
          <w:rFonts w:hint="eastAsia"/>
          <w:color w:val="auto"/>
          <w:kern w:val="0"/>
          <w:u w:val="none"/>
        </w:rPr>
        <w:t>主要环境保护目标和对象分布详见下表1.10-1及1.10-2</w:t>
      </w:r>
      <w:bookmarkStart w:id="134" w:name="_Toc489349975"/>
      <w:bookmarkStart w:id="135" w:name="_Toc489350134"/>
      <w:r>
        <w:rPr>
          <w:rFonts w:hint="eastAsia"/>
          <w:color w:val="auto"/>
          <w:kern w:val="0"/>
          <w:u w:val="none"/>
        </w:rPr>
        <w:t>。</w:t>
      </w:r>
    </w:p>
    <w:p>
      <w:pPr>
        <w:ind w:firstLine="422"/>
        <w:jc w:val="center"/>
        <w:rPr>
          <w:b/>
          <w:color w:val="auto"/>
          <w:kern w:val="0"/>
          <w:sz w:val="21"/>
          <w:szCs w:val="21"/>
          <w:u w:val="none"/>
        </w:rPr>
      </w:pPr>
      <w:r>
        <w:rPr>
          <w:rFonts w:hint="eastAsia"/>
          <w:b/>
          <w:color w:val="auto"/>
          <w:kern w:val="0"/>
          <w:sz w:val="21"/>
          <w:szCs w:val="21"/>
          <w:u w:val="none"/>
        </w:rPr>
        <w:t>表1.10-1 污水处理厂工程环境保护一览表</w:t>
      </w:r>
    </w:p>
    <w:tbl>
      <w:tblPr>
        <w:tblStyle w:val="36"/>
        <w:tblpPr w:leftFromText="180" w:rightFromText="180" w:vertAnchor="text" w:horzAnchor="page" w:tblpX="1812" w:tblpY="49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08"/>
        <w:gridCol w:w="706"/>
        <w:gridCol w:w="706"/>
        <w:gridCol w:w="566"/>
        <w:gridCol w:w="812"/>
        <w:gridCol w:w="517"/>
        <w:gridCol w:w="628"/>
        <w:gridCol w:w="1253"/>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2" w:type="pct"/>
            <w:vMerge w:val="restart"/>
            <w:noWrap w:val="0"/>
            <w:vAlign w:val="center"/>
          </w:tcPr>
          <w:p>
            <w:pPr>
              <w:pStyle w:val="120"/>
              <w:bidi w:val="0"/>
              <w:rPr>
                <w:rFonts w:hint="default"/>
              </w:rPr>
            </w:pPr>
            <w:bookmarkStart w:id="136" w:name="_Hlk28266490"/>
            <w:r>
              <w:rPr>
                <w:rFonts w:hint="default"/>
              </w:rPr>
              <w:t>环境</w:t>
            </w:r>
          </w:p>
          <w:p>
            <w:pPr>
              <w:pStyle w:val="120"/>
              <w:bidi w:val="0"/>
              <w:rPr>
                <w:rFonts w:hint="default"/>
              </w:rPr>
            </w:pPr>
            <w:r>
              <w:rPr>
                <w:rFonts w:hint="default"/>
              </w:rPr>
              <w:t>要素</w:t>
            </w:r>
          </w:p>
        </w:tc>
        <w:tc>
          <w:tcPr>
            <w:tcW w:w="537" w:type="pct"/>
            <w:vMerge w:val="restart"/>
            <w:noWrap w:val="0"/>
            <w:vAlign w:val="center"/>
          </w:tcPr>
          <w:p>
            <w:pPr>
              <w:pStyle w:val="120"/>
              <w:bidi w:val="0"/>
              <w:rPr>
                <w:rFonts w:hint="default"/>
              </w:rPr>
            </w:pPr>
            <w:r>
              <w:rPr>
                <w:rFonts w:hint="default"/>
              </w:rPr>
              <w:t>环境保护对象名称</w:t>
            </w:r>
          </w:p>
        </w:tc>
        <w:tc>
          <w:tcPr>
            <w:tcW w:w="833" w:type="pct"/>
            <w:gridSpan w:val="2"/>
            <w:noWrap w:val="0"/>
            <w:vAlign w:val="center"/>
          </w:tcPr>
          <w:p>
            <w:pPr>
              <w:pStyle w:val="120"/>
              <w:bidi w:val="0"/>
              <w:rPr>
                <w:rFonts w:hint="default"/>
              </w:rPr>
            </w:pPr>
            <w:r>
              <w:rPr>
                <w:rFonts w:hint="default"/>
              </w:rPr>
              <w:t>坐标</w:t>
            </w:r>
          </w:p>
        </w:tc>
        <w:tc>
          <w:tcPr>
            <w:tcW w:w="334" w:type="pct"/>
            <w:vMerge w:val="restart"/>
            <w:noWrap w:val="0"/>
            <w:vAlign w:val="center"/>
          </w:tcPr>
          <w:p>
            <w:pPr>
              <w:pStyle w:val="120"/>
              <w:bidi w:val="0"/>
              <w:rPr>
                <w:rFonts w:hint="default"/>
              </w:rPr>
            </w:pPr>
            <w:r>
              <w:rPr>
                <w:rFonts w:hint="default"/>
              </w:rPr>
              <w:t>相对厂</w:t>
            </w:r>
          </w:p>
          <w:p>
            <w:pPr>
              <w:pStyle w:val="120"/>
              <w:bidi w:val="0"/>
              <w:rPr>
                <w:rFonts w:hint="default"/>
              </w:rPr>
            </w:pPr>
            <w:r>
              <w:rPr>
                <w:rFonts w:hint="default"/>
              </w:rPr>
              <w:t>址方位</w:t>
            </w:r>
          </w:p>
        </w:tc>
        <w:tc>
          <w:tcPr>
            <w:tcW w:w="480" w:type="pct"/>
            <w:vMerge w:val="restart"/>
            <w:noWrap w:val="0"/>
            <w:vAlign w:val="center"/>
          </w:tcPr>
          <w:p>
            <w:pPr>
              <w:pStyle w:val="120"/>
              <w:bidi w:val="0"/>
              <w:rPr>
                <w:rFonts w:hint="default"/>
              </w:rPr>
            </w:pPr>
            <w:r>
              <w:rPr>
                <w:rFonts w:hint="default"/>
              </w:rPr>
              <w:t>厂界</w:t>
            </w:r>
            <w:r>
              <w:rPr>
                <w:rFonts w:hint="eastAsia"/>
                <w:lang w:eastAsia="zh-CN"/>
              </w:rPr>
              <w:t>距离最近</w:t>
            </w:r>
            <w:r>
              <w:rPr>
                <w:rFonts w:hint="default"/>
              </w:rPr>
              <w:t>距离（m）</w:t>
            </w:r>
          </w:p>
        </w:tc>
        <w:tc>
          <w:tcPr>
            <w:tcW w:w="306" w:type="pct"/>
            <w:vMerge w:val="restart"/>
            <w:noWrap w:val="0"/>
            <w:vAlign w:val="center"/>
          </w:tcPr>
          <w:p>
            <w:pPr>
              <w:pStyle w:val="120"/>
              <w:bidi w:val="0"/>
              <w:rPr>
                <w:rFonts w:hint="default"/>
              </w:rPr>
            </w:pPr>
            <w:r>
              <w:rPr>
                <w:rFonts w:hint="default"/>
              </w:rPr>
              <w:t>有无山体阻隔</w:t>
            </w:r>
          </w:p>
        </w:tc>
        <w:tc>
          <w:tcPr>
            <w:tcW w:w="371" w:type="pct"/>
            <w:vMerge w:val="restart"/>
            <w:noWrap w:val="0"/>
            <w:vAlign w:val="center"/>
          </w:tcPr>
          <w:p>
            <w:pPr>
              <w:pStyle w:val="120"/>
              <w:bidi w:val="0"/>
              <w:rPr>
                <w:rFonts w:hint="default"/>
              </w:rPr>
            </w:pPr>
            <w:r>
              <w:rPr>
                <w:rFonts w:hint="default"/>
              </w:rPr>
              <w:t>环境</w:t>
            </w:r>
          </w:p>
          <w:p>
            <w:pPr>
              <w:pStyle w:val="120"/>
              <w:bidi w:val="0"/>
              <w:rPr>
                <w:rFonts w:hint="default"/>
              </w:rPr>
            </w:pPr>
            <w:r>
              <w:rPr>
                <w:rFonts w:hint="default"/>
              </w:rPr>
              <w:t>功能区</w:t>
            </w:r>
          </w:p>
        </w:tc>
        <w:tc>
          <w:tcPr>
            <w:tcW w:w="736" w:type="pct"/>
            <w:vMerge w:val="restart"/>
            <w:noWrap w:val="0"/>
            <w:vAlign w:val="center"/>
          </w:tcPr>
          <w:p>
            <w:pPr>
              <w:pStyle w:val="120"/>
              <w:bidi w:val="0"/>
              <w:rPr>
                <w:rFonts w:hint="default"/>
              </w:rPr>
            </w:pPr>
            <w:r>
              <w:rPr>
                <w:rFonts w:hint="default"/>
              </w:rPr>
              <w:t>保护对象</w:t>
            </w:r>
          </w:p>
        </w:tc>
        <w:tc>
          <w:tcPr>
            <w:tcW w:w="1147" w:type="pct"/>
            <w:vMerge w:val="restart"/>
            <w:noWrap w:val="0"/>
            <w:vAlign w:val="center"/>
          </w:tcPr>
          <w:p>
            <w:pPr>
              <w:pStyle w:val="120"/>
              <w:bidi w:val="0"/>
              <w:rPr>
                <w:rFonts w:hint="default"/>
              </w:rPr>
            </w:pPr>
            <w:r>
              <w:rPr>
                <w:rFonts w:hint="default"/>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52" w:type="pct"/>
            <w:vMerge w:val="continue"/>
            <w:noWrap w:val="0"/>
            <w:vAlign w:val="center"/>
          </w:tcPr>
          <w:p>
            <w:pPr>
              <w:pStyle w:val="120"/>
              <w:bidi w:val="0"/>
              <w:rPr>
                <w:rFonts w:hint="default"/>
              </w:rPr>
            </w:pPr>
          </w:p>
        </w:tc>
        <w:tc>
          <w:tcPr>
            <w:tcW w:w="537" w:type="pct"/>
            <w:vMerge w:val="continue"/>
            <w:noWrap w:val="0"/>
            <w:vAlign w:val="center"/>
          </w:tcPr>
          <w:p>
            <w:pPr>
              <w:pStyle w:val="120"/>
              <w:bidi w:val="0"/>
              <w:rPr>
                <w:rFonts w:hint="default"/>
              </w:rPr>
            </w:pPr>
          </w:p>
        </w:tc>
        <w:tc>
          <w:tcPr>
            <w:tcW w:w="416" w:type="pct"/>
            <w:noWrap w:val="0"/>
            <w:vAlign w:val="center"/>
          </w:tcPr>
          <w:p>
            <w:pPr>
              <w:pStyle w:val="120"/>
              <w:bidi w:val="0"/>
              <w:rPr>
                <w:rFonts w:hint="default"/>
              </w:rPr>
            </w:pPr>
            <w:r>
              <w:rPr>
                <w:rFonts w:hint="default"/>
              </w:rPr>
              <w:t>X</w:t>
            </w:r>
          </w:p>
        </w:tc>
        <w:tc>
          <w:tcPr>
            <w:tcW w:w="416" w:type="pct"/>
            <w:noWrap w:val="0"/>
            <w:vAlign w:val="center"/>
          </w:tcPr>
          <w:p>
            <w:pPr>
              <w:pStyle w:val="120"/>
              <w:bidi w:val="0"/>
              <w:rPr>
                <w:rFonts w:hint="default"/>
              </w:rPr>
            </w:pPr>
            <w:r>
              <w:rPr>
                <w:rFonts w:hint="default"/>
              </w:rPr>
              <w:t>Y</w:t>
            </w:r>
          </w:p>
        </w:tc>
        <w:tc>
          <w:tcPr>
            <w:tcW w:w="334" w:type="pct"/>
            <w:vMerge w:val="continue"/>
            <w:noWrap w:val="0"/>
            <w:vAlign w:val="center"/>
          </w:tcPr>
          <w:p>
            <w:pPr>
              <w:pStyle w:val="120"/>
              <w:bidi w:val="0"/>
              <w:rPr>
                <w:rFonts w:hint="default"/>
              </w:rPr>
            </w:pPr>
          </w:p>
        </w:tc>
        <w:tc>
          <w:tcPr>
            <w:tcW w:w="480" w:type="pct"/>
            <w:vMerge w:val="continue"/>
            <w:noWrap w:val="0"/>
            <w:vAlign w:val="center"/>
          </w:tcPr>
          <w:p>
            <w:pPr>
              <w:pStyle w:val="120"/>
              <w:bidi w:val="0"/>
              <w:rPr>
                <w:rFonts w:hint="default"/>
              </w:rPr>
            </w:pPr>
          </w:p>
        </w:tc>
        <w:tc>
          <w:tcPr>
            <w:tcW w:w="306" w:type="pct"/>
            <w:vMerge w:val="continue"/>
            <w:noWrap w:val="0"/>
            <w:vAlign w:val="center"/>
          </w:tcPr>
          <w:p>
            <w:pPr>
              <w:pStyle w:val="120"/>
              <w:bidi w:val="0"/>
              <w:rPr>
                <w:rFonts w:hint="default"/>
              </w:rPr>
            </w:pPr>
          </w:p>
        </w:tc>
        <w:tc>
          <w:tcPr>
            <w:tcW w:w="371" w:type="pct"/>
            <w:vMerge w:val="continue"/>
            <w:noWrap w:val="0"/>
            <w:vAlign w:val="center"/>
          </w:tcPr>
          <w:p>
            <w:pPr>
              <w:pStyle w:val="120"/>
              <w:bidi w:val="0"/>
              <w:rPr>
                <w:rFonts w:hint="default"/>
              </w:rPr>
            </w:pPr>
          </w:p>
        </w:tc>
        <w:tc>
          <w:tcPr>
            <w:tcW w:w="736" w:type="pct"/>
            <w:vMerge w:val="continue"/>
            <w:noWrap w:val="0"/>
            <w:vAlign w:val="center"/>
          </w:tcPr>
          <w:p>
            <w:pPr>
              <w:pStyle w:val="120"/>
              <w:bidi w:val="0"/>
              <w:rPr>
                <w:rFonts w:hint="default"/>
              </w:rPr>
            </w:pP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52" w:type="pct"/>
            <w:vMerge w:val="restart"/>
            <w:noWrap w:val="0"/>
            <w:vAlign w:val="center"/>
          </w:tcPr>
          <w:p>
            <w:pPr>
              <w:pStyle w:val="120"/>
              <w:bidi w:val="0"/>
              <w:rPr>
                <w:rFonts w:hint="default"/>
              </w:rPr>
            </w:pPr>
            <w:r>
              <w:rPr>
                <w:rFonts w:hint="default"/>
              </w:rPr>
              <w:t>空气</w:t>
            </w:r>
          </w:p>
          <w:p>
            <w:pPr>
              <w:pStyle w:val="120"/>
              <w:bidi w:val="0"/>
              <w:rPr>
                <w:rFonts w:hint="default"/>
              </w:rPr>
            </w:pPr>
            <w:r>
              <w:rPr>
                <w:rFonts w:hint="default"/>
              </w:rPr>
              <w:t>环境</w:t>
            </w:r>
          </w:p>
        </w:tc>
        <w:tc>
          <w:tcPr>
            <w:tcW w:w="537" w:type="pct"/>
            <w:noWrap w:val="0"/>
            <w:vAlign w:val="center"/>
          </w:tcPr>
          <w:p>
            <w:pPr>
              <w:pStyle w:val="120"/>
              <w:bidi w:val="0"/>
              <w:rPr>
                <w:rFonts w:hint="eastAsia"/>
                <w:lang w:eastAsia="zh-CN"/>
              </w:rPr>
            </w:pPr>
            <w:r>
              <w:rPr>
                <w:rFonts w:hint="eastAsia"/>
                <w:lang w:eastAsia="zh-CN"/>
              </w:rPr>
              <w:t>捺岔</w:t>
            </w:r>
          </w:p>
        </w:tc>
        <w:tc>
          <w:tcPr>
            <w:tcW w:w="416" w:type="pct"/>
            <w:noWrap w:val="0"/>
            <w:vAlign w:val="center"/>
          </w:tcPr>
          <w:p>
            <w:pPr>
              <w:pStyle w:val="120"/>
              <w:bidi w:val="0"/>
              <w:rPr>
                <w:rFonts w:hint="default"/>
                <w:lang w:val="en-US" w:eastAsia="zh-CN"/>
              </w:rPr>
            </w:pPr>
            <w:r>
              <w:rPr>
                <w:rFonts w:hint="eastAsia"/>
                <w:lang w:val="en-US" w:eastAsia="zh-CN"/>
              </w:rPr>
              <w:t>1330</w:t>
            </w:r>
          </w:p>
        </w:tc>
        <w:tc>
          <w:tcPr>
            <w:tcW w:w="416" w:type="pct"/>
            <w:noWrap w:val="0"/>
            <w:vAlign w:val="center"/>
          </w:tcPr>
          <w:p>
            <w:pPr>
              <w:pStyle w:val="120"/>
              <w:bidi w:val="0"/>
              <w:rPr>
                <w:rFonts w:hint="default"/>
                <w:lang w:val="en-US" w:eastAsia="zh-CN"/>
              </w:rPr>
            </w:pPr>
            <w:r>
              <w:rPr>
                <w:rFonts w:hint="eastAsia"/>
                <w:lang w:val="en-US" w:eastAsia="zh-CN"/>
              </w:rPr>
              <w:t>-1970</w:t>
            </w:r>
          </w:p>
        </w:tc>
        <w:tc>
          <w:tcPr>
            <w:tcW w:w="334" w:type="pct"/>
            <w:noWrap w:val="0"/>
            <w:vAlign w:val="center"/>
          </w:tcPr>
          <w:p>
            <w:pPr>
              <w:pStyle w:val="120"/>
              <w:bidi w:val="0"/>
              <w:rPr>
                <w:rFonts w:hint="default"/>
                <w:lang w:val="en-US" w:eastAsia="zh-CN"/>
              </w:rPr>
            </w:pPr>
            <w:r>
              <w:rPr>
                <w:rFonts w:hint="eastAsia"/>
                <w:lang w:val="en-US" w:eastAsia="zh-CN"/>
              </w:rPr>
              <w:t>ES</w:t>
            </w:r>
          </w:p>
        </w:tc>
        <w:tc>
          <w:tcPr>
            <w:tcW w:w="480" w:type="pct"/>
            <w:noWrap w:val="0"/>
            <w:vAlign w:val="center"/>
          </w:tcPr>
          <w:p>
            <w:pPr>
              <w:pStyle w:val="120"/>
              <w:bidi w:val="0"/>
              <w:rPr>
                <w:rFonts w:hint="default"/>
                <w:lang w:val="en-US" w:eastAsia="zh-CN"/>
              </w:rPr>
            </w:pPr>
            <w:r>
              <w:rPr>
                <w:rFonts w:hint="eastAsia"/>
                <w:lang w:val="en-US" w:eastAsia="zh-CN"/>
              </w:rPr>
              <w:t>2380</w:t>
            </w:r>
          </w:p>
        </w:tc>
        <w:tc>
          <w:tcPr>
            <w:tcW w:w="306" w:type="pct"/>
            <w:noWrap w:val="0"/>
            <w:vAlign w:val="center"/>
          </w:tcPr>
          <w:p>
            <w:pPr>
              <w:pStyle w:val="120"/>
              <w:bidi w:val="0"/>
              <w:rPr>
                <w:rFonts w:hint="default"/>
                <w:lang w:val="en-US" w:eastAsia="zh-CN"/>
              </w:rPr>
            </w:pPr>
            <w:r>
              <w:rPr>
                <w:rFonts w:hint="eastAsia"/>
                <w:lang w:val="en-US" w:eastAsia="zh-CN"/>
              </w:rPr>
              <w:t>有</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380</w:t>
            </w:r>
            <w:r>
              <w:rPr>
                <w:rFonts w:hint="default"/>
              </w:rPr>
              <w:t>人</w:t>
            </w:r>
          </w:p>
        </w:tc>
        <w:tc>
          <w:tcPr>
            <w:tcW w:w="1147" w:type="pct"/>
            <w:vMerge w:val="restart"/>
            <w:noWrap w:val="0"/>
            <w:vAlign w:val="center"/>
          </w:tcPr>
          <w:p>
            <w:pPr>
              <w:pStyle w:val="120"/>
              <w:bidi w:val="0"/>
              <w:rPr>
                <w:rFonts w:hint="default"/>
              </w:rPr>
            </w:pPr>
            <w:r>
              <w:rPr>
                <w:rFonts w:hint="default"/>
              </w:rPr>
              <w:t>《环境空气质量标准》（GB3095－2012）及其修改单二级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eastAsia"/>
                <w:lang w:eastAsia="zh-CN"/>
              </w:rPr>
            </w:pPr>
            <w:r>
              <w:rPr>
                <w:rFonts w:hint="eastAsia"/>
                <w:lang w:val="en-US" w:eastAsia="zh-CN"/>
              </w:rPr>
              <w:t>坝科</w:t>
            </w:r>
          </w:p>
        </w:tc>
        <w:tc>
          <w:tcPr>
            <w:tcW w:w="416" w:type="pct"/>
            <w:noWrap w:val="0"/>
            <w:vAlign w:val="center"/>
          </w:tcPr>
          <w:p>
            <w:pPr>
              <w:pStyle w:val="120"/>
              <w:bidi w:val="0"/>
              <w:rPr>
                <w:rFonts w:hint="default"/>
                <w:lang w:val="en-US" w:eastAsia="zh-CN"/>
              </w:rPr>
            </w:pPr>
            <w:r>
              <w:rPr>
                <w:rFonts w:hint="eastAsia"/>
                <w:lang w:val="en-US" w:eastAsia="zh-CN"/>
              </w:rPr>
              <w:t>110</w:t>
            </w:r>
          </w:p>
        </w:tc>
        <w:tc>
          <w:tcPr>
            <w:tcW w:w="416" w:type="pct"/>
            <w:noWrap w:val="0"/>
            <w:vAlign w:val="center"/>
          </w:tcPr>
          <w:p>
            <w:pPr>
              <w:pStyle w:val="120"/>
              <w:bidi w:val="0"/>
              <w:rPr>
                <w:rFonts w:hint="default"/>
                <w:lang w:val="en-US" w:eastAsia="zh-CN"/>
              </w:rPr>
            </w:pPr>
            <w:r>
              <w:rPr>
                <w:rFonts w:hint="eastAsia"/>
                <w:lang w:val="en-US" w:eastAsia="zh-CN"/>
              </w:rPr>
              <w:t>-1240</w:t>
            </w:r>
          </w:p>
        </w:tc>
        <w:tc>
          <w:tcPr>
            <w:tcW w:w="334" w:type="pct"/>
            <w:noWrap w:val="0"/>
            <w:vAlign w:val="center"/>
          </w:tcPr>
          <w:p>
            <w:pPr>
              <w:pStyle w:val="120"/>
              <w:bidi w:val="0"/>
              <w:rPr>
                <w:rFonts w:hint="default"/>
              </w:rPr>
            </w:pPr>
            <w:r>
              <w:rPr>
                <w:rFonts w:hint="eastAsia"/>
                <w:lang w:val="en-US" w:eastAsia="zh-CN"/>
              </w:rPr>
              <w:t>ES</w:t>
            </w:r>
          </w:p>
        </w:tc>
        <w:tc>
          <w:tcPr>
            <w:tcW w:w="480" w:type="pct"/>
            <w:noWrap w:val="0"/>
            <w:vAlign w:val="center"/>
          </w:tcPr>
          <w:p>
            <w:pPr>
              <w:pStyle w:val="120"/>
              <w:bidi w:val="0"/>
              <w:rPr>
                <w:rFonts w:hint="default"/>
                <w:lang w:val="en-US" w:eastAsia="zh-CN"/>
              </w:rPr>
            </w:pPr>
            <w:r>
              <w:rPr>
                <w:rFonts w:hint="eastAsia"/>
                <w:lang w:val="en-US" w:eastAsia="zh-CN"/>
              </w:rPr>
              <w:t>1250</w:t>
            </w:r>
          </w:p>
        </w:tc>
        <w:tc>
          <w:tcPr>
            <w:tcW w:w="306" w:type="pct"/>
            <w:noWrap w:val="0"/>
            <w:vAlign w:val="center"/>
          </w:tcPr>
          <w:p>
            <w:pPr>
              <w:pStyle w:val="120"/>
              <w:bidi w:val="0"/>
              <w:rPr>
                <w:rFonts w:hint="default"/>
              </w:rPr>
            </w:pPr>
            <w:r>
              <w:rPr>
                <w:rFonts w:hint="eastAsia"/>
                <w:lang w:val="en-US" w:eastAsia="zh-CN"/>
              </w:rPr>
              <w:t>有</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100</w:t>
            </w:r>
            <w:r>
              <w:rPr>
                <w:rFonts w:hint="default"/>
              </w:rPr>
              <w:t>人</w:t>
            </w: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eastAsia"/>
                <w:lang w:eastAsia="zh-CN"/>
              </w:rPr>
            </w:pPr>
            <w:r>
              <w:rPr>
                <w:rFonts w:hint="eastAsia"/>
                <w:lang w:eastAsia="zh-CN"/>
              </w:rPr>
              <w:t>石提村</w:t>
            </w:r>
          </w:p>
        </w:tc>
        <w:tc>
          <w:tcPr>
            <w:tcW w:w="416" w:type="pct"/>
            <w:noWrap w:val="0"/>
            <w:vAlign w:val="center"/>
          </w:tcPr>
          <w:p>
            <w:pPr>
              <w:pStyle w:val="120"/>
              <w:bidi w:val="0"/>
              <w:rPr>
                <w:rFonts w:hint="default"/>
                <w:lang w:val="en-US" w:eastAsia="zh-CN"/>
              </w:rPr>
            </w:pPr>
            <w:r>
              <w:rPr>
                <w:rFonts w:hint="default"/>
              </w:rPr>
              <w:t>-</w:t>
            </w:r>
            <w:r>
              <w:rPr>
                <w:rFonts w:hint="eastAsia"/>
                <w:lang w:val="en-US" w:eastAsia="zh-CN"/>
              </w:rPr>
              <w:t>740</w:t>
            </w:r>
          </w:p>
        </w:tc>
        <w:tc>
          <w:tcPr>
            <w:tcW w:w="416" w:type="pct"/>
            <w:noWrap w:val="0"/>
            <w:vAlign w:val="center"/>
          </w:tcPr>
          <w:p>
            <w:pPr>
              <w:pStyle w:val="120"/>
              <w:bidi w:val="0"/>
              <w:rPr>
                <w:rFonts w:hint="default"/>
                <w:lang w:val="en-US" w:eastAsia="zh-CN"/>
              </w:rPr>
            </w:pPr>
            <w:r>
              <w:rPr>
                <w:rFonts w:hint="eastAsia"/>
                <w:lang w:val="en-US" w:eastAsia="zh-CN"/>
              </w:rPr>
              <w:t>-1890</w:t>
            </w:r>
          </w:p>
        </w:tc>
        <w:tc>
          <w:tcPr>
            <w:tcW w:w="334" w:type="pct"/>
            <w:noWrap w:val="0"/>
            <w:vAlign w:val="center"/>
          </w:tcPr>
          <w:p>
            <w:pPr>
              <w:pStyle w:val="120"/>
              <w:bidi w:val="0"/>
              <w:rPr>
                <w:rFonts w:hint="default"/>
              </w:rPr>
            </w:pPr>
            <w:r>
              <w:rPr>
                <w:rFonts w:hint="eastAsia"/>
                <w:lang w:val="en-US" w:eastAsia="zh-CN"/>
              </w:rPr>
              <w:t>S</w:t>
            </w:r>
            <w:r>
              <w:rPr>
                <w:rFonts w:hint="default"/>
              </w:rPr>
              <w:t>W</w:t>
            </w:r>
          </w:p>
        </w:tc>
        <w:tc>
          <w:tcPr>
            <w:tcW w:w="480" w:type="pct"/>
            <w:noWrap w:val="0"/>
            <w:vAlign w:val="center"/>
          </w:tcPr>
          <w:p>
            <w:pPr>
              <w:pStyle w:val="120"/>
              <w:bidi w:val="0"/>
              <w:rPr>
                <w:rFonts w:hint="default"/>
                <w:lang w:val="en-US" w:eastAsia="zh-CN"/>
              </w:rPr>
            </w:pPr>
            <w:r>
              <w:rPr>
                <w:rFonts w:hint="eastAsia"/>
                <w:lang w:val="en-US" w:eastAsia="zh-CN"/>
              </w:rPr>
              <w:t>2030</w:t>
            </w:r>
          </w:p>
        </w:tc>
        <w:tc>
          <w:tcPr>
            <w:tcW w:w="306" w:type="pct"/>
            <w:noWrap w:val="0"/>
            <w:vAlign w:val="center"/>
          </w:tcPr>
          <w:p>
            <w:pPr>
              <w:pStyle w:val="120"/>
              <w:bidi w:val="0"/>
              <w:rPr>
                <w:rFonts w:hint="eastAsia"/>
                <w:lang w:eastAsia="zh-CN"/>
              </w:rPr>
            </w:pPr>
            <w:r>
              <w:rPr>
                <w:rFonts w:hint="eastAsia"/>
                <w:lang w:eastAsia="zh-CN"/>
              </w:rPr>
              <w:t>有</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240</w:t>
            </w:r>
            <w:r>
              <w:rPr>
                <w:rFonts w:hint="default"/>
              </w:rPr>
              <w:t>人</w:t>
            </w: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eastAsia"/>
                <w:lang w:eastAsia="zh-CN"/>
              </w:rPr>
            </w:pPr>
            <w:r>
              <w:rPr>
                <w:rFonts w:hint="eastAsia"/>
                <w:lang w:eastAsia="zh-CN"/>
              </w:rPr>
              <w:t>埃溪</w:t>
            </w:r>
          </w:p>
        </w:tc>
        <w:tc>
          <w:tcPr>
            <w:tcW w:w="416" w:type="pct"/>
            <w:noWrap w:val="0"/>
            <w:vAlign w:val="center"/>
          </w:tcPr>
          <w:p>
            <w:pPr>
              <w:pStyle w:val="120"/>
              <w:bidi w:val="0"/>
              <w:rPr>
                <w:rFonts w:hint="default"/>
                <w:lang w:val="en-US" w:eastAsia="zh-CN"/>
              </w:rPr>
            </w:pPr>
            <w:r>
              <w:rPr>
                <w:rFonts w:hint="default"/>
              </w:rPr>
              <w:t>-</w:t>
            </w:r>
            <w:r>
              <w:rPr>
                <w:rFonts w:hint="eastAsia"/>
                <w:lang w:val="en-US" w:eastAsia="zh-CN"/>
              </w:rPr>
              <w:t>1280</w:t>
            </w:r>
          </w:p>
        </w:tc>
        <w:tc>
          <w:tcPr>
            <w:tcW w:w="416" w:type="pct"/>
            <w:noWrap w:val="0"/>
            <w:vAlign w:val="center"/>
          </w:tcPr>
          <w:p>
            <w:pPr>
              <w:pStyle w:val="120"/>
              <w:bidi w:val="0"/>
              <w:rPr>
                <w:rFonts w:hint="default"/>
                <w:lang w:val="en-US" w:eastAsia="zh-CN"/>
              </w:rPr>
            </w:pPr>
            <w:r>
              <w:rPr>
                <w:rFonts w:hint="default"/>
              </w:rPr>
              <w:t>-</w:t>
            </w:r>
            <w:r>
              <w:rPr>
                <w:rFonts w:hint="eastAsia"/>
                <w:lang w:val="en-US" w:eastAsia="zh-CN"/>
              </w:rPr>
              <w:t>1680</w:t>
            </w:r>
          </w:p>
        </w:tc>
        <w:tc>
          <w:tcPr>
            <w:tcW w:w="334" w:type="pct"/>
            <w:noWrap w:val="0"/>
            <w:vAlign w:val="center"/>
          </w:tcPr>
          <w:p>
            <w:pPr>
              <w:pStyle w:val="120"/>
              <w:bidi w:val="0"/>
              <w:rPr>
                <w:rFonts w:hint="default"/>
              </w:rPr>
            </w:pPr>
            <w:r>
              <w:rPr>
                <w:rFonts w:hint="eastAsia"/>
                <w:lang w:val="en-US" w:eastAsia="zh-CN"/>
              </w:rPr>
              <w:t>S</w:t>
            </w:r>
            <w:r>
              <w:rPr>
                <w:rFonts w:hint="default"/>
              </w:rPr>
              <w:t>W</w:t>
            </w:r>
          </w:p>
        </w:tc>
        <w:tc>
          <w:tcPr>
            <w:tcW w:w="480" w:type="pct"/>
            <w:noWrap w:val="0"/>
            <w:vAlign w:val="center"/>
          </w:tcPr>
          <w:p>
            <w:pPr>
              <w:pStyle w:val="120"/>
              <w:bidi w:val="0"/>
              <w:rPr>
                <w:rFonts w:hint="default"/>
                <w:lang w:val="en-US" w:eastAsia="zh-CN"/>
              </w:rPr>
            </w:pPr>
            <w:r>
              <w:rPr>
                <w:rFonts w:hint="eastAsia"/>
                <w:lang w:val="en-US" w:eastAsia="zh-CN"/>
              </w:rPr>
              <w:t>2110</w:t>
            </w:r>
          </w:p>
        </w:tc>
        <w:tc>
          <w:tcPr>
            <w:tcW w:w="306" w:type="pct"/>
            <w:noWrap w:val="0"/>
            <w:vAlign w:val="center"/>
          </w:tcPr>
          <w:p>
            <w:pPr>
              <w:pStyle w:val="120"/>
              <w:bidi w:val="0"/>
              <w:rPr>
                <w:rFonts w:hint="default"/>
              </w:rPr>
            </w:pPr>
            <w:r>
              <w:rPr>
                <w:rFonts w:hint="default"/>
              </w:rPr>
              <w:t>有</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200</w:t>
            </w:r>
            <w:r>
              <w:rPr>
                <w:rFonts w:hint="default"/>
              </w:rPr>
              <w:t>人</w:t>
            </w: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eastAsia"/>
                <w:lang w:eastAsia="zh-CN"/>
              </w:rPr>
            </w:pPr>
            <w:r>
              <w:rPr>
                <w:rFonts w:hint="eastAsia"/>
                <w:lang w:eastAsia="zh-CN"/>
              </w:rPr>
              <w:t>岔包</w:t>
            </w:r>
          </w:p>
        </w:tc>
        <w:tc>
          <w:tcPr>
            <w:tcW w:w="416" w:type="pct"/>
            <w:noWrap w:val="0"/>
            <w:vAlign w:val="center"/>
          </w:tcPr>
          <w:p>
            <w:pPr>
              <w:pStyle w:val="120"/>
              <w:bidi w:val="0"/>
              <w:rPr>
                <w:rFonts w:hint="default"/>
                <w:lang w:val="en-US" w:eastAsia="zh-CN"/>
              </w:rPr>
            </w:pPr>
            <w:r>
              <w:rPr>
                <w:rFonts w:hint="eastAsia"/>
                <w:lang w:val="en-US" w:eastAsia="zh-CN"/>
              </w:rPr>
              <w:t>100</w:t>
            </w:r>
          </w:p>
        </w:tc>
        <w:tc>
          <w:tcPr>
            <w:tcW w:w="416" w:type="pct"/>
            <w:noWrap w:val="0"/>
            <w:vAlign w:val="center"/>
          </w:tcPr>
          <w:p>
            <w:pPr>
              <w:pStyle w:val="120"/>
              <w:bidi w:val="0"/>
              <w:rPr>
                <w:rFonts w:hint="default"/>
                <w:lang w:val="en-US" w:eastAsia="zh-CN"/>
              </w:rPr>
            </w:pPr>
            <w:r>
              <w:rPr>
                <w:rFonts w:hint="default"/>
              </w:rPr>
              <w:t>-</w:t>
            </w:r>
            <w:r>
              <w:rPr>
                <w:rFonts w:hint="eastAsia"/>
                <w:lang w:val="en-US" w:eastAsia="zh-CN"/>
              </w:rPr>
              <w:t>210</w:t>
            </w:r>
          </w:p>
        </w:tc>
        <w:tc>
          <w:tcPr>
            <w:tcW w:w="334" w:type="pct"/>
            <w:noWrap w:val="0"/>
            <w:vAlign w:val="center"/>
          </w:tcPr>
          <w:p>
            <w:pPr>
              <w:pStyle w:val="120"/>
              <w:bidi w:val="0"/>
              <w:rPr>
                <w:rFonts w:hint="eastAsia"/>
                <w:lang w:eastAsia="zh-CN"/>
              </w:rPr>
            </w:pPr>
            <w:r>
              <w:rPr>
                <w:rFonts w:hint="eastAsia"/>
                <w:lang w:val="en-US" w:eastAsia="zh-CN"/>
              </w:rPr>
              <w:t>S</w:t>
            </w:r>
          </w:p>
        </w:tc>
        <w:tc>
          <w:tcPr>
            <w:tcW w:w="480" w:type="pct"/>
            <w:noWrap w:val="0"/>
            <w:vAlign w:val="center"/>
          </w:tcPr>
          <w:p>
            <w:pPr>
              <w:pStyle w:val="120"/>
              <w:bidi w:val="0"/>
              <w:rPr>
                <w:rFonts w:hint="default"/>
                <w:lang w:val="en-US" w:eastAsia="zh-CN"/>
              </w:rPr>
            </w:pPr>
            <w:r>
              <w:rPr>
                <w:rFonts w:hint="eastAsia"/>
                <w:lang w:val="en-US" w:eastAsia="zh-CN"/>
              </w:rPr>
              <w:t>250</w:t>
            </w:r>
          </w:p>
        </w:tc>
        <w:tc>
          <w:tcPr>
            <w:tcW w:w="306" w:type="pct"/>
            <w:noWrap w:val="0"/>
            <w:vAlign w:val="center"/>
          </w:tcPr>
          <w:p>
            <w:pPr>
              <w:pStyle w:val="120"/>
              <w:bidi w:val="0"/>
              <w:rPr>
                <w:rFonts w:hint="eastAsia"/>
                <w:lang w:eastAsia="zh-CN"/>
              </w:rPr>
            </w:pPr>
            <w:r>
              <w:rPr>
                <w:rFonts w:hint="eastAsia"/>
                <w:lang w:eastAsia="zh-CN"/>
              </w:rPr>
              <w:t>无</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120</w:t>
            </w:r>
            <w:r>
              <w:rPr>
                <w:rFonts w:hint="default"/>
              </w:rPr>
              <w:t>人</w:t>
            </w: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eastAsia"/>
                <w:lang w:eastAsia="zh-CN"/>
              </w:rPr>
            </w:pPr>
            <w:r>
              <w:rPr>
                <w:rFonts w:hint="eastAsia"/>
                <w:lang w:eastAsia="zh-CN"/>
              </w:rPr>
              <w:t>朱家寨</w:t>
            </w:r>
          </w:p>
        </w:tc>
        <w:tc>
          <w:tcPr>
            <w:tcW w:w="416" w:type="pct"/>
            <w:noWrap w:val="0"/>
            <w:vAlign w:val="center"/>
          </w:tcPr>
          <w:p>
            <w:pPr>
              <w:pStyle w:val="120"/>
              <w:bidi w:val="0"/>
              <w:rPr>
                <w:rFonts w:hint="default"/>
                <w:lang w:val="en-US" w:eastAsia="zh-CN"/>
              </w:rPr>
            </w:pPr>
            <w:r>
              <w:rPr>
                <w:rFonts w:hint="default"/>
              </w:rPr>
              <w:t>-</w:t>
            </w:r>
            <w:r>
              <w:rPr>
                <w:rFonts w:hint="eastAsia"/>
                <w:lang w:val="en-US" w:eastAsia="zh-CN"/>
              </w:rPr>
              <w:t>1760</w:t>
            </w:r>
          </w:p>
        </w:tc>
        <w:tc>
          <w:tcPr>
            <w:tcW w:w="416" w:type="pct"/>
            <w:noWrap w:val="0"/>
            <w:vAlign w:val="center"/>
          </w:tcPr>
          <w:p>
            <w:pPr>
              <w:pStyle w:val="120"/>
              <w:bidi w:val="0"/>
              <w:rPr>
                <w:rFonts w:hint="default"/>
                <w:lang w:val="en-US" w:eastAsia="zh-CN"/>
              </w:rPr>
            </w:pPr>
            <w:r>
              <w:rPr>
                <w:rFonts w:hint="eastAsia"/>
                <w:lang w:val="en-US" w:eastAsia="zh-CN"/>
              </w:rPr>
              <w:t>160</w:t>
            </w:r>
          </w:p>
        </w:tc>
        <w:tc>
          <w:tcPr>
            <w:tcW w:w="334" w:type="pct"/>
            <w:noWrap w:val="0"/>
            <w:vAlign w:val="center"/>
          </w:tcPr>
          <w:p>
            <w:pPr>
              <w:pStyle w:val="120"/>
              <w:bidi w:val="0"/>
              <w:rPr>
                <w:rFonts w:hint="default"/>
              </w:rPr>
            </w:pPr>
            <w:r>
              <w:rPr>
                <w:rFonts w:hint="default"/>
              </w:rPr>
              <w:t>W</w:t>
            </w:r>
          </w:p>
        </w:tc>
        <w:tc>
          <w:tcPr>
            <w:tcW w:w="480" w:type="pct"/>
            <w:noWrap w:val="0"/>
            <w:vAlign w:val="center"/>
          </w:tcPr>
          <w:p>
            <w:pPr>
              <w:pStyle w:val="120"/>
              <w:bidi w:val="0"/>
              <w:rPr>
                <w:rFonts w:hint="default"/>
                <w:lang w:val="en-US" w:eastAsia="zh-CN"/>
              </w:rPr>
            </w:pPr>
            <w:r>
              <w:rPr>
                <w:rFonts w:hint="eastAsia"/>
                <w:lang w:val="en-US" w:eastAsia="zh-CN"/>
              </w:rPr>
              <w:t>1760</w:t>
            </w:r>
          </w:p>
        </w:tc>
        <w:tc>
          <w:tcPr>
            <w:tcW w:w="306" w:type="pct"/>
            <w:noWrap w:val="0"/>
            <w:vAlign w:val="center"/>
          </w:tcPr>
          <w:p>
            <w:pPr>
              <w:pStyle w:val="120"/>
              <w:bidi w:val="0"/>
              <w:rPr>
                <w:rFonts w:hint="default"/>
              </w:rPr>
            </w:pPr>
            <w:r>
              <w:rPr>
                <w:rFonts w:hint="default"/>
              </w:rPr>
              <w:t>有</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70</w:t>
            </w:r>
            <w:r>
              <w:rPr>
                <w:rFonts w:hint="default"/>
              </w:rPr>
              <w:t>人</w:t>
            </w: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eastAsia"/>
                <w:lang w:eastAsia="zh-CN"/>
              </w:rPr>
            </w:pPr>
            <w:r>
              <w:rPr>
                <w:rFonts w:hint="eastAsia"/>
                <w:lang w:eastAsia="zh-CN"/>
              </w:rPr>
              <w:t>老寨</w:t>
            </w:r>
          </w:p>
        </w:tc>
        <w:tc>
          <w:tcPr>
            <w:tcW w:w="416" w:type="pct"/>
            <w:noWrap w:val="0"/>
            <w:vAlign w:val="center"/>
          </w:tcPr>
          <w:p>
            <w:pPr>
              <w:pStyle w:val="120"/>
              <w:bidi w:val="0"/>
              <w:rPr>
                <w:rFonts w:hint="default"/>
                <w:lang w:val="en-US" w:eastAsia="zh-CN"/>
              </w:rPr>
            </w:pPr>
            <w:r>
              <w:rPr>
                <w:rFonts w:hint="default"/>
              </w:rPr>
              <w:t>-</w:t>
            </w:r>
            <w:r>
              <w:rPr>
                <w:rFonts w:hint="eastAsia"/>
                <w:lang w:val="en-US" w:eastAsia="zh-CN"/>
              </w:rPr>
              <w:t>480</w:t>
            </w:r>
          </w:p>
        </w:tc>
        <w:tc>
          <w:tcPr>
            <w:tcW w:w="416" w:type="pct"/>
            <w:noWrap w:val="0"/>
            <w:vAlign w:val="center"/>
          </w:tcPr>
          <w:p>
            <w:pPr>
              <w:pStyle w:val="120"/>
              <w:bidi w:val="0"/>
              <w:rPr>
                <w:rFonts w:hint="default"/>
                <w:lang w:val="en-US" w:eastAsia="zh-CN"/>
              </w:rPr>
            </w:pPr>
            <w:r>
              <w:rPr>
                <w:rFonts w:hint="eastAsia"/>
                <w:lang w:val="en-US" w:eastAsia="zh-CN"/>
              </w:rPr>
              <w:t>450</w:t>
            </w:r>
          </w:p>
        </w:tc>
        <w:tc>
          <w:tcPr>
            <w:tcW w:w="334" w:type="pct"/>
            <w:noWrap w:val="0"/>
            <w:vAlign w:val="center"/>
          </w:tcPr>
          <w:p>
            <w:pPr>
              <w:pStyle w:val="120"/>
              <w:bidi w:val="0"/>
              <w:rPr>
                <w:rFonts w:hint="default"/>
              </w:rPr>
            </w:pPr>
            <w:r>
              <w:rPr>
                <w:rFonts w:hint="default"/>
              </w:rPr>
              <w:t>W</w:t>
            </w:r>
            <w:r>
              <w:rPr>
                <w:rFonts w:hint="eastAsia"/>
                <w:lang w:val="en-US" w:eastAsia="zh-CN"/>
              </w:rPr>
              <w:t>E</w:t>
            </w:r>
          </w:p>
        </w:tc>
        <w:tc>
          <w:tcPr>
            <w:tcW w:w="480" w:type="pct"/>
            <w:noWrap w:val="0"/>
            <w:vAlign w:val="center"/>
          </w:tcPr>
          <w:p>
            <w:pPr>
              <w:pStyle w:val="120"/>
              <w:bidi w:val="0"/>
              <w:rPr>
                <w:rFonts w:hint="default"/>
                <w:lang w:val="en-US" w:eastAsia="zh-CN"/>
              </w:rPr>
            </w:pPr>
            <w:r>
              <w:rPr>
                <w:rFonts w:hint="eastAsia"/>
                <w:lang w:val="en-US" w:eastAsia="zh-CN"/>
              </w:rPr>
              <w:t>630</w:t>
            </w:r>
          </w:p>
        </w:tc>
        <w:tc>
          <w:tcPr>
            <w:tcW w:w="306" w:type="pct"/>
            <w:noWrap w:val="0"/>
            <w:vAlign w:val="center"/>
          </w:tcPr>
          <w:p>
            <w:pPr>
              <w:pStyle w:val="120"/>
              <w:bidi w:val="0"/>
              <w:rPr>
                <w:rFonts w:hint="default"/>
              </w:rPr>
            </w:pPr>
            <w:r>
              <w:rPr>
                <w:rFonts w:hint="default"/>
              </w:rPr>
              <w:t>有</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50</w:t>
            </w:r>
            <w:r>
              <w:rPr>
                <w:rFonts w:hint="default"/>
              </w:rPr>
              <w:t>人</w:t>
            </w: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eastAsia"/>
                <w:lang w:eastAsia="zh-CN"/>
              </w:rPr>
            </w:pPr>
            <w:r>
              <w:rPr>
                <w:rFonts w:hint="eastAsia"/>
                <w:lang w:eastAsia="zh-CN"/>
              </w:rPr>
              <w:t>岔哪村</w:t>
            </w:r>
          </w:p>
        </w:tc>
        <w:tc>
          <w:tcPr>
            <w:tcW w:w="416" w:type="pct"/>
            <w:noWrap w:val="0"/>
            <w:vAlign w:val="center"/>
          </w:tcPr>
          <w:p>
            <w:pPr>
              <w:pStyle w:val="120"/>
              <w:bidi w:val="0"/>
              <w:rPr>
                <w:rFonts w:hint="default"/>
                <w:lang w:val="en-US" w:eastAsia="zh-CN"/>
              </w:rPr>
            </w:pPr>
            <w:r>
              <w:rPr>
                <w:rFonts w:hint="default"/>
              </w:rPr>
              <w:t>-</w:t>
            </w:r>
            <w:r>
              <w:rPr>
                <w:rFonts w:hint="eastAsia"/>
                <w:lang w:val="en-US" w:eastAsia="zh-CN"/>
              </w:rPr>
              <w:t>60</w:t>
            </w:r>
          </w:p>
        </w:tc>
        <w:tc>
          <w:tcPr>
            <w:tcW w:w="416" w:type="pct"/>
            <w:noWrap w:val="0"/>
            <w:vAlign w:val="center"/>
          </w:tcPr>
          <w:p>
            <w:pPr>
              <w:pStyle w:val="120"/>
              <w:bidi w:val="0"/>
              <w:rPr>
                <w:rFonts w:hint="default"/>
                <w:lang w:val="en-US" w:eastAsia="zh-CN"/>
              </w:rPr>
            </w:pPr>
            <w:r>
              <w:rPr>
                <w:rFonts w:hint="eastAsia"/>
                <w:lang w:val="en-US" w:eastAsia="zh-CN"/>
              </w:rPr>
              <w:t>500</w:t>
            </w:r>
          </w:p>
        </w:tc>
        <w:tc>
          <w:tcPr>
            <w:tcW w:w="334" w:type="pct"/>
            <w:noWrap w:val="0"/>
            <w:vAlign w:val="center"/>
          </w:tcPr>
          <w:p>
            <w:pPr>
              <w:pStyle w:val="120"/>
              <w:bidi w:val="0"/>
              <w:rPr>
                <w:rFonts w:hint="eastAsia"/>
                <w:lang w:val="en-US" w:eastAsia="zh-CN"/>
              </w:rPr>
            </w:pPr>
            <w:r>
              <w:rPr>
                <w:rFonts w:hint="eastAsia"/>
                <w:lang w:val="en-US" w:eastAsia="zh-CN"/>
              </w:rPr>
              <w:t>E</w:t>
            </w:r>
          </w:p>
        </w:tc>
        <w:tc>
          <w:tcPr>
            <w:tcW w:w="480" w:type="pct"/>
            <w:noWrap w:val="0"/>
            <w:vAlign w:val="center"/>
          </w:tcPr>
          <w:p>
            <w:pPr>
              <w:pStyle w:val="120"/>
              <w:bidi w:val="0"/>
              <w:rPr>
                <w:rFonts w:hint="default"/>
                <w:lang w:val="en-US" w:eastAsia="zh-CN"/>
              </w:rPr>
            </w:pPr>
            <w:r>
              <w:rPr>
                <w:rFonts w:hint="eastAsia"/>
                <w:lang w:val="en-US" w:eastAsia="zh-CN"/>
              </w:rPr>
              <w:t>490</w:t>
            </w:r>
          </w:p>
        </w:tc>
        <w:tc>
          <w:tcPr>
            <w:tcW w:w="306" w:type="pct"/>
            <w:noWrap w:val="0"/>
            <w:vAlign w:val="center"/>
          </w:tcPr>
          <w:p>
            <w:pPr>
              <w:pStyle w:val="120"/>
              <w:bidi w:val="0"/>
              <w:rPr>
                <w:rFonts w:hint="eastAsia"/>
                <w:lang w:eastAsia="zh-CN"/>
              </w:rPr>
            </w:pPr>
            <w:r>
              <w:rPr>
                <w:rFonts w:hint="eastAsia"/>
                <w:lang w:eastAsia="zh-CN"/>
              </w:rPr>
              <w:t>无</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300</w:t>
            </w:r>
            <w:r>
              <w:rPr>
                <w:rFonts w:hint="default"/>
              </w:rPr>
              <w:t>人</w:t>
            </w: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eastAsia"/>
                <w:lang w:eastAsia="zh-CN"/>
              </w:rPr>
            </w:pPr>
            <w:r>
              <w:rPr>
                <w:rFonts w:hint="eastAsia"/>
                <w:lang w:eastAsia="zh-CN"/>
              </w:rPr>
              <w:t>溪州新城</w:t>
            </w:r>
          </w:p>
        </w:tc>
        <w:tc>
          <w:tcPr>
            <w:tcW w:w="416" w:type="pct"/>
            <w:noWrap w:val="0"/>
            <w:vAlign w:val="center"/>
          </w:tcPr>
          <w:p>
            <w:pPr>
              <w:pStyle w:val="120"/>
              <w:bidi w:val="0"/>
              <w:rPr>
                <w:rFonts w:hint="default"/>
                <w:lang w:val="en-US" w:eastAsia="zh-CN"/>
              </w:rPr>
            </w:pPr>
            <w:r>
              <w:rPr>
                <w:rFonts w:hint="default"/>
              </w:rPr>
              <w:t>-</w:t>
            </w:r>
            <w:r>
              <w:rPr>
                <w:rFonts w:hint="eastAsia"/>
                <w:lang w:val="en-US" w:eastAsia="zh-CN"/>
              </w:rPr>
              <w:t>900</w:t>
            </w:r>
          </w:p>
        </w:tc>
        <w:tc>
          <w:tcPr>
            <w:tcW w:w="416" w:type="pct"/>
            <w:noWrap w:val="0"/>
            <w:vAlign w:val="center"/>
          </w:tcPr>
          <w:p>
            <w:pPr>
              <w:pStyle w:val="120"/>
              <w:bidi w:val="0"/>
              <w:rPr>
                <w:rFonts w:hint="default"/>
                <w:lang w:val="en-US" w:eastAsia="zh-CN"/>
              </w:rPr>
            </w:pPr>
            <w:r>
              <w:rPr>
                <w:rFonts w:hint="eastAsia"/>
                <w:lang w:val="en-US" w:eastAsia="zh-CN"/>
              </w:rPr>
              <w:t>1000</w:t>
            </w:r>
          </w:p>
        </w:tc>
        <w:tc>
          <w:tcPr>
            <w:tcW w:w="334" w:type="pct"/>
            <w:noWrap w:val="0"/>
            <w:vAlign w:val="center"/>
          </w:tcPr>
          <w:p>
            <w:pPr>
              <w:pStyle w:val="120"/>
              <w:bidi w:val="0"/>
              <w:rPr>
                <w:rFonts w:hint="eastAsia"/>
                <w:lang w:val="en-US" w:eastAsia="zh-CN"/>
              </w:rPr>
            </w:pPr>
            <w:r>
              <w:rPr>
                <w:rFonts w:hint="default"/>
              </w:rPr>
              <w:t>W</w:t>
            </w:r>
            <w:r>
              <w:rPr>
                <w:rFonts w:hint="eastAsia"/>
                <w:lang w:val="en-US" w:eastAsia="zh-CN"/>
              </w:rPr>
              <w:t>E</w:t>
            </w:r>
          </w:p>
        </w:tc>
        <w:tc>
          <w:tcPr>
            <w:tcW w:w="480" w:type="pct"/>
            <w:noWrap w:val="0"/>
            <w:vAlign w:val="center"/>
          </w:tcPr>
          <w:p>
            <w:pPr>
              <w:pStyle w:val="120"/>
              <w:bidi w:val="0"/>
              <w:rPr>
                <w:rFonts w:hint="default"/>
                <w:lang w:val="en-US" w:eastAsia="zh-CN"/>
              </w:rPr>
            </w:pPr>
            <w:r>
              <w:rPr>
                <w:rFonts w:hint="eastAsia"/>
                <w:lang w:val="en-US" w:eastAsia="zh-CN"/>
              </w:rPr>
              <w:t>1100</w:t>
            </w:r>
          </w:p>
        </w:tc>
        <w:tc>
          <w:tcPr>
            <w:tcW w:w="306" w:type="pct"/>
            <w:noWrap w:val="0"/>
            <w:vAlign w:val="center"/>
          </w:tcPr>
          <w:p>
            <w:pPr>
              <w:pStyle w:val="120"/>
              <w:bidi w:val="0"/>
              <w:rPr>
                <w:rFonts w:hint="eastAsia"/>
                <w:lang w:eastAsia="zh-CN"/>
              </w:rPr>
            </w:pPr>
            <w:r>
              <w:rPr>
                <w:rFonts w:hint="eastAsia"/>
                <w:lang w:eastAsia="zh-CN"/>
              </w:rPr>
              <w:t>无</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7210</w:t>
            </w:r>
            <w:r>
              <w:rPr>
                <w:rFonts w:hint="default"/>
              </w:rPr>
              <w:t>人</w:t>
            </w: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eastAsia"/>
                <w:lang w:eastAsia="zh-CN"/>
              </w:rPr>
            </w:pPr>
            <w:r>
              <w:rPr>
                <w:rFonts w:hint="eastAsia"/>
                <w:lang w:eastAsia="zh-CN"/>
              </w:rPr>
              <w:t>永顺县城区</w:t>
            </w:r>
          </w:p>
        </w:tc>
        <w:tc>
          <w:tcPr>
            <w:tcW w:w="416" w:type="pct"/>
            <w:noWrap w:val="0"/>
            <w:vAlign w:val="center"/>
          </w:tcPr>
          <w:p>
            <w:pPr>
              <w:pStyle w:val="120"/>
              <w:bidi w:val="0"/>
              <w:rPr>
                <w:rFonts w:hint="default"/>
                <w:lang w:val="en-US" w:eastAsia="zh-CN"/>
              </w:rPr>
            </w:pPr>
            <w:r>
              <w:rPr>
                <w:rFonts w:hint="default"/>
              </w:rPr>
              <w:t>-</w:t>
            </w:r>
            <w:r>
              <w:rPr>
                <w:rFonts w:hint="eastAsia"/>
                <w:lang w:val="en-US" w:eastAsia="zh-CN"/>
              </w:rPr>
              <w:t>960</w:t>
            </w:r>
          </w:p>
        </w:tc>
        <w:tc>
          <w:tcPr>
            <w:tcW w:w="416" w:type="pct"/>
            <w:noWrap w:val="0"/>
            <w:vAlign w:val="center"/>
          </w:tcPr>
          <w:p>
            <w:pPr>
              <w:pStyle w:val="120"/>
              <w:bidi w:val="0"/>
              <w:rPr>
                <w:rFonts w:hint="default"/>
                <w:lang w:val="en-US" w:eastAsia="zh-CN"/>
              </w:rPr>
            </w:pPr>
            <w:r>
              <w:rPr>
                <w:rFonts w:hint="eastAsia"/>
                <w:lang w:val="en-US" w:eastAsia="zh-CN"/>
              </w:rPr>
              <w:t>630</w:t>
            </w:r>
          </w:p>
        </w:tc>
        <w:tc>
          <w:tcPr>
            <w:tcW w:w="334" w:type="pct"/>
            <w:noWrap w:val="0"/>
            <w:vAlign w:val="center"/>
          </w:tcPr>
          <w:p>
            <w:pPr>
              <w:pStyle w:val="120"/>
              <w:bidi w:val="0"/>
              <w:rPr>
                <w:rFonts w:hint="default"/>
                <w:lang w:val="en-US" w:eastAsia="zh-CN"/>
              </w:rPr>
            </w:pPr>
            <w:r>
              <w:rPr>
                <w:rFonts w:hint="eastAsia"/>
                <w:lang w:val="en-US" w:eastAsia="zh-CN"/>
              </w:rPr>
              <w:t>EN</w:t>
            </w:r>
          </w:p>
        </w:tc>
        <w:tc>
          <w:tcPr>
            <w:tcW w:w="480" w:type="pct"/>
            <w:noWrap w:val="0"/>
            <w:vAlign w:val="center"/>
          </w:tcPr>
          <w:p>
            <w:pPr>
              <w:pStyle w:val="120"/>
              <w:bidi w:val="0"/>
              <w:rPr>
                <w:rFonts w:hint="default"/>
                <w:lang w:val="en-US" w:eastAsia="zh-CN"/>
              </w:rPr>
            </w:pPr>
            <w:r>
              <w:rPr>
                <w:rFonts w:hint="eastAsia"/>
                <w:lang w:val="en-US" w:eastAsia="zh-CN"/>
              </w:rPr>
              <w:t>1140</w:t>
            </w:r>
          </w:p>
        </w:tc>
        <w:tc>
          <w:tcPr>
            <w:tcW w:w="306" w:type="pct"/>
            <w:noWrap w:val="0"/>
            <w:vAlign w:val="center"/>
          </w:tcPr>
          <w:p>
            <w:pPr>
              <w:pStyle w:val="120"/>
              <w:bidi w:val="0"/>
              <w:rPr>
                <w:rFonts w:hint="eastAsia"/>
                <w:lang w:eastAsia="zh-CN"/>
              </w:rPr>
            </w:pPr>
            <w:r>
              <w:rPr>
                <w:rFonts w:hint="eastAsia"/>
                <w:lang w:eastAsia="zh-CN"/>
              </w:rPr>
              <w:t>无</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137210</w:t>
            </w:r>
            <w:r>
              <w:rPr>
                <w:rFonts w:hint="default"/>
              </w:rPr>
              <w:t>人</w:t>
            </w: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eastAsia"/>
                <w:lang w:eastAsia="zh-CN"/>
              </w:rPr>
            </w:pPr>
            <w:r>
              <w:rPr>
                <w:rFonts w:hint="eastAsia"/>
                <w:lang w:eastAsia="zh-CN"/>
              </w:rPr>
              <w:t>公租房</w:t>
            </w:r>
          </w:p>
        </w:tc>
        <w:tc>
          <w:tcPr>
            <w:tcW w:w="416" w:type="pct"/>
            <w:noWrap w:val="0"/>
            <w:vAlign w:val="center"/>
          </w:tcPr>
          <w:p>
            <w:pPr>
              <w:pStyle w:val="120"/>
              <w:bidi w:val="0"/>
              <w:rPr>
                <w:rFonts w:hint="default"/>
                <w:lang w:val="en-US" w:eastAsia="zh-CN"/>
              </w:rPr>
            </w:pPr>
            <w:r>
              <w:rPr>
                <w:rFonts w:hint="eastAsia"/>
                <w:lang w:val="en-US" w:eastAsia="zh-CN"/>
              </w:rPr>
              <w:t>-30</w:t>
            </w:r>
          </w:p>
        </w:tc>
        <w:tc>
          <w:tcPr>
            <w:tcW w:w="416" w:type="pct"/>
            <w:noWrap w:val="0"/>
            <w:vAlign w:val="center"/>
          </w:tcPr>
          <w:p>
            <w:pPr>
              <w:pStyle w:val="120"/>
              <w:bidi w:val="0"/>
              <w:rPr>
                <w:rFonts w:hint="default"/>
                <w:lang w:val="en-US" w:eastAsia="zh-CN"/>
              </w:rPr>
            </w:pPr>
            <w:r>
              <w:rPr>
                <w:rFonts w:hint="eastAsia"/>
                <w:lang w:val="en-US" w:eastAsia="zh-CN"/>
              </w:rPr>
              <w:t>40</w:t>
            </w:r>
          </w:p>
        </w:tc>
        <w:tc>
          <w:tcPr>
            <w:tcW w:w="334" w:type="pct"/>
            <w:noWrap w:val="0"/>
            <w:vAlign w:val="center"/>
          </w:tcPr>
          <w:p>
            <w:pPr>
              <w:pStyle w:val="120"/>
              <w:bidi w:val="0"/>
              <w:rPr>
                <w:rFonts w:hint="default"/>
                <w:lang w:val="en-US" w:eastAsia="zh-CN"/>
              </w:rPr>
            </w:pPr>
            <w:r>
              <w:rPr>
                <w:rFonts w:hint="eastAsia"/>
                <w:lang w:val="en-US" w:eastAsia="zh-CN"/>
              </w:rPr>
              <w:t>WN</w:t>
            </w:r>
          </w:p>
        </w:tc>
        <w:tc>
          <w:tcPr>
            <w:tcW w:w="480" w:type="pct"/>
            <w:noWrap w:val="0"/>
            <w:vAlign w:val="center"/>
          </w:tcPr>
          <w:p>
            <w:pPr>
              <w:pStyle w:val="120"/>
              <w:bidi w:val="0"/>
              <w:rPr>
                <w:rFonts w:hint="default"/>
                <w:lang w:val="en-US" w:eastAsia="zh-CN"/>
              </w:rPr>
            </w:pPr>
            <w:r>
              <w:rPr>
                <w:rFonts w:hint="eastAsia"/>
                <w:lang w:val="en-US" w:eastAsia="zh-CN"/>
              </w:rPr>
              <w:t>50</w:t>
            </w:r>
          </w:p>
        </w:tc>
        <w:tc>
          <w:tcPr>
            <w:tcW w:w="306" w:type="pct"/>
            <w:noWrap w:val="0"/>
            <w:vAlign w:val="center"/>
          </w:tcPr>
          <w:p>
            <w:pPr>
              <w:pStyle w:val="120"/>
              <w:bidi w:val="0"/>
              <w:rPr>
                <w:rFonts w:hint="eastAsia"/>
                <w:lang w:eastAsia="zh-CN"/>
              </w:rPr>
            </w:pPr>
            <w:r>
              <w:rPr>
                <w:rFonts w:hint="eastAsia"/>
                <w:lang w:eastAsia="zh-CN"/>
              </w:rPr>
              <w:t>无</w:t>
            </w:r>
          </w:p>
        </w:tc>
        <w:tc>
          <w:tcPr>
            <w:tcW w:w="371" w:type="pct"/>
            <w:noWrap w:val="0"/>
            <w:vAlign w:val="center"/>
          </w:tcPr>
          <w:p>
            <w:pPr>
              <w:pStyle w:val="120"/>
              <w:bidi w:val="0"/>
              <w:rPr>
                <w:rFonts w:hint="default"/>
              </w:rPr>
            </w:pPr>
            <w:r>
              <w:rPr>
                <w:rFonts w:hint="default"/>
              </w:rPr>
              <w:t>居住</w:t>
            </w:r>
          </w:p>
        </w:tc>
        <w:tc>
          <w:tcPr>
            <w:tcW w:w="736" w:type="pct"/>
            <w:noWrap w:val="0"/>
            <w:vAlign w:val="center"/>
          </w:tcPr>
          <w:p>
            <w:pPr>
              <w:pStyle w:val="120"/>
              <w:bidi w:val="0"/>
              <w:rPr>
                <w:rFonts w:hint="default"/>
              </w:rPr>
            </w:pPr>
            <w:r>
              <w:rPr>
                <w:rFonts w:hint="default"/>
              </w:rPr>
              <w:t>约</w:t>
            </w:r>
            <w:r>
              <w:rPr>
                <w:rFonts w:hint="eastAsia"/>
                <w:lang w:val="en-US" w:eastAsia="zh-CN"/>
              </w:rPr>
              <w:t>100</w:t>
            </w:r>
            <w:r>
              <w:rPr>
                <w:rFonts w:hint="default"/>
              </w:rPr>
              <w:t>人</w:t>
            </w: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noWrap w:val="0"/>
            <w:vAlign w:val="center"/>
          </w:tcPr>
          <w:p>
            <w:pPr>
              <w:pStyle w:val="120"/>
              <w:bidi w:val="0"/>
              <w:rPr>
                <w:rFonts w:hint="eastAsia"/>
                <w:u w:val="single"/>
                <w:lang w:eastAsia="zh-CN"/>
              </w:rPr>
            </w:pPr>
            <w:r>
              <w:rPr>
                <w:rFonts w:hint="eastAsia"/>
                <w:u w:val="single"/>
                <w:lang w:eastAsia="zh-CN"/>
              </w:rPr>
              <w:t>声环境</w:t>
            </w:r>
          </w:p>
        </w:tc>
        <w:tc>
          <w:tcPr>
            <w:tcW w:w="537" w:type="pct"/>
            <w:noWrap w:val="0"/>
            <w:vAlign w:val="center"/>
          </w:tcPr>
          <w:p>
            <w:pPr>
              <w:pStyle w:val="120"/>
              <w:bidi w:val="0"/>
              <w:rPr>
                <w:rFonts w:hint="eastAsia"/>
                <w:u w:val="single"/>
                <w:lang w:val="en-US" w:eastAsia="zh-CN"/>
              </w:rPr>
            </w:pPr>
            <w:r>
              <w:rPr>
                <w:rFonts w:hint="eastAsia"/>
                <w:u w:val="single"/>
                <w:lang w:eastAsia="zh-CN"/>
              </w:rPr>
              <w:t>公租房</w:t>
            </w:r>
          </w:p>
        </w:tc>
        <w:tc>
          <w:tcPr>
            <w:tcW w:w="416" w:type="pct"/>
            <w:noWrap w:val="0"/>
            <w:vAlign w:val="center"/>
          </w:tcPr>
          <w:p>
            <w:pPr>
              <w:pStyle w:val="120"/>
              <w:bidi w:val="0"/>
              <w:rPr>
                <w:rFonts w:hint="eastAsia"/>
                <w:u w:val="single"/>
                <w:lang w:val="en-US" w:eastAsia="zh-CN"/>
              </w:rPr>
            </w:pPr>
            <w:r>
              <w:rPr>
                <w:rFonts w:hint="eastAsia"/>
                <w:u w:val="single"/>
                <w:lang w:val="en-US" w:eastAsia="zh-CN"/>
              </w:rPr>
              <w:t>-30</w:t>
            </w:r>
          </w:p>
        </w:tc>
        <w:tc>
          <w:tcPr>
            <w:tcW w:w="416" w:type="pct"/>
            <w:noWrap w:val="0"/>
            <w:vAlign w:val="center"/>
          </w:tcPr>
          <w:p>
            <w:pPr>
              <w:pStyle w:val="120"/>
              <w:bidi w:val="0"/>
              <w:rPr>
                <w:rFonts w:hint="eastAsia"/>
                <w:u w:val="single"/>
                <w:lang w:val="en-US" w:eastAsia="zh-CN"/>
              </w:rPr>
            </w:pPr>
            <w:r>
              <w:rPr>
                <w:rFonts w:hint="eastAsia"/>
                <w:u w:val="single"/>
                <w:lang w:val="en-US" w:eastAsia="zh-CN"/>
              </w:rPr>
              <w:t>40</w:t>
            </w:r>
          </w:p>
        </w:tc>
        <w:tc>
          <w:tcPr>
            <w:tcW w:w="334" w:type="pct"/>
            <w:noWrap w:val="0"/>
            <w:vAlign w:val="center"/>
          </w:tcPr>
          <w:p>
            <w:pPr>
              <w:pStyle w:val="120"/>
              <w:bidi w:val="0"/>
              <w:rPr>
                <w:rFonts w:hint="eastAsia"/>
                <w:u w:val="single"/>
                <w:lang w:val="en-US" w:eastAsia="zh-CN"/>
              </w:rPr>
            </w:pPr>
            <w:r>
              <w:rPr>
                <w:rFonts w:hint="eastAsia"/>
                <w:u w:val="single"/>
                <w:lang w:val="en-US" w:eastAsia="zh-CN"/>
              </w:rPr>
              <w:t>WN</w:t>
            </w:r>
          </w:p>
        </w:tc>
        <w:tc>
          <w:tcPr>
            <w:tcW w:w="480" w:type="pct"/>
            <w:noWrap w:val="0"/>
            <w:vAlign w:val="center"/>
          </w:tcPr>
          <w:p>
            <w:pPr>
              <w:pStyle w:val="120"/>
              <w:bidi w:val="0"/>
              <w:rPr>
                <w:rFonts w:hint="eastAsia"/>
                <w:u w:val="single"/>
                <w:lang w:val="en-US" w:eastAsia="zh-CN"/>
              </w:rPr>
            </w:pPr>
            <w:r>
              <w:rPr>
                <w:rFonts w:hint="eastAsia"/>
                <w:u w:val="single"/>
                <w:lang w:val="en-US" w:eastAsia="zh-CN"/>
              </w:rPr>
              <w:t>50</w:t>
            </w:r>
          </w:p>
        </w:tc>
        <w:tc>
          <w:tcPr>
            <w:tcW w:w="306" w:type="pct"/>
            <w:noWrap w:val="0"/>
            <w:vAlign w:val="center"/>
          </w:tcPr>
          <w:p>
            <w:pPr>
              <w:pStyle w:val="120"/>
              <w:bidi w:val="0"/>
              <w:rPr>
                <w:rFonts w:hint="eastAsia"/>
                <w:u w:val="single"/>
                <w:lang w:val="en-US" w:eastAsia="zh-CN"/>
              </w:rPr>
            </w:pPr>
            <w:r>
              <w:rPr>
                <w:rFonts w:hint="eastAsia"/>
                <w:u w:val="single"/>
                <w:lang w:eastAsia="zh-CN"/>
              </w:rPr>
              <w:t>无</w:t>
            </w:r>
          </w:p>
        </w:tc>
        <w:tc>
          <w:tcPr>
            <w:tcW w:w="371" w:type="pct"/>
            <w:noWrap w:val="0"/>
            <w:vAlign w:val="center"/>
          </w:tcPr>
          <w:p>
            <w:pPr>
              <w:pStyle w:val="120"/>
              <w:bidi w:val="0"/>
              <w:rPr>
                <w:rFonts w:hint="default"/>
                <w:u w:val="single"/>
                <w:lang w:val="en-US" w:eastAsia="zh-CN"/>
              </w:rPr>
            </w:pPr>
            <w:r>
              <w:rPr>
                <w:rFonts w:hint="default"/>
                <w:u w:val="single"/>
              </w:rPr>
              <w:t>居住</w:t>
            </w:r>
          </w:p>
        </w:tc>
        <w:tc>
          <w:tcPr>
            <w:tcW w:w="736" w:type="pct"/>
            <w:noWrap w:val="0"/>
            <w:vAlign w:val="center"/>
          </w:tcPr>
          <w:p>
            <w:pPr>
              <w:pStyle w:val="120"/>
              <w:bidi w:val="0"/>
              <w:rPr>
                <w:rFonts w:hint="default"/>
                <w:u w:val="single"/>
                <w:lang w:val="en-US" w:eastAsia="zh-CN"/>
              </w:rPr>
            </w:pPr>
            <w:r>
              <w:rPr>
                <w:rFonts w:hint="default"/>
                <w:u w:val="single"/>
              </w:rPr>
              <w:t>约</w:t>
            </w:r>
            <w:r>
              <w:rPr>
                <w:rFonts w:hint="eastAsia"/>
                <w:u w:val="single"/>
                <w:lang w:val="en-US" w:eastAsia="zh-CN"/>
              </w:rPr>
              <w:t>100</w:t>
            </w:r>
            <w:r>
              <w:rPr>
                <w:rFonts w:hint="default"/>
                <w:u w:val="single"/>
              </w:rPr>
              <w:t>人</w:t>
            </w:r>
          </w:p>
        </w:tc>
        <w:tc>
          <w:tcPr>
            <w:tcW w:w="1147" w:type="pct"/>
            <w:noWrap w:val="0"/>
            <w:vAlign w:val="center"/>
          </w:tcPr>
          <w:p>
            <w:pPr>
              <w:pStyle w:val="120"/>
              <w:bidi w:val="0"/>
              <w:rPr>
                <w:rFonts w:hint="default"/>
                <w:u w:val="single"/>
              </w:rPr>
            </w:pPr>
            <w:r>
              <w:rPr>
                <w:rFonts w:hint="eastAsia"/>
                <w:u w:val="single"/>
              </w:rPr>
              <w:t>《声环境质量标准》（GB3096-2008）的</w:t>
            </w:r>
            <w:r>
              <w:rPr>
                <w:rFonts w:hint="eastAsia"/>
                <w:u w:val="single"/>
                <w:lang w:val="en-US" w:eastAsia="zh-CN"/>
              </w:rPr>
              <w:t>2</w:t>
            </w:r>
            <w:r>
              <w:rPr>
                <w:rFonts w:hint="eastAsia"/>
                <w:u w:val="single"/>
              </w:rPr>
              <w:t>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noWrap w:val="0"/>
            <w:vAlign w:val="center"/>
          </w:tcPr>
          <w:p>
            <w:pPr>
              <w:pStyle w:val="120"/>
              <w:bidi w:val="0"/>
              <w:rPr>
                <w:rFonts w:hint="default"/>
              </w:rPr>
            </w:pPr>
            <w:r>
              <w:rPr>
                <w:rFonts w:hint="default"/>
              </w:rPr>
              <w:t>地表水环境</w:t>
            </w:r>
          </w:p>
        </w:tc>
        <w:tc>
          <w:tcPr>
            <w:tcW w:w="537" w:type="pct"/>
            <w:noWrap w:val="0"/>
            <w:vAlign w:val="center"/>
          </w:tcPr>
          <w:p>
            <w:pPr>
              <w:pStyle w:val="120"/>
              <w:bidi w:val="0"/>
              <w:rPr>
                <w:rFonts w:hint="default"/>
              </w:rPr>
            </w:pPr>
            <w:r>
              <w:rPr>
                <w:rFonts w:hint="eastAsia"/>
                <w:lang w:eastAsia="zh-CN"/>
              </w:rPr>
              <w:t>猛洞</w:t>
            </w:r>
            <w:r>
              <w:rPr>
                <w:rFonts w:hint="default"/>
              </w:rPr>
              <w:t>河</w:t>
            </w:r>
          </w:p>
        </w:tc>
        <w:tc>
          <w:tcPr>
            <w:tcW w:w="416" w:type="pct"/>
            <w:noWrap w:val="0"/>
            <w:vAlign w:val="center"/>
          </w:tcPr>
          <w:p>
            <w:pPr>
              <w:pStyle w:val="120"/>
              <w:bidi w:val="0"/>
              <w:rPr>
                <w:rFonts w:hint="default"/>
                <w:lang w:val="en-US" w:eastAsia="zh-CN"/>
              </w:rPr>
            </w:pPr>
            <w:r>
              <w:rPr>
                <w:rFonts w:hint="eastAsia"/>
                <w:lang w:val="en-US" w:eastAsia="zh-CN"/>
              </w:rPr>
              <w:t>410</w:t>
            </w:r>
          </w:p>
        </w:tc>
        <w:tc>
          <w:tcPr>
            <w:tcW w:w="416" w:type="pct"/>
            <w:noWrap w:val="0"/>
            <w:vAlign w:val="center"/>
          </w:tcPr>
          <w:p>
            <w:pPr>
              <w:pStyle w:val="120"/>
              <w:bidi w:val="0"/>
              <w:rPr>
                <w:rFonts w:hint="default"/>
                <w:lang w:val="en-US" w:eastAsia="zh-CN"/>
              </w:rPr>
            </w:pPr>
            <w:r>
              <w:rPr>
                <w:rFonts w:hint="eastAsia"/>
                <w:lang w:val="en-US" w:eastAsia="zh-CN"/>
              </w:rPr>
              <w:t>410</w:t>
            </w:r>
          </w:p>
        </w:tc>
        <w:tc>
          <w:tcPr>
            <w:tcW w:w="334" w:type="pct"/>
            <w:noWrap w:val="0"/>
            <w:vAlign w:val="center"/>
          </w:tcPr>
          <w:p>
            <w:pPr>
              <w:pStyle w:val="120"/>
              <w:bidi w:val="0"/>
              <w:rPr>
                <w:rFonts w:hint="default"/>
              </w:rPr>
            </w:pPr>
            <w:r>
              <w:rPr>
                <w:rFonts w:hint="default"/>
              </w:rPr>
              <w:t>E</w:t>
            </w:r>
          </w:p>
        </w:tc>
        <w:tc>
          <w:tcPr>
            <w:tcW w:w="480" w:type="pct"/>
            <w:noWrap w:val="0"/>
            <w:vAlign w:val="center"/>
          </w:tcPr>
          <w:p>
            <w:pPr>
              <w:pStyle w:val="120"/>
              <w:bidi w:val="0"/>
              <w:rPr>
                <w:rFonts w:hint="default"/>
                <w:lang w:val="en-US" w:eastAsia="zh-CN"/>
              </w:rPr>
            </w:pPr>
            <w:r>
              <w:rPr>
                <w:rFonts w:hint="eastAsia"/>
                <w:lang w:val="en-US" w:eastAsia="zh-CN"/>
              </w:rPr>
              <w:t>450</w:t>
            </w:r>
          </w:p>
        </w:tc>
        <w:tc>
          <w:tcPr>
            <w:tcW w:w="306" w:type="pct"/>
            <w:noWrap w:val="0"/>
            <w:vAlign w:val="center"/>
          </w:tcPr>
          <w:p>
            <w:pPr>
              <w:pStyle w:val="120"/>
              <w:bidi w:val="0"/>
              <w:rPr>
                <w:rFonts w:hint="default"/>
              </w:rPr>
            </w:pPr>
            <w:r>
              <w:rPr>
                <w:rFonts w:hint="default"/>
              </w:rPr>
              <w:t>有</w:t>
            </w:r>
          </w:p>
        </w:tc>
        <w:tc>
          <w:tcPr>
            <w:tcW w:w="371" w:type="pct"/>
            <w:noWrap w:val="0"/>
            <w:vAlign w:val="center"/>
          </w:tcPr>
          <w:p>
            <w:pPr>
              <w:pStyle w:val="120"/>
              <w:bidi w:val="0"/>
              <w:rPr>
                <w:rFonts w:hint="default"/>
              </w:rPr>
            </w:pPr>
            <w:r>
              <w:rPr>
                <w:rFonts w:hint="default"/>
              </w:rPr>
              <w:t>Ⅲ类水体</w:t>
            </w:r>
          </w:p>
        </w:tc>
        <w:tc>
          <w:tcPr>
            <w:tcW w:w="736" w:type="pct"/>
            <w:noWrap w:val="0"/>
            <w:vAlign w:val="center"/>
          </w:tcPr>
          <w:p>
            <w:pPr>
              <w:pStyle w:val="120"/>
              <w:bidi w:val="0"/>
              <w:rPr>
                <w:rFonts w:hint="eastAsia"/>
                <w:lang w:eastAsia="zh-CN"/>
              </w:rPr>
            </w:pPr>
            <w:r>
              <w:rPr>
                <w:rFonts w:hint="eastAsia"/>
                <w:lang w:eastAsia="zh-CN"/>
              </w:rPr>
              <w:t>河流</w:t>
            </w:r>
          </w:p>
        </w:tc>
        <w:tc>
          <w:tcPr>
            <w:tcW w:w="1147" w:type="pct"/>
            <w:noWrap w:val="0"/>
            <w:vAlign w:val="center"/>
          </w:tcPr>
          <w:p>
            <w:pPr>
              <w:pStyle w:val="120"/>
              <w:bidi w:val="0"/>
              <w:rPr>
                <w:rFonts w:hint="default"/>
              </w:rPr>
            </w:pPr>
            <w:r>
              <w:rPr>
                <w:rFonts w:hint="default"/>
              </w:rPr>
              <w:t>《地表水环境质量标准》（GB3838-2002）Ⅲ类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restart"/>
            <w:noWrap w:val="0"/>
            <w:vAlign w:val="center"/>
          </w:tcPr>
          <w:p>
            <w:pPr>
              <w:pStyle w:val="120"/>
              <w:bidi w:val="0"/>
              <w:rPr>
                <w:rFonts w:hint="eastAsia"/>
                <w:lang w:eastAsia="zh-CN"/>
              </w:rPr>
            </w:pPr>
            <w:r>
              <w:rPr>
                <w:rFonts w:hint="eastAsia"/>
                <w:lang w:eastAsia="zh-CN"/>
              </w:rPr>
              <w:t>地下水环境</w:t>
            </w:r>
          </w:p>
        </w:tc>
        <w:tc>
          <w:tcPr>
            <w:tcW w:w="537" w:type="pct"/>
            <w:noWrap w:val="0"/>
            <w:vAlign w:val="center"/>
          </w:tcPr>
          <w:p>
            <w:pPr>
              <w:pStyle w:val="120"/>
              <w:bidi w:val="0"/>
              <w:rPr>
                <w:rFonts w:hint="default"/>
                <w:lang w:val="en-US"/>
              </w:rPr>
            </w:pPr>
            <w:r>
              <w:rPr>
                <w:rFonts w:hint="default"/>
                <w:lang w:val="en-US" w:eastAsia="zh-CN"/>
              </w:rPr>
              <w:t>岔那村地下水井</w:t>
            </w:r>
            <w:r>
              <w:rPr>
                <w:rFonts w:hint="eastAsia"/>
                <w:lang w:val="en-US" w:eastAsia="zh-CN"/>
              </w:rPr>
              <w:t>1</w:t>
            </w:r>
          </w:p>
        </w:tc>
        <w:tc>
          <w:tcPr>
            <w:tcW w:w="416" w:type="pct"/>
            <w:noWrap w:val="0"/>
            <w:vAlign w:val="center"/>
          </w:tcPr>
          <w:p>
            <w:pPr>
              <w:pStyle w:val="120"/>
              <w:bidi w:val="0"/>
              <w:rPr>
                <w:rFonts w:hint="default"/>
              </w:rPr>
            </w:pPr>
            <w:r>
              <w:rPr>
                <w:rFonts w:hint="default"/>
                <w:lang w:val="en-US" w:eastAsia="zh-CN"/>
              </w:rPr>
              <w:t>-435</w:t>
            </w:r>
          </w:p>
        </w:tc>
        <w:tc>
          <w:tcPr>
            <w:tcW w:w="416" w:type="pct"/>
            <w:noWrap w:val="0"/>
            <w:vAlign w:val="center"/>
          </w:tcPr>
          <w:p>
            <w:pPr>
              <w:pStyle w:val="120"/>
              <w:bidi w:val="0"/>
              <w:rPr>
                <w:rFonts w:hint="default"/>
              </w:rPr>
            </w:pPr>
            <w:r>
              <w:rPr>
                <w:rFonts w:hint="default"/>
                <w:lang w:val="en-US" w:eastAsia="zh-CN"/>
              </w:rPr>
              <w:t>651</w:t>
            </w:r>
          </w:p>
        </w:tc>
        <w:tc>
          <w:tcPr>
            <w:tcW w:w="334" w:type="pct"/>
            <w:noWrap w:val="0"/>
            <w:vAlign w:val="center"/>
          </w:tcPr>
          <w:p>
            <w:pPr>
              <w:pStyle w:val="120"/>
              <w:bidi w:val="0"/>
              <w:rPr>
                <w:rFonts w:hint="default"/>
                <w:lang w:val="en-US"/>
              </w:rPr>
            </w:pPr>
            <w:r>
              <w:rPr>
                <w:rFonts w:hint="eastAsia"/>
                <w:lang w:val="en-US" w:eastAsia="zh-CN"/>
              </w:rPr>
              <w:t>WN</w:t>
            </w:r>
          </w:p>
        </w:tc>
        <w:tc>
          <w:tcPr>
            <w:tcW w:w="480" w:type="pct"/>
            <w:noWrap w:val="0"/>
            <w:vAlign w:val="center"/>
          </w:tcPr>
          <w:p>
            <w:pPr>
              <w:pStyle w:val="120"/>
              <w:bidi w:val="0"/>
              <w:rPr>
                <w:rFonts w:hint="default"/>
              </w:rPr>
            </w:pPr>
            <w:r>
              <w:rPr>
                <w:rFonts w:hint="default"/>
                <w:lang w:val="en-US" w:eastAsia="zh-CN"/>
              </w:rPr>
              <w:t>570</w:t>
            </w:r>
          </w:p>
        </w:tc>
        <w:tc>
          <w:tcPr>
            <w:tcW w:w="306" w:type="pct"/>
            <w:noWrap w:val="0"/>
            <w:vAlign w:val="center"/>
          </w:tcPr>
          <w:p>
            <w:pPr>
              <w:pStyle w:val="120"/>
              <w:bidi w:val="0"/>
              <w:rPr>
                <w:rFonts w:hint="default"/>
              </w:rPr>
            </w:pPr>
            <w:r>
              <w:rPr>
                <w:rFonts w:hint="default"/>
                <w:lang w:val="en-US" w:eastAsia="zh-CN"/>
              </w:rPr>
              <w:t>有</w:t>
            </w:r>
          </w:p>
        </w:tc>
        <w:tc>
          <w:tcPr>
            <w:tcW w:w="371" w:type="pct"/>
            <w:noWrap w:val="0"/>
            <w:vAlign w:val="center"/>
          </w:tcPr>
          <w:p>
            <w:pPr>
              <w:pStyle w:val="120"/>
              <w:bidi w:val="0"/>
              <w:rPr>
                <w:rFonts w:hint="default"/>
              </w:rPr>
            </w:pPr>
            <w:r>
              <w:rPr>
                <w:rFonts w:hint="default"/>
              </w:rPr>
              <w:t>Ⅲ类</w:t>
            </w:r>
          </w:p>
        </w:tc>
        <w:tc>
          <w:tcPr>
            <w:tcW w:w="736" w:type="pct"/>
            <w:vMerge w:val="restart"/>
            <w:noWrap w:val="0"/>
            <w:vAlign w:val="center"/>
          </w:tcPr>
          <w:p>
            <w:pPr>
              <w:pStyle w:val="120"/>
              <w:bidi w:val="0"/>
              <w:rPr>
                <w:rFonts w:hint="eastAsia"/>
                <w:lang w:val="en-US" w:eastAsia="zh-CN"/>
              </w:rPr>
            </w:pPr>
            <w:r>
              <w:rPr>
                <w:rFonts w:hint="eastAsia"/>
                <w:lang w:val="en-US" w:eastAsia="zh-CN"/>
              </w:rPr>
              <w:t>生活用水，不作为饮用水源</w:t>
            </w:r>
          </w:p>
        </w:tc>
        <w:tc>
          <w:tcPr>
            <w:tcW w:w="1147" w:type="pct"/>
            <w:vMerge w:val="restart"/>
            <w:noWrap w:val="0"/>
            <w:vAlign w:val="center"/>
          </w:tcPr>
          <w:p>
            <w:pPr>
              <w:pStyle w:val="120"/>
              <w:bidi w:val="0"/>
              <w:rPr>
                <w:rFonts w:hint="default"/>
              </w:rPr>
            </w:pPr>
            <w:r>
              <w:rPr>
                <w:rFonts w:hint="default"/>
              </w:rPr>
              <w:t>《地下水质量标准》（GB14848-2017）Ⅲ类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default"/>
              </w:rPr>
            </w:pPr>
            <w:r>
              <w:rPr>
                <w:rFonts w:hint="default"/>
                <w:lang w:val="en-US" w:eastAsia="zh-CN"/>
              </w:rPr>
              <w:t>岔包地下水井</w:t>
            </w:r>
          </w:p>
        </w:tc>
        <w:tc>
          <w:tcPr>
            <w:tcW w:w="416" w:type="pct"/>
            <w:noWrap w:val="0"/>
            <w:vAlign w:val="center"/>
          </w:tcPr>
          <w:p>
            <w:pPr>
              <w:pStyle w:val="120"/>
              <w:bidi w:val="0"/>
              <w:rPr>
                <w:rFonts w:hint="default"/>
              </w:rPr>
            </w:pPr>
            <w:r>
              <w:rPr>
                <w:rFonts w:hint="default"/>
                <w:lang w:val="en-US" w:eastAsia="zh-CN"/>
              </w:rPr>
              <w:t>-190</w:t>
            </w:r>
          </w:p>
        </w:tc>
        <w:tc>
          <w:tcPr>
            <w:tcW w:w="416" w:type="pct"/>
            <w:noWrap w:val="0"/>
            <w:vAlign w:val="center"/>
          </w:tcPr>
          <w:p>
            <w:pPr>
              <w:pStyle w:val="120"/>
              <w:bidi w:val="0"/>
              <w:rPr>
                <w:rFonts w:hint="default"/>
              </w:rPr>
            </w:pPr>
            <w:r>
              <w:rPr>
                <w:rFonts w:hint="default"/>
                <w:lang w:val="en-US" w:eastAsia="zh-CN"/>
              </w:rPr>
              <w:t>-204</w:t>
            </w:r>
          </w:p>
        </w:tc>
        <w:tc>
          <w:tcPr>
            <w:tcW w:w="334" w:type="pct"/>
            <w:noWrap w:val="0"/>
            <w:vAlign w:val="center"/>
          </w:tcPr>
          <w:p>
            <w:pPr>
              <w:pStyle w:val="120"/>
              <w:bidi w:val="0"/>
              <w:rPr>
                <w:rFonts w:hint="default"/>
                <w:lang w:val="en-US"/>
              </w:rPr>
            </w:pPr>
            <w:r>
              <w:rPr>
                <w:rFonts w:hint="eastAsia"/>
                <w:lang w:val="en-US" w:eastAsia="zh-CN"/>
              </w:rPr>
              <w:t>WS</w:t>
            </w:r>
          </w:p>
        </w:tc>
        <w:tc>
          <w:tcPr>
            <w:tcW w:w="480" w:type="pct"/>
            <w:noWrap w:val="0"/>
            <w:vAlign w:val="center"/>
          </w:tcPr>
          <w:p>
            <w:pPr>
              <w:pStyle w:val="120"/>
              <w:bidi w:val="0"/>
              <w:rPr>
                <w:rFonts w:hint="default"/>
              </w:rPr>
            </w:pPr>
            <w:r>
              <w:rPr>
                <w:rFonts w:hint="default"/>
                <w:lang w:val="en-US" w:eastAsia="zh-CN"/>
              </w:rPr>
              <w:t>260</w:t>
            </w:r>
          </w:p>
        </w:tc>
        <w:tc>
          <w:tcPr>
            <w:tcW w:w="306" w:type="pct"/>
            <w:noWrap w:val="0"/>
            <w:vAlign w:val="center"/>
          </w:tcPr>
          <w:p>
            <w:pPr>
              <w:pStyle w:val="120"/>
              <w:bidi w:val="0"/>
              <w:rPr>
                <w:rFonts w:hint="default"/>
              </w:rPr>
            </w:pPr>
            <w:r>
              <w:rPr>
                <w:rFonts w:hint="default"/>
                <w:lang w:val="en-US" w:eastAsia="zh-CN"/>
              </w:rPr>
              <w:t>无</w:t>
            </w:r>
          </w:p>
        </w:tc>
        <w:tc>
          <w:tcPr>
            <w:tcW w:w="371" w:type="pct"/>
            <w:noWrap w:val="0"/>
            <w:vAlign w:val="center"/>
          </w:tcPr>
          <w:p>
            <w:pPr>
              <w:pStyle w:val="120"/>
              <w:bidi w:val="0"/>
              <w:rPr>
                <w:rFonts w:hint="default"/>
              </w:rPr>
            </w:pPr>
            <w:r>
              <w:rPr>
                <w:rFonts w:hint="default"/>
              </w:rPr>
              <w:t>Ⅲ类</w:t>
            </w:r>
          </w:p>
        </w:tc>
        <w:tc>
          <w:tcPr>
            <w:tcW w:w="736" w:type="pct"/>
            <w:vMerge w:val="continue"/>
            <w:noWrap w:val="0"/>
            <w:vAlign w:val="center"/>
          </w:tcPr>
          <w:p>
            <w:pPr>
              <w:pStyle w:val="120"/>
              <w:bidi w:val="0"/>
              <w:rPr>
                <w:rFonts w:hint="eastAsia"/>
                <w:lang w:val="en-US" w:eastAsia="zh-CN"/>
              </w:rPr>
            </w:pP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default"/>
              </w:rPr>
            </w:pPr>
            <w:r>
              <w:rPr>
                <w:rFonts w:hint="default"/>
                <w:lang w:val="en-US" w:eastAsia="zh-CN"/>
              </w:rPr>
              <w:t>石堤湖地下水井</w:t>
            </w:r>
          </w:p>
        </w:tc>
        <w:tc>
          <w:tcPr>
            <w:tcW w:w="416" w:type="pct"/>
            <w:noWrap w:val="0"/>
            <w:vAlign w:val="center"/>
          </w:tcPr>
          <w:p>
            <w:pPr>
              <w:pStyle w:val="120"/>
              <w:bidi w:val="0"/>
              <w:rPr>
                <w:rFonts w:hint="default"/>
              </w:rPr>
            </w:pPr>
            <w:r>
              <w:rPr>
                <w:rFonts w:hint="default"/>
                <w:lang w:val="en-US" w:eastAsia="zh-CN"/>
              </w:rPr>
              <w:t>-568</w:t>
            </w:r>
          </w:p>
        </w:tc>
        <w:tc>
          <w:tcPr>
            <w:tcW w:w="416" w:type="pct"/>
            <w:noWrap w:val="0"/>
            <w:vAlign w:val="center"/>
          </w:tcPr>
          <w:p>
            <w:pPr>
              <w:pStyle w:val="120"/>
              <w:bidi w:val="0"/>
              <w:rPr>
                <w:rFonts w:hint="default"/>
              </w:rPr>
            </w:pPr>
            <w:r>
              <w:rPr>
                <w:rFonts w:hint="default"/>
                <w:lang w:val="en-US" w:eastAsia="zh-CN"/>
              </w:rPr>
              <w:t>-196</w:t>
            </w:r>
          </w:p>
        </w:tc>
        <w:tc>
          <w:tcPr>
            <w:tcW w:w="334" w:type="pct"/>
            <w:noWrap w:val="0"/>
            <w:vAlign w:val="center"/>
          </w:tcPr>
          <w:p>
            <w:pPr>
              <w:pStyle w:val="120"/>
              <w:bidi w:val="0"/>
              <w:rPr>
                <w:rFonts w:hint="default"/>
                <w:lang w:val="en-US"/>
              </w:rPr>
            </w:pPr>
            <w:r>
              <w:rPr>
                <w:rFonts w:hint="eastAsia"/>
                <w:lang w:val="en-US" w:eastAsia="zh-CN"/>
              </w:rPr>
              <w:t>WS</w:t>
            </w:r>
          </w:p>
        </w:tc>
        <w:tc>
          <w:tcPr>
            <w:tcW w:w="480" w:type="pct"/>
            <w:noWrap w:val="0"/>
            <w:vAlign w:val="center"/>
          </w:tcPr>
          <w:p>
            <w:pPr>
              <w:pStyle w:val="120"/>
              <w:bidi w:val="0"/>
              <w:rPr>
                <w:rFonts w:hint="default"/>
              </w:rPr>
            </w:pPr>
            <w:r>
              <w:rPr>
                <w:rFonts w:hint="default"/>
                <w:lang w:val="en-US" w:eastAsia="zh-CN"/>
              </w:rPr>
              <w:t>600</w:t>
            </w:r>
          </w:p>
        </w:tc>
        <w:tc>
          <w:tcPr>
            <w:tcW w:w="306" w:type="pct"/>
            <w:noWrap w:val="0"/>
            <w:vAlign w:val="center"/>
          </w:tcPr>
          <w:p>
            <w:pPr>
              <w:pStyle w:val="120"/>
              <w:bidi w:val="0"/>
              <w:rPr>
                <w:rFonts w:hint="default"/>
              </w:rPr>
            </w:pPr>
            <w:r>
              <w:rPr>
                <w:rFonts w:hint="default"/>
                <w:lang w:val="en-US" w:eastAsia="zh-CN"/>
              </w:rPr>
              <w:t>有</w:t>
            </w:r>
          </w:p>
        </w:tc>
        <w:tc>
          <w:tcPr>
            <w:tcW w:w="371" w:type="pct"/>
            <w:noWrap w:val="0"/>
            <w:vAlign w:val="center"/>
          </w:tcPr>
          <w:p>
            <w:pPr>
              <w:pStyle w:val="120"/>
              <w:bidi w:val="0"/>
              <w:rPr>
                <w:rFonts w:hint="default"/>
              </w:rPr>
            </w:pPr>
            <w:r>
              <w:rPr>
                <w:rFonts w:hint="default"/>
              </w:rPr>
              <w:t>Ⅲ类</w:t>
            </w:r>
          </w:p>
        </w:tc>
        <w:tc>
          <w:tcPr>
            <w:tcW w:w="736" w:type="pct"/>
            <w:vMerge w:val="continue"/>
            <w:noWrap w:val="0"/>
            <w:vAlign w:val="center"/>
          </w:tcPr>
          <w:p>
            <w:pPr>
              <w:pStyle w:val="120"/>
              <w:bidi w:val="0"/>
              <w:rPr>
                <w:rFonts w:hint="eastAsia"/>
                <w:lang w:val="en-US" w:eastAsia="zh-CN"/>
              </w:rPr>
            </w:pP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default"/>
              </w:rPr>
            </w:pPr>
            <w:r>
              <w:rPr>
                <w:rFonts w:hint="default"/>
                <w:lang w:val="en-US" w:eastAsia="zh-CN"/>
              </w:rPr>
              <w:t>老寨地下水井</w:t>
            </w:r>
          </w:p>
        </w:tc>
        <w:tc>
          <w:tcPr>
            <w:tcW w:w="416" w:type="pct"/>
            <w:noWrap w:val="0"/>
            <w:vAlign w:val="center"/>
          </w:tcPr>
          <w:p>
            <w:pPr>
              <w:pStyle w:val="120"/>
              <w:bidi w:val="0"/>
              <w:rPr>
                <w:rFonts w:hint="default"/>
              </w:rPr>
            </w:pPr>
            <w:r>
              <w:rPr>
                <w:rFonts w:hint="default"/>
                <w:lang w:val="en-US" w:eastAsia="zh-CN"/>
              </w:rPr>
              <w:t>-956</w:t>
            </w:r>
          </w:p>
        </w:tc>
        <w:tc>
          <w:tcPr>
            <w:tcW w:w="416" w:type="pct"/>
            <w:noWrap w:val="0"/>
            <w:vAlign w:val="center"/>
          </w:tcPr>
          <w:p>
            <w:pPr>
              <w:pStyle w:val="120"/>
              <w:bidi w:val="0"/>
              <w:rPr>
                <w:rFonts w:hint="default"/>
              </w:rPr>
            </w:pPr>
            <w:r>
              <w:rPr>
                <w:rFonts w:hint="default"/>
                <w:lang w:val="en-US" w:eastAsia="zh-CN"/>
              </w:rPr>
              <w:t>654</w:t>
            </w:r>
          </w:p>
        </w:tc>
        <w:tc>
          <w:tcPr>
            <w:tcW w:w="334" w:type="pct"/>
            <w:noWrap w:val="0"/>
            <w:vAlign w:val="center"/>
          </w:tcPr>
          <w:p>
            <w:pPr>
              <w:pStyle w:val="120"/>
              <w:bidi w:val="0"/>
              <w:rPr>
                <w:rFonts w:hint="default"/>
                <w:lang w:val="en-US"/>
              </w:rPr>
            </w:pPr>
            <w:r>
              <w:rPr>
                <w:rFonts w:hint="eastAsia"/>
                <w:lang w:val="en-US" w:eastAsia="zh-CN"/>
              </w:rPr>
              <w:t>WN</w:t>
            </w:r>
          </w:p>
        </w:tc>
        <w:tc>
          <w:tcPr>
            <w:tcW w:w="480" w:type="pct"/>
            <w:noWrap w:val="0"/>
            <w:vAlign w:val="center"/>
          </w:tcPr>
          <w:p>
            <w:pPr>
              <w:pStyle w:val="120"/>
              <w:bidi w:val="0"/>
              <w:rPr>
                <w:rFonts w:hint="default"/>
              </w:rPr>
            </w:pPr>
            <w:r>
              <w:rPr>
                <w:rFonts w:hint="default"/>
                <w:lang w:val="en-US" w:eastAsia="zh-CN"/>
              </w:rPr>
              <w:t>1077</w:t>
            </w:r>
          </w:p>
        </w:tc>
        <w:tc>
          <w:tcPr>
            <w:tcW w:w="306" w:type="pct"/>
            <w:noWrap w:val="0"/>
            <w:vAlign w:val="center"/>
          </w:tcPr>
          <w:p>
            <w:pPr>
              <w:pStyle w:val="120"/>
              <w:bidi w:val="0"/>
              <w:rPr>
                <w:rFonts w:hint="default"/>
              </w:rPr>
            </w:pPr>
            <w:r>
              <w:rPr>
                <w:rFonts w:hint="default"/>
                <w:lang w:val="en-US" w:eastAsia="zh-CN"/>
              </w:rPr>
              <w:t>有</w:t>
            </w:r>
          </w:p>
        </w:tc>
        <w:tc>
          <w:tcPr>
            <w:tcW w:w="371" w:type="pct"/>
            <w:noWrap w:val="0"/>
            <w:vAlign w:val="center"/>
          </w:tcPr>
          <w:p>
            <w:pPr>
              <w:pStyle w:val="120"/>
              <w:bidi w:val="0"/>
              <w:rPr>
                <w:rFonts w:hint="default"/>
              </w:rPr>
            </w:pPr>
            <w:r>
              <w:rPr>
                <w:rFonts w:hint="default"/>
              </w:rPr>
              <w:t>Ⅲ类</w:t>
            </w:r>
          </w:p>
        </w:tc>
        <w:tc>
          <w:tcPr>
            <w:tcW w:w="736" w:type="pct"/>
            <w:vMerge w:val="continue"/>
            <w:noWrap w:val="0"/>
            <w:vAlign w:val="center"/>
          </w:tcPr>
          <w:p>
            <w:pPr>
              <w:pStyle w:val="120"/>
              <w:bidi w:val="0"/>
              <w:rPr>
                <w:rFonts w:hint="eastAsia"/>
                <w:lang w:val="en-US" w:eastAsia="zh-CN"/>
              </w:rPr>
            </w:pP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default"/>
              </w:rPr>
            </w:pPr>
            <w:r>
              <w:rPr>
                <w:rFonts w:hint="default"/>
                <w:lang w:val="en-US" w:eastAsia="zh-CN"/>
              </w:rPr>
              <w:t>园区地下水井</w:t>
            </w:r>
          </w:p>
        </w:tc>
        <w:tc>
          <w:tcPr>
            <w:tcW w:w="416" w:type="pct"/>
            <w:noWrap w:val="0"/>
            <w:vAlign w:val="center"/>
          </w:tcPr>
          <w:p>
            <w:pPr>
              <w:pStyle w:val="120"/>
              <w:bidi w:val="0"/>
              <w:rPr>
                <w:rFonts w:hint="default"/>
              </w:rPr>
            </w:pPr>
            <w:r>
              <w:rPr>
                <w:rFonts w:hint="default"/>
                <w:lang w:val="en-US" w:eastAsia="zh-CN"/>
              </w:rPr>
              <w:t>544</w:t>
            </w:r>
          </w:p>
        </w:tc>
        <w:tc>
          <w:tcPr>
            <w:tcW w:w="416" w:type="pct"/>
            <w:noWrap w:val="0"/>
            <w:vAlign w:val="center"/>
          </w:tcPr>
          <w:p>
            <w:pPr>
              <w:pStyle w:val="120"/>
              <w:bidi w:val="0"/>
              <w:rPr>
                <w:rFonts w:hint="default"/>
              </w:rPr>
            </w:pPr>
            <w:r>
              <w:rPr>
                <w:rFonts w:hint="default"/>
                <w:lang w:val="en-US" w:eastAsia="zh-CN"/>
              </w:rPr>
              <w:t>-292</w:t>
            </w:r>
          </w:p>
        </w:tc>
        <w:tc>
          <w:tcPr>
            <w:tcW w:w="334" w:type="pct"/>
            <w:noWrap w:val="0"/>
            <w:vAlign w:val="center"/>
          </w:tcPr>
          <w:p>
            <w:pPr>
              <w:pStyle w:val="120"/>
              <w:bidi w:val="0"/>
              <w:rPr>
                <w:rFonts w:hint="default"/>
                <w:lang w:val="en-US"/>
              </w:rPr>
            </w:pPr>
            <w:r>
              <w:rPr>
                <w:rFonts w:hint="eastAsia"/>
                <w:lang w:val="en-US" w:eastAsia="zh-CN"/>
              </w:rPr>
              <w:t>ES</w:t>
            </w:r>
          </w:p>
        </w:tc>
        <w:tc>
          <w:tcPr>
            <w:tcW w:w="480" w:type="pct"/>
            <w:noWrap w:val="0"/>
            <w:vAlign w:val="center"/>
          </w:tcPr>
          <w:p>
            <w:pPr>
              <w:pStyle w:val="120"/>
              <w:bidi w:val="0"/>
              <w:rPr>
                <w:rFonts w:hint="default"/>
              </w:rPr>
            </w:pPr>
            <w:r>
              <w:rPr>
                <w:rFonts w:hint="default"/>
                <w:lang w:val="en-US" w:eastAsia="zh-CN"/>
              </w:rPr>
              <w:t>500</w:t>
            </w:r>
          </w:p>
        </w:tc>
        <w:tc>
          <w:tcPr>
            <w:tcW w:w="306" w:type="pct"/>
            <w:noWrap w:val="0"/>
            <w:vAlign w:val="center"/>
          </w:tcPr>
          <w:p>
            <w:pPr>
              <w:pStyle w:val="120"/>
              <w:bidi w:val="0"/>
              <w:rPr>
                <w:rFonts w:hint="default"/>
              </w:rPr>
            </w:pPr>
            <w:r>
              <w:rPr>
                <w:rFonts w:hint="default"/>
                <w:lang w:val="en-US" w:eastAsia="zh-CN"/>
              </w:rPr>
              <w:t>有</w:t>
            </w:r>
          </w:p>
        </w:tc>
        <w:tc>
          <w:tcPr>
            <w:tcW w:w="371" w:type="pct"/>
            <w:noWrap w:val="0"/>
            <w:vAlign w:val="center"/>
          </w:tcPr>
          <w:p>
            <w:pPr>
              <w:pStyle w:val="120"/>
              <w:bidi w:val="0"/>
              <w:rPr>
                <w:rFonts w:hint="default"/>
              </w:rPr>
            </w:pPr>
            <w:r>
              <w:rPr>
                <w:rFonts w:hint="default"/>
              </w:rPr>
              <w:t>Ⅲ类</w:t>
            </w:r>
          </w:p>
        </w:tc>
        <w:tc>
          <w:tcPr>
            <w:tcW w:w="736" w:type="pct"/>
            <w:vMerge w:val="continue"/>
            <w:noWrap w:val="0"/>
            <w:vAlign w:val="center"/>
          </w:tcPr>
          <w:p>
            <w:pPr>
              <w:pStyle w:val="120"/>
              <w:bidi w:val="0"/>
              <w:rPr>
                <w:rFonts w:hint="eastAsia"/>
                <w:lang w:val="en-US" w:eastAsia="zh-CN"/>
              </w:rPr>
            </w:pP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default"/>
                <w:lang w:val="en-US" w:eastAsia="zh-CN"/>
              </w:rPr>
            </w:pPr>
            <w:r>
              <w:rPr>
                <w:rFonts w:hint="default"/>
                <w:lang w:val="en-US" w:eastAsia="zh-CN"/>
              </w:rPr>
              <w:t>岔那村地下水井</w:t>
            </w:r>
            <w:r>
              <w:rPr>
                <w:rFonts w:hint="eastAsia"/>
                <w:lang w:val="en-US" w:eastAsia="zh-CN"/>
              </w:rPr>
              <w:t>2</w:t>
            </w:r>
          </w:p>
        </w:tc>
        <w:tc>
          <w:tcPr>
            <w:tcW w:w="416" w:type="pct"/>
            <w:noWrap w:val="0"/>
            <w:vAlign w:val="center"/>
          </w:tcPr>
          <w:p>
            <w:pPr>
              <w:pStyle w:val="120"/>
              <w:bidi w:val="0"/>
              <w:rPr>
                <w:rFonts w:hint="default"/>
                <w:lang w:val="en-US" w:eastAsia="zh-CN"/>
              </w:rPr>
            </w:pPr>
            <w:r>
              <w:rPr>
                <w:rFonts w:hint="eastAsia"/>
                <w:lang w:val="en-US" w:eastAsia="zh-CN"/>
              </w:rPr>
              <w:t>100</w:t>
            </w:r>
          </w:p>
        </w:tc>
        <w:tc>
          <w:tcPr>
            <w:tcW w:w="416" w:type="pct"/>
            <w:noWrap w:val="0"/>
            <w:vAlign w:val="center"/>
          </w:tcPr>
          <w:p>
            <w:pPr>
              <w:pStyle w:val="120"/>
              <w:bidi w:val="0"/>
              <w:rPr>
                <w:rFonts w:hint="default"/>
                <w:lang w:val="en-US" w:eastAsia="zh-CN"/>
              </w:rPr>
            </w:pPr>
            <w:r>
              <w:rPr>
                <w:rFonts w:hint="eastAsia"/>
                <w:lang w:val="en-US" w:eastAsia="zh-CN"/>
              </w:rPr>
              <w:t>1070</w:t>
            </w:r>
          </w:p>
        </w:tc>
        <w:tc>
          <w:tcPr>
            <w:tcW w:w="334" w:type="pct"/>
            <w:noWrap w:val="0"/>
            <w:vAlign w:val="center"/>
          </w:tcPr>
          <w:p>
            <w:pPr>
              <w:pStyle w:val="120"/>
              <w:bidi w:val="0"/>
              <w:rPr>
                <w:rFonts w:hint="default"/>
                <w:lang w:val="en-US" w:eastAsia="zh-CN"/>
              </w:rPr>
            </w:pPr>
            <w:r>
              <w:rPr>
                <w:rFonts w:hint="eastAsia"/>
                <w:lang w:val="en-US" w:eastAsia="zh-CN"/>
              </w:rPr>
              <w:t>EN</w:t>
            </w:r>
          </w:p>
        </w:tc>
        <w:tc>
          <w:tcPr>
            <w:tcW w:w="480" w:type="pct"/>
            <w:noWrap w:val="0"/>
            <w:vAlign w:val="center"/>
          </w:tcPr>
          <w:p>
            <w:pPr>
              <w:pStyle w:val="120"/>
              <w:bidi w:val="0"/>
              <w:rPr>
                <w:rFonts w:hint="default"/>
                <w:lang w:val="en-US" w:eastAsia="zh-CN"/>
              </w:rPr>
            </w:pPr>
            <w:r>
              <w:rPr>
                <w:rFonts w:hint="eastAsia"/>
                <w:lang w:val="en-US" w:eastAsia="zh-CN"/>
              </w:rPr>
              <w:t>1060</w:t>
            </w:r>
          </w:p>
        </w:tc>
        <w:tc>
          <w:tcPr>
            <w:tcW w:w="306" w:type="pct"/>
            <w:noWrap w:val="0"/>
            <w:vAlign w:val="center"/>
          </w:tcPr>
          <w:p>
            <w:pPr>
              <w:pStyle w:val="120"/>
              <w:bidi w:val="0"/>
              <w:rPr>
                <w:rFonts w:hint="eastAsia"/>
                <w:lang w:eastAsia="zh-CN"/>
              </w:rPr>
            </w:pPr>
            <w:r>
              <w:rPr>
                <w:rFonts w:hint="eastAsia"/>
                <w:lang w:eastAsia="zh-CN"/>
              </w:rPr>
              <w:t>无</w:t>
            </w:r>
          </w:p>
        </w:tc>
        <w:tc>
          <w:tcPr>
            <w:tcW w:w="371" w:type="pct"/>
            <w:noWrap w:val="0"/>
            <w:vAlign w:val="center"/>
          </w:tcPr>
          <w:p>
            <w:pPr>
              <w:pStyle w:val="120"/>
              <w:bidi w:val="0"/>
              <w:rPr>
                <w:rFonts w:hint="default"/>
              </w:rPr>
            </w:pPr>
            <w:r>
              <w:rPr>
                <w:rFonts w:hint="default"/>
              </w:rPr>
              <w:t>Ⅲ类</w:t>
            </w:r>
          </w:p>
        </w:tc>
        <w:tc>
          <w:tcPr>
            <w:tcW w:w="736" w:type="pct"/>
            <w:vMerge w:val="continue"/>
            <w:noWrap w:val="0"/>
            <w:vAlign w:val="center"/>
          </w:tcPr>
          <w:p>
            <w:pPr>
              <w:pStyle w:val="120"/>
              <w:bidi w:val="0"/>
              <w:rPr>
                <w:rFonts w:hint="eastAsia"/>
                <w:lang w:val="en-US" w:eastAsia="zh-CN"/>
              </w:rPr>
            </w:pP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default"/>
                <w:lang w:val="en-US" w:eastAsia="zh-CN"/>
              </w:rPr>
            </w:pPr>
            <w:r>
              <w:rPr>
                <w:rFonts w:hint="default"/>
                <w:lang w:val="en-US" w:eastAsia="zh-CN"/>
              </w:rPr>
              <w:t>岔</w:t>
            </w:r>
            <w:r>
              <w:rPr>
                <w:rFonts w:hint="eastAsia"/>
                <w:lang w:val="en-US" w:eastAsia="zh-CN"/>
              </w:rPr>
              <w:t>哪公租房小区</w:t>
            </w:r>
            <w:r>
              <w:rPr>
                <w:rFonts w:hint="default"/>
                <w:lang w:val="en-US" w:eastAsia="zh-CN"/>
              </w:rPr>
              <w:t>地下水井</w:t>
            </w:r>
            <w:r>
              <w:rPr>
                <w:rFonts w:hint="eastAsia"/>
                <w:lang w:val="en-US" w:eastAsia="zh-CN"/>
              </w:rPr>
              <w:t>1</w:t>
            </w:r>
          </w:p>
        </w:tc>
        <w:tc>
          <w:tcPr>
            <w:tcW w:w="416" w:type="pct"/>
            <w:noWrap w:val="0"/>
            <w:vAlign w:val="center"/>
          </w:tcPr>
          <w:p>
            <w:pPr>
              <w:pStyle w:val="120"/>
              <w:bidi w:val="0"/>
              <w:rPr>
                <w:rFonts w:hint="default"/>
                <w:lang w:val="en-US" w:eastAsia="zh-CN"/>
              </w:rPr>
            </w:pPr>
            <w:r>
              <w:rPr>
                <w:rFonts w:hint="eastAsia"/>
                <w:lang w:val="en-US" w:eastAsia="zh-CN"/>
              </w:rPr>
              <w:t>170</w:t>
            </w:r>
          </w:p>
        </w:tc>
        <w:tc>
          <w:tcPr>
            <w:tcW w:w="416" w:type="pct"/>
            <w:noWrap w:val="0"/>
            <w:vAlign w:val="center"/>
          </w:tcPr>
          <w:p>
            <w:pPr>
              <w:pStyle w:val="120"/>
              <w:bidi w:val="0"/>
              <w:rPr>
                <w:rFonts w:hint="default"/>
                <w:lang w:val="en-US" w:eastAsia="zh-CN"/>
              </w:rPr>
            </w:pPr>
            <w:r>
              <w:rPr>
                <w:rFonts w:hint="eastAsia"/>
                <w:lang w:val="en-US" w:eastAsia="zh-CN"/>
              </w:rPr>
              <w:t>1390</w:t>
            </w:r>
          </w:p>
        </w:tc>
        <w:tc>
          <w:tcPr>
            <w:tcW w:w="334" w:type="pct"/>
            <w:noWrap w:val="0"/>
            <w:vAlign w:val="center"/>
          </w:tcPr>
          <w:p>
            <w:pPr>
              <w:pStyle w:val="120"/>
              <w:bidi w:val="0"/>
              <w:rPr>
                <w:rFonts w:hint="eastAsia"/>
                <w:lang w:val="en-US" w:eastAsia="zh-CN"/>
              </w:rPr>
            </w:pPr>
            <w:r>
              <w:rPr>
                <w:rFonts w:hint="eastAsia"/>
                <w:lang w:val="en-US" w:eastAsia="zh-CN"/>
              </w:rPr>
              <w:t>EN</w:t>
            </w:r>
          </w:p>
        </w:tc>
        <w:tc>
          <w:tcPr>
            <w:tcW w:w="480" w:type="pct"/>
            <w:noWrap w:val="0"/>
            <w:vAlign w:val="center"/>
          </w:tcPr>
          <w:p>
            <w:pPr>
              <w:pStyle w:val="120"/>
              <w:bidi w:val="0"/>
              <w:rPr>
                <w:rFonts w:hint="default"/>
                <w:lang w:val="en-US" w:eastAsia="zh-CN"/>
              </w:rPr>
            </w:pPr>
            <w:r>
              <w:rPr>
                <w:rFonts w:hint="eastAsia"/>
                <w:lang w:val="en-US" w:eastAsia="zh-CN"/>
              </w:rPr>
              <w:t>1410</w:t>
            </w:r>
          </w:p>
        </w:tc>
        <w:tc>
          <w:tcPr>
            <w:tcW w:w="306" w:type="pct"/>
            <w:noWrap w:val="0"/>
            <w:vAlign w:val="center"/>
          </w:tcPr>
          <w:p>
            <w:pPr>
              <w:pStyle w:val="120"/>
              <w:bidi w:val="0"/>
              <w:rPr>
                <w:rFonts w:hint="eastAsia"/>
                <w:lang w:eastAsia="zh-CN"/>
              </w:rPr>
            </w:pPr>
            <w:r>
              <w:rPr>
                <w:rFonts w:hint="eastAsia"/>
                <w:lang w:eastAsia="zh-CN"/>
              </w:rPr>
              <w:t>无</w:t>
            </w:r>
          </w:p>
        </w:tc>
        <w:tc>
          <w:tcPr>
            <w:tcW w:w="371" w:type="pct"/>
            <w:noWrap w:val="0"/>
            <w:vAlign w:val="center"/>
          </w:tcPr>
          <w:p>
            <w:pPr>
              <w:pStyle w:val="120"/>
              <w:bidi w:val="0"/>
              <w:rPr>
                <w:rFonts w:hint="default"/>
              </w:rPr>
            </w:pPr>
            <w:r>
              <w:rPr>
                <w:rFonts w:hint="default"/>
              </w:rPr>
              <w:t>Ⅲ类</w:t>
            </w:r>
          </w:p>
        </w:tc>
        <w:tc>
          <w:tcPr>
            <w:tcW w:w="736" w:type="pct"/>
            <w:vMerge w:val="continue"/>
            <w:noWrap w:val="0"/>
            <w:vAlign w:val="center"/>
          </w:tcPr>
          <w:p>
            <w:pPr>
              <w:pStyle w:val="120"/>
              <w:bidi w:val="0"/>
              <w:rPr>
                <w:rFonts w:hint="eastAsia"/>
                <w:lang w:val="en-US" w:eastAsia="zh-CN"/>
              </w:rPr>
            </w:pP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120"/>
              <w:bidi w:val="0"/>
              <w:rPr>
                <w:rFonts w:hint="default"/>
              </w:rPr>
            </w:pPr>
          </w:p>
        </w:tc>
        <w:tc>
          <w:tcPr>
            <w:tcW w:w="537" w:type="pct"/>
            <w:noWrap w:val="0"/>
            <w:vAlign w:val="center"/>
          </w:tcPr>
          <w:p>
            <w:pPr>
              <w:pStyle w:val="120"/>
              <w:bidi w:val="0"/>
              <w:rPr>
                <w:rFonts w:hint="default"/>
                <w:lang w:val="en-US" w:eastAsia="zh-CN"/>
              </w:rPr>
            </w:pPr>
            <w:r>
              <w:rPr>
                <w:rFonts w:hint="default"/>
                <w:lang w:val="en-US" w:eastAsia="zh-CN"/>
              </w:rPr>
              <w:t>岔</w:t>
            </w:r>
            <w:r>
              <w:rPr>
                <w:rFonts w:hint="eastAsia"/>
                <w:lang w:val="en-US" w:eastAsia="zh-CN"/>
              </w:rPr>
              <w:t>哪公租房小区</w:t>
            </w:r>
            <w:r>
              <w:rPr>
                <w:rFonts w:hint="default"/>
                <w:lang w:val="en-US" w:eastAsia="zh-CN"/>
              </w:rPr>
              <w:t>地下水井</w:t>
            </w:r>
            <w:r>
              <w:rPr>
                <w:rFonts w:hint="eastAsia"/>
                <w:lang w:val="en-US" w:eastAsia="zh-CN"/>
              </w:rPr>
              <w:t>2</w:t>
            </w:r>
          </w:p>
        </w:tc>
        <w:tc>
          <w:tcPr>
            <w:tcW w:w="416" w:type="pct"/>
            <w:noWrap w:val="0"/>
            <w:vAlign w:val="center"/>
          </w:tcPr>
          <w:p>
            <w:pPr>
              <w:pStyle w:val="120"/>
              <w:bidi w:val="0"/>
              <w:rPr>
                <w:rFonts w:hint="default"/>
                <w:lang w:val="en-US" w:eastAsia="zh-CN"/>
              </w:rPr>
            </w:pPr>
            <w:r>
              <w:rPr>
                <w:rFonts w:hint="eastAsia"/>
                <w:lang w:val="en-US" w:eastAsia="zh-CN"/>
              </w:rPr>
              <w:t>660</w:t>
            </w:r>
          </w:p>
        </w:tc>
        <w:tc>
          <w:tcPr>
            <w:tcW w:w="416" w:type="pct"/>
            <w:noWrap w:val="0"/>
            <w:vAlign w:val="center"/>
          </w:tcPr>
          <w:p>
            <w:pPr>
              <w:pStyle w:val="120"/>
              <w:bidi w:val="0"/>
              <w:rPr>
                <w:rFonts w:hint="default"/>
                <w:lang w:val="en-US" w:eastAsia="zh-CN"/>
              </w:rPr>
            </w:pPr>
            <w:r>
              <w:rPr>
                <w:rFonts w:hint="eastAsia"/>
                <w:lang w:val="en-US" w:eastAsia="zh-CN"/>
              </w:rPr>
              <w:t>1280</w:t>
            </w:r>
          </w:p>
        </w:tc>
        <w:tc>
          <w:tcPr>
            <w:tcW w:w="334" w:type="pct"/>
            <w:noWrap w:val="0"/>
            <w:vAlign w:val="center"/>
          </w:tcPr>
          <w:p>
            <w:pPr>
              <w:pStyle w:val="120"/>
              <w:bidi w:val="0"/>
              <w:rPr>
                <w:rFonts w:hint="eastAsia"/>
                <w:lang w:val="en-US" w:eastAsia="zh-CN"/>
              </w:rPr>
            </w:pPr>
            <w:r>
              <w:rPr>
                <w:rFonts w:hint="eastAsia"/>
                <w:lang w:val="en-US" w:eastAsia="zh-CN"/>
              </w:rPr>
              <w:t>EN</w:t>
            </w:r>
          </w:p>
        </w:tc>
        <w:tc>
          <w:tcPr>
            <w:tcW w:w="480" w:type="pct"/>
            <w:noWrap w:val="0"/>
            <w:vAlign w:val="center"/>
          </w:tcPr>
          <w:p>
            <w:pPr>
              <w:pStyle w:val="120"/>
              <w:bidi w:val="0"/>
              <w:rPr>
                <w:rFonts w:hint="default"/>
                <w:lang w:val="en-US" w:eastAsia="zh-CN"/>
              </w:rPr>
            </w:pPr>
            <w:r>
              <w:rPr>
                <w:rFonts w:hint="eastAsia"/>
                <w:lang w:val="en-US" w:eastAsia="zh-CN"/>
              </w:rPr>
              <w:t>1290</w:t>
            </w:r>
          </w:p>
        </w:tc>
        <w:tc>
          <w:tcPr>
            <w:tcW w:w="306" w:type="pct"/>
            <w:noWrap w:val="0"/>
            <w:vAlign w:val="center"/>
          </w:tcPr>
          <w:p>
            <w:pPr>
              <w:pStyle w:val="120"/>
              <w:bidi w:val="0"/>
              <w:rPr>
                <w:rFonts w:hint="eastAsia"/>
                <w:lang w:eastAsia="zh-CN"/>
              </w:rPr>
            </w:pPr>
            <w:r>
              <w:rPr>
                <w:rFonts w:hint="eastAsia"/>
                <w:lang w:eastAsia="zh-CN"/>
              </w:rPr>
              <w:t>无</w:t>
            </w:r>
          </w:p>
        </w:tc>
        <w:tc>
          <w:tcPr>
            <w:tcW w:w="371" w:type="pct"/>
            <w:noWrap w:val="0"/>
            <w:vAlign w:val="center"/>
          </w:tcPr>
          <w:p>
            <w:pPr>
              <w:pStyle w:val="120"/>
              <w:bidi w:val="0"/>
              <w:rPr>
                <w:rFonts w:hint="default"/>
              </w:rPr>
            </w:pPr>
            <w:r>
              <w:rPr>
                <w:rFonts w:hint="default"/>
              </w:rPr>
              <w:t>Ⅲ类</w:t>
            </w:r>
          </w:p>
        </w:tc>
        <w:tc>
          <w:tcPr>
            <w:tcW w:w="736" w:type="pct"/>
            <w:vMerge w:val="continue"/>
            <w:noWrap w:val="0"/>
            <w:vAlign w:val="center"/>
          </w:tcPr>
          <w:p>
            <w:pPr>
              <w:pStyle w:val="120"/>
              <w:bidi w:val="0"/>
              <w:rPr>
                <w:rFonts w:hint="eastAsia"/>
                <w:lang w:val="en-US" w:eastAsia="zh-CN"/>
              </w:rPr>
            </w:pPr>
          </w:p>
        </w:tc>
        <w:tc>
          <w:tcPr>
            <w:tcW w:w="1147" w:type="pct"/>
            <w:vMerge w:val="continue"/>
            <w:noWrap w:val="0"/>
            <w:vAlign w:val="center"/>
          </w:tcPr>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noWrap w:val="0"/>
            <w:vAlign w:val="center"/>
          </w:tcPr>
          <w:p>
            <w:pPr>
              <w:pStyle w:val="120"/>
              <w:bidi w:val="0"/>
              <w:rPr>
                <w:rFonts w:hint="default"/>
              </w:rPr>
            </w:pPr>
            <w:r>
              <w:rPr>
                <w:rFonts w:hint="default"/>
              </w:rPr>
              <w:t>土壤环境</w:t>
            </w:r>
          </w:p>
        </w:tc>
        <w:tc>
          <w:tcPr>
            <w:tcW w:w="3600" w:type="pct"/>
            <w:gridSpan w:val="8"/>
            <w:noWrap w:val="0"/>
            <w:vAlign w:val="center"/>
          </w:tcPr>
          <w:p>
            <w:pPr>
              <w:pStyle w:val="120"/>
              <w:bidi w:val="0"/>
              <w:rPr>
                <w:rFonts w:hint="default"/>
              </w:rPr>
            </w:pPr>
            <w:r>
              <w:rPr>
                <w:rFonts w:hint="eastAsia"/>
                <w:lang w:eastAsia="zh-CN"/>
              </w:rPr>
              <w:t>评价范围内</w:t>
            </w:r>
            <w:r>
              <w:rPr>
                <w:rFonts w:hint="default"/>
              </w:rPr>
              <w:t>无敏感保护目标</w:t>
            </w:r>
          </w:p>
        </w:tc>
        <w:tc>
          <w:tcPr>
            <w:tcW w:w="1147" w:type="pct"/>
            <w:noWrap w:val="0"/>
            <w:vAlign w:val="center"/>
          </w:tcPr>
          <w:p>
            <w:pPr>
              <w:pStyle w:val="120"/>
              <w:bidi w:val="0"/>
              <w:rPr>
                <w:rFonts w:hint="default"/>
              </w:rPr>
            </w:pPr>
            <w:r>
              <w:rPr>
                <w:rFonts w:hint="default"/>
              </w:rPr>
              <w:t>《土壤环境质量 建设用地土壤污染风险管控标准（试行）》（GB36600-2018）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noWrap w:val="0"/>
            <w:vAlign w:val="center"/>
          </w:tcPr>
          <w:p>
            <w:pPr>
              <w:pStyle w:val="120"/>
              <w:bidi w:val="0"/>
              <w:rPr>
                <w:rFonts w:hint="default"/>
              </w:rPr>
            </w:pPr>
            <w:r>
              <w:rPr>
                <w:rFonts w:hint="default"/>
              </w:rPr>
              <w:t>生态环境</w:t>
            </w:r>
          </w:p>
        </w:tc>
        <w:tc>
          <w:tcPr>
            <w:tcW w:w="537" w:type="pct"/>
            <w:noWrap w:val="0"/>
            <w:vAlign w:val="center"/>
          </w:tcPr>
          <w:p>
            <w:pPr>
              <w:pStyle w:val="120"/>
              <w:bidi w:val="0"/>
              <w:rPr>
                <w:rFonts w:hint="default"/>
              </w:rPr>
            </w:pPr>
            <w:r>
              <w:rPr>
                <w:rFonts w:hint="default"/>
              </w:rPr>
              <w:t>项目周边植被</w:t>
            </w:r>
          </w:p>
        </w:tc>
        <w:tc>
          <w:tcPr>
            <w:tcW w:w="4210" w:type="pct"/>
            <w:gridSpan w:val="8"/>
            <w:noWrap w:val="0"/>
            <w:vAlign w:val="center"/>
          </w:tcPr>
          <w:p>
            <w:pPr>
              <w:pStyle w:val="120"/>
              <w:bidi w:val="0"/>
              <w:rPr>
                <w:rFonts w:hint="default"/>
              </w:rPr>
            </w:pPr>
            <w:r>
              <w:rPr>
                <w:rFonts w:hint="default"/>
              </w:rPr>
              <w:t>不得越过用地红线随意破坏周边植被</w:t>
            </w:r>
          </w:p>
        </w:tc>
      </w:tr>
      <w:bookmarkEnd w:id="136"/>
    </w:tbl>
    <w:p>
      <w:pPr>
        <w:pStyle w:val="103"/>
        <w:bidi w:val="0"/>
        <w:rPr>
          <w:rFonts w:hint="default"/>
          <w:color w:val="auto"/>
          <w:lang w:val="en-US" w:eastAsia="zh-CN"/>
        </w:rPr>
      </w:pPr>
      <w:r>
        <w:rPr>
          <w:rFonts w:hint="eastAsia"/>
          <w:color w:val="auto"/>
          <w:lang w:eastAsia="zh-CN"/>
        </w:rPr>
        <w:t>表</w:t>
      </w:r>
      <w:r>
        <w:rPr>
          <w:rFonts w:hint="eastAsia"/>
          <w:color w:val="auto"/>
          <w:lang w:val="en-US" w:eastAsia="zh-CN"/>
        </w:rPr>
        <w:t>1.10-2  管网工程环境保护目标一览表</w:t>
      </w:r>
    </w:p>
    <w:tbl>
      <w:tblPr>
        <w:tblStyle w:val="36"/>
        <w:tblpPr w:leftFromText="180" w:rightFromText="180" w:vertAnchor="text" w:horzAnchor="page" w:tblpX="1812" w:tblpY="49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19"/>
        <w:gridCol w:w="697"/>
        <w:gridCol w:w="698"/>
        <w:gridCol w:w="566"/>
        <w:gridCol w:w="813"/>
        <w:gridCol w:w="526"/>
        <w:gridCol w:w="636"/>
        <w:gridCol w:w="1251"/>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2"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环境</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要素</w:t>
            </w:r>
          </w:p>
        </w:tc>
        <w:tc>
          <w:tcPr>
            <w:tcW w:w="543"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环境保护对象名称</w:t>
            </w:r>
          </w:p>
        </w:tc>
        <w:tc>
          <w:tcPr>
            <w:tcW w:w="825" w:type="pct"/>
            <w:gridSpan w:val="2"/>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坐标</w:t>
            </w:r>
          </w:p>
        </w:tc>
        <w:tc>
          <w:tcPr>
            <w:tcW w:w="331"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相对厂</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址方位</w:t>
            </w:r>
          </w:p>
        </w:tc>
        <w:tc>
          <w:tcPr>
            <w:tcW w:w="480"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厂界</w:t>
            </w:r>
            <w:r>
              <w:rPr>
                <w:rFonts w:hint="eastAsia" w:ascii="Times New Roman" w:hAnsi="Times New Roman" w:cs="Times New Roman"/>
                <w:b/>
                <w:bCs/>
                <w:color w:val="auto"/>
                <w:u w:val="none"/>
                <w:lang w:eastAsia="zh-CN"/>
              </w:rPr>
              <w:t>距离最近</w:t>
            </w:r>
            <w:r>
              <w:rPr>
                <w:rFonts w:hint="default" w:ascii="Times New Roman" w:hAnsi="Times New Roman" w:cs="Times New Roman"/>
                <w:b/>
                <w:bCs/>
                <w:color w:val="auto"/>
                <w:u w:val="none"/>
              </w:rPr>
              <w:t>距离（m）</w:t>
            </w:r>
          </w:p>
        </w:tc>
        <w:tc>
          <w:tcPr>
            <w:tcW w:w="311"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有无山体阻隔</w:t>
            </w:r>
          </w:p>
        </w:tc>
        <w:tc>
          <w:tcPr>
            <w:tcW w:w="376"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环境</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功能区</w:t>
            </w:r>
          </w:p>
        </w:tc>
        <w:tc>
          <w:tcPr>
            <w:tcW w:w="738"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保护对象</w:t>
            </w:r>
          </w:p>
        </w:tc>
        <w:tc>
          <w:tcPr>
            <w:tcW w:w="1142"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52" w:type="pct"/>
            <w:vMerge w:val="continue"/>
            <w:noWrap w:val="0"/>
            <w:vAlign w:val="center"/>
          </w:tcPr>
          <w:p>
            <w:pPr>
              <w:pStyle w:val="73"/>
              <w:rPr>
                <w:rFonts w:hint="default" w:ascii="Times New Roman" w:hAnsi="Times New Roman" w:cs="Times New Roman"/>
                <w:color w:val="auto"/>
                <w:u w:val="none"/>
              </w:rPr>
            </w:pPr>
          </w:p>
        </w:tc>
        <w:tc>
          <w:tcPr>
            <w:tcW w:w="543" w:type="pct"/>
            <w:vMerge w:val="continue"/>
            <w:noWrap w:val="0"/>
            <w:vAlign w:val="center"/>
          </w:tcPr>
          <w:p>
            <w:pPr>
              <w:pStyle w:val="73"/>
              <w:rPr>
                <w:rFonts w:hint="default" w:ascii="Times New Roman" w:hAnsi="Times New Roman" w:cs="Times New Roman"/>
                <w:color w:val="auto"/>
                <w:u w:val="none"/>
              </w:rPr>
            </w:pPr>
          </w:p>
        </w:tc>
        <w:tc>
          <w:tcPr>
            <w:tcW w:w="41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X</w:t>
            </w:r>
          </w:p>
        </w:tc>
        <w:tc>
          <w:tcPr>
            <w:tcW w:w="412" w:type="pct"/>
            <w:noWrap w:val="0"/>
            <w:vAlign w:val="center"/>
          </w:tcPr>
          <w:p>
            <w:pPr>
              <w:pStyle w:val="73"/>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Y</w:t>
            </w:r>
          </w:p>
        </w:tc>
        <w:tc>
          <w:tcPr>
            <w:tcW w:w="331" w:type="pct"/>
            <w:vMerge w:val="continue"/>
            <w:noWrap w:val="0"/>
            <w:vAlign w:val="center"/>
          </w:tcPr>
          <w:p>
            <w:pPr>
              <w:pStyle w:val="73"/>
              <w:rPr>
                <w:rFonts w:hint="default" w:ascii="Times New Roman" w:hAnsi="Times New Roman" w:cs="Times New Roman"/>
                <w:color w:val="auto"/>
                <w:u w:val="none"/>
              </w:rPr>
            </w:pPr>
          </w:p>
        </w:tc>
        <w:tc>
          <w:tcPr>
            <w:tcW w:w="480" w:type="pct"/>
            <w:vMerge w:val="continue"/>
            <w:noWrap w:val="0"/>
            <w:vAlign w:val="center"/>
          </w:tcPr>
          <w:p>
            <w:pPr>
              <w:pStyle w:val="73"/>
              <w:rPr>
                <w:rFonts w:hint="default" w:ascii="Times New Roman" w:hAnsi="Times New Roman" w:cs="Times New Roman"/>
                <w:color w:val="auto"/>
                <w:u w:val="none"/>
              </w:rPr>
            </w:pPr>
          </w:p>
        </w:tc>
        <w:tc>
          <w:tcPr>
            <w:tcW w:w="311" w:type="pct"/>
            <w:vMerge w:val="continue"/>
            <w:noWrap w:val="0"/>
            <w:vAlign w:val="center"/>
          </w:tcPr>
          <w:p>
            <w:pPr>
              <w:pStyle w:val="73"/>
              <w:rPr>
                <w:rFonts w:hint="default" w:ascii="Times New Roman" w:hAnsi="Times New Roman" w:cs="Times New Roman"/>
                <w:color w:val="auto"/>
                <w:u w:val="none"/>
              </w:rPr>
            </w:pPr>
          </w:p>
        </w:tc>
        <w:tc>
          <w:tcPr>
            <w:tcW w:w="376" w:type="pct"/>
            <w:vMerge w:val="continue"/>
            <w:noWrap w:val="0"/>
            <w:vAlign w:val="center"/>
          </w:tcPr>
          <w:p>
            <w:pPr>
              <w:pStyle w:val="73"/>
              <w:rPr>
                <w:rFonts w:hint="default" w:ascii="Times New Roman" w:hAnsi="Times New Roman" w:cs="Times New Roman"/>
                <w:color w:val="auto"/>
                <w:u w:val="none"/>
              </w:rPr>
            </w:pPr>
          </w:p>
        </w:tc>
        <w:tc>
          <w:tcPr>
            <w:tcW w:w="738" w:type="pct"/>
            <w:vMerge w:val="continue"/>
            <w:noWrap w:val="0"/>
            <w:vAlign w:val="center"/>
          </w:tcPr>
          <w:p>
            <w:pPr>
              <w:pStyle w:val="73"/>
              <w:rPr>
                <w:rFonts w:hint="default" w:ascii="Times New Roman" w:hAnsi="Times New Roman" w:cs="Times New Roman"/>
                <w:color w:val="auto"/>
                <w:u w:val="none"/>
              </w:rPr>
            </w:pPr>
          </w:p>
        </w:tc>
        <w:tc>
          <w:tcPr>
            <w:tcW w:w="1142" w:type="pct"/>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52" w:type="pct"/>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空气</w:t>
            </w:r>
          </w:p>
          <w:p>
            <w:pPr>
              <w:pStyle w:val="73"/>
              <w:rPr>
                <w:rFonts w:hint="default" w:ascii="Times New Roman" w:hAnsi="Times New Roman" w:cs="Times New Roman"/>
                <w:color w:val="auto"/>
                <w:u w:val="none"/>
              </w:rPr>
            </w:pPr>
            <w:r>
              <w:rPr>
                <w:rFonts w:hint="default" w:ascii="Times New Roman" w:hAnsi="Times New Roman" w:cs="Times New Roman"/>
                <w:color w:val="auto"/>
                <w:u w:val="none"/>
              </w:rPr>
              <w:t>环境</w:t>
            </w:r>
          </w:p>
        </w:tc>
        <w:tc>
          <w:tcPr>
            <w:tcW w:w="543" w:type="pct"/>
            <w:noWrap w:val="0"/>
            <w:vAlign w:val="center"/>
          </w:tcPr>
          <w:p>
            <w:pPr>
              <w:pStyle w:val="73"/>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公租房</w:t>
            </w:r>
          </w:p>
        </w:tc>
        <w:tc>
          <w:tcPr>
            <w:tcW w:w="412"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-45</w:t>
            </w:r>
          </w:p>
        </w:tc>
        <w:tc>
          <w:tcPr>
            <w:tcW w:w="412" w:type="pct"/>
            <w:noWrap w:val="0"/>
            <w:vAlign w:val="center"/>
          </w:tcPr>
          <w:p>
            <w:pPr>
              <w:pStyle w:val="73"/>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40</w:t>
            </w:r>
          </w:p>
        </w:tc>
        <w:tc>
          <w:tcPr>
            <w:tcW w:w="331" w:type="pct"/>
            <w:noWrap w:val="0"/>
            <w:vAlign w:val="center"/>
          </w:tcPr>
          <w:p>
            <w:pPr>
              <w:pStyle w:val="73"/>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WE</w:t>
            </w:r>
          </w:p>
        </w:tc>
        <w:tc>
          <w:tcPr>
            <w:tcW w:w="480" w:type="pct"/>
            <w:noWrap w:val="0"/>
            <w:vAlign w:val="center"/>
          </w:tcPr>
          <w:p>
            <w:pPr>
              <w:pStyle w:val="73"/>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60</w:t>
            </w:r>
          </w:p>
        </w:tc>
        <w:tc>
          <w:tcPr>
            <w:tcW w:w="311"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有</w:t>
            </w:r>
          </w:p>
        </w:tc>
        <w:tc>
          <w:tcPr>
            <w:tcW w:w="37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738"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100</w:t>
            </w:r>
            <w:r>
              <w:rPr>
                <w:rFonts w:hint="default" w:ascii="Times New Roman" w:hAnsi="Times New Roman" w:cs="Times New Roman"/>
                <w:color w:val="auto"/>
                <w:u w:val="none"/>
              </w:rPr>
              <w:t>人</w:t>
            </w:r>
          </w:p>
        </w:tc>
        <w:tc>
          <w:tcPr>
            <w:tcW w:w="1142" w:type="pct"/>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《环境空气质量标准》（GB3095－2012）及其修改单二级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vMerge w:val="continue"/>
            <w:noWrap w:val="0"/>
            <w:vAlign w:val="center"/>
          </w:tcPr>
          <w:p>
            <w:pPr>
              <w:pStyle w:val="73"/>
              <w:rPr>
                <w:rFonts w:hint="default" w:ascii="Times New Roman" w:hAnsi="Times New Roman" w:cs="Times New Roman"/>
                <w:color w:val="auto"/>
                <w:u w:val="none"/>
              </w:rPr>
            </w:pPr>
          </w:p>
        </w:tc>
        <w:tc>
          <w:tcPr>
            <w:tcW w:w="543" w:type="pct"/>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岔包</w:t>
            </w:r>
          </w:p>
        </w:tc>
        <w:tc>
          <w:tcPr>
            <w:tcW w:w="412"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100</w:t>
            </w:r>
          </w:p>
        </w:tc>
        <w:tc>
          <w:tcPr>
            <w:tcW w:w="412"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210</w:t>
            </w:r>
          </w:p>
        </w:tc>
        <w:tc>
          <w:tcPr>
            <w:tcW w:w="331" w:type="pct"/>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val="en-US" w:eastAsia="zh-CN"/>
              </w:rPr>
              <w:t>S</w:t>
            </w:r>
          </w:p>
        </w:tc>
        <w:tc>
          <w:tcPr>
            <w:tcW w:w="480"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210</w:t>
            </w:r>
          </w:p>
        </w:tc>
        <w:tc>
          <w:tcPr>
            <w:tcW w:w="311" w:type="pct"/>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无</w:t>
            </w:r>
          </w:p>
        </w:tc>
        <w:tc>
          <w:tcPr>
            <w:tcW w:w="37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738"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120</w:t>
            </w:r>
            <w:r>
              <w:rPr>
                <w:rFonts w:hint="default" w:ascii="Times New Roman" w:hAnsi="Times New Roman" w:cs="Times New Roman"/>
                <w:color w:val="auto"/>
                <w:u w:val="none"/>
              </w:rPr>
              <w:t>人</w:t>
            </w:r>
          </w:p>
        </w:tc>
        <w:tc>
          <w:tcPr>
            <w:tcW w:w="1142" w:type="pct"/>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noWrap w:val="0"/>
            <w:vAlign w:val="center"/>
          </w:tcPr>
          <w:p>
            <w:pPr>
              <w:pStyle w:val="73"/>
              <w:rPr>
                <w:rFonts w:hint="eastAsia" w:ascii="Times New Roman" w:hAnsi="Times New Roman" w:eastAsia="宋体" w:cs="Times New Roman"/>
                <w:color w:val="auto"/>
                <w:u w:val="single"/>
                <w:lang w:eastAsia="zh-CN"/>
              </w:rPr>
            </w:pPr>
            <w:r>
              <w:rPr>
                <w:rFonts w:hint="eastAsia" w:ascii="Times New Roman" w:hAnsi="Times New Roman" w:cs="Times New Roman"/>
                <w:color w:val="auto"/>
                <w:u w:val="single"/>
                <w:lang w:eastAsia="zh-CN"/>
              </w:rPr>
              <w:t>声环境</w:t>
            </w:r>
          </w:p>
        </w:tc>
        <w:tc>
          <w:tcPr>
            <w:tcW w:w="543" w:type="pct"/>
            <w:noWrap w:val="0"/>
            <w:vAlign w:val="center"/>
          </w:tcPr>
          <w:p>
            <w:pPr>
              <w:pStyle w:val="120"/>
              <w:bidi w:val="0"/>
              <w:rPr>
                <w:rFonts w:hint="eastAsia" w:ascii="Times New Roman" w:hAnsi="Times New Roman" w:eastAsia="宋体" w:cs="Times New Roman"/>
                <w:color w:val="000000"/>
                <w:kern w:val="2"/>
                <w:sz w:val="21"/>
                <w:szCs w:val="24"/>
                <w:u w:val="single"/>
                <w:lang w:val="en-US" w:eastAsia="zh-CN" w:bidi="ar-SA"/>
              </w:rPr>
            </w:pPr>
            <w:r>
              <w:rPr>
                <w:rFonts w:hint="eastAsia"/>
                <w:u w:val="single"/>
                <w:lang w:eastAsia="zh-CN"/>
              </w:rPr>
              <w:t>公租房</w:t>
            </w:r>
          </w:p>
        </w:tc>
        <w:tc>
          <w:tcPr>
            <w:tcW w:w="412" w:type="pct"/>
            <w:noWrap w:val="0"/>
            <w:vAlign w:val="center"/>
          </w:tcPr>
          <w:p>
            <w:pPr>
              <w:pStyle w:val="120"/>
              <w:bidi w:val="0"/>
              <w:rPr>
                <w:rFonts w:hint="eastAsia" w:ascii="Times New Roman" w:hAnsi="Times New Roman" w:eastAsia="宋体" w:cs="Times New Roman"/>
                <w:color w:val="000000"/>
                <w:kern w:val="2"/>
                <w:sz w:val="21"/>
                <w:szCs w:val="24"/>
                <w:u w:val="single"/>
                <w:lang w:val="en-US" w:eastAsia="zh-CN" w:bidi="ar-SA"/>
              </w:rPr>
            </w:pPr>
            <w:r>
              <w:rPr>
                <w:rFonts w:hint="eastAsia"/>
                <w:u w:val="single"/>
                <w:lang w:val="en-US" w:eastAsia="zh-CN"/>
              </w:rPr>
              <w:t>-30</w:t>
            </w:r>
          </w:p>
        </w:tc>
        <w:tc>
          <w:tcPr>
            <w:tcW w:w="412" w:type="pct"/>
            <w:noWrap w:val="0"/>
            <w:vAlign w:val="center"/>
          </w:tcPr>
          <w:p>
            <w:pPr>
              <w:pStyle w:val="120"/>
              <w:bidi w:val="0"/>
              <w:rPr>
                <w:rFonts w:hint="default" w:ascii="Times New Roman" w:hAnsi="Times New Roman" w:eastAsia="宋体" w:cs="Times New Roman"/>
                <w:color w:val="000000"/>
                <w:kern w:val="2"/>
                <w:sz w:val="21"/>
                <w:szCs w:val="24"/>
                <w:u w:val="single"/>
                <w:lang w:val="en-US" w:eastAsia="zh-CN" w:bidi="ar-SA"/>
              </w:rPr>
            </w:pPr>
            <w:r>
              <w:rPr>
                <w:rFonts w:hint="eastAsia"/>
                <w:u w:val="single"/>
                <w:lang w:val="en-US" w:eastAsia="zh-CN"/>
              </w:rPr>
              <w:t>40</w:t>
            </w:r>
          </w:p>
        </w:tc>
        <w:tc>
          <w:tcPr>
            <w:tcW w:w="331" w:type="pct"/>
            <w:noWrap w:val="0"/>
            <w:vAlign w:val="center"/>
          </w:tcPr>
          <w:p>
            <w:pPr>
              <w:pStyle w:val="120"/>
              <w:bidi w:val="0"/>
              <w:rPr>
                <w:rFonts w:hint="eastAsia" w:ascii="Times New Roman" w:hAnsi="Times New Roman" w:eastAsia="宋体" w:cs="Times New Roman"/>
                <w:color w:val="000000"/>
                <w:kern w:val="2"/>
                <w:sz w:val="21"/>
                <w:szCs w:val="24"/>
                <w:u w:val="single"/>
                <w:lang w:val="en-US" w:eastAsia="zh-CN" w:bidi="ar-SA"/>
              </w:rPr>
            </w:pPr>
            <w:r>
              <w:rPr>
                <w:rFonts w:hint="eastAsia"/>
                <w:u w:val="single"/>
                <w:lang w:val="en-US" w:eastAsia="zh-CN"/>
              </w:rPr>
              <w:t>WN</w:t>
            </w:r>
          </w:p>
        </w:tc>
        <w:tc>
          <w:tcPr>
            <w:tcW w:w="480" w:type="pct"/>
            <w:noWrap w:val="0"/>
            <w:vAlign w:val="center"/>
          </w:tcPr>
          <w:p>
            <w:pPr>
              <w:pStyle w:val="120"/>
              <w:bidi w:val="0"/>
              <w:rPr>
                <w:rFonts w:hint="eastAsia" w:ascii="Times New Roman" w:hAnsi="Times New Roman" w:eastAsia="宋体" w:cs="Times New Roman"/>
                <w:color w:val="000000"/>
                <w:kern w:val="2"/>
                <w:sz w:val="21"/>
                <w:szCs w:val="24"/>
                <w:u w:val="single"/>
                <w:lang w:val="en-US" w:eastAsia="zh-CN" w:bidi="ar-SA"/>
              </w:rPr>
            </w:pPr>
            <w:r>
              <w:rPr>
                <w:rFonts w:hint="eastAsia"/>
                <w:u w:val="single"/>
                <w:lang w:val="en-US" w:eastAsia="zh-CN"/>
              </w:rPr>
              <w:t>50</w:t>
            </w:r>
          </w:p>
        </w:tc>
        <w:tc>
          <w:tcPr>
            <w:tcW w:w="311" w:type="pct"/>
            <w:noWrap w:val="0"/>
            <w:vAlign w:val="center"/>
          </w:tcPr>
          <w:p>
            <w:pPr>
              <w:pStyle w:val="120"/>
              <w:bidi w:val="0"/>
              <w:rPr>
                <w:rFonts w:hint="eastAsia" w:ascii="Times New Roman" w:hAnsi="Times New Roman" w:eastAsia="宋体" w:cs="Times New Roman"/>
                <w:color w:val="000000"/>
                <w:kern w:val="2"/>
                <w:sz w:val="21"/>
                <w:szCs w:val="24"/>
                <w:u w:val="single"/>
                <w:lang w:val="en-US" w:eastAsia="zh-CN" w:bidi="ar-SA"/>
              </w:rPr>
            </w:pPr>
            <w:r>
              <w:rPr>
                <w:rFonts w:hint="eastAsia"/>
                <w:u w:val="single"/>
                <w:lang w:eastAsia="zh-CN"/>
              </w:rPr>
              <w:t>无</w:t>
            </w:r>
          </w:p>
        </w:tc>
        <w:tc>
          <w:tcPr>
            <w:tcW w:w="376" w:type="pct"/>
            <w:noWrap w:val="0"/>
            <w:vAlign w:val="center"/>
          </w:tcPr>
          <w:p>
            <w:pPr>
              <w:pStyle w:val="120"/>
              <w:bidi w:val="0"/>
              <w:rPr>
                <w:rFonts w:hint="default" w:ascii="Times New Roman" w:hAnsi="Times New Roman" w:eastAsia="宋体" w:cs="Times New Roman"/>
                <w:color w:val="000000"/>
                <w:kern w:val="2"/>
                <w:sz w:val="21"/>
                <w:szCs w:val="24"/>
                <w:u w:val="single"/>
                <w:lang w:val="en-US" w:eastAsia="zh-CN" w:bidi="ar-SA"/>
              </w:rPr>
            </w:pPr>
            <w:r>
              <w:rPr>
                <w:rFonts w:hint="default"/>
                <w:u w:val="single"/>
              </w:rPr>
              <w:t>居住</w:t>
            </w:r>
          </w:p>
        </w:tc>
        <w:tc>
          <w:tcPr>
            <w:tcW w:w="738" w:type="pct"/>
            <w:noWrap w:val="0"/>
            <w:vAlign w:val="center"/>
          </w:tcPr>
          <w:p>
            <w:pPr>
              <w:pStyle w:val="120"/>
              <w:bidi w:val="0"/>
              <w:rPr>
                <w:rFonts w:hint="default" w:ascii="Times New Roman" w:hAnsi="Times New Roman" w:eastAsia="宋体" w:cs="Times New Roman"/>
                <w:color w:val="000000"/>
                <w:kern w:val="2"/>
                <w:sz w:val="21"/>
                <w:szCs w:val="24"/>
                <w:u w:val="single"/>
                <w:lang w:val="en-US" w:eastAsia="zh-CN" w:bidi="ar-SA"/>
              </w:rPr>
            </w:pPr>
            <w:r>
              <w:rPr>
                <w:rFonts w:hint="default"/>
                <w:u w:val="single"/>
              </w:rPr>
              <w:t>约</w:t>
            </w:r>
            <w:r>
              <w:rPr>
                <w:rFonts w:hint="eastAsia"/>
                <w:u w:val="single"/>
                <w:lang w:val="en-US" w:eastAsia="zh-CN"/>
              </w:rPr>
              <w:t>100</w:t>
            </w:r>
            <w:r>
              <w:rPr>
                <w:rFonts w:hint="default"/>
                <w:u w:val="single"/>
              </w:rPr>
              <w:t>人</w:t>
            </w:r>
          </w:p>
        </w:tc>
        <w:tc>
          <w:tcPr>
            <w:tcW w:w="1142" w:type="pct"/>
            <w:noWrap w:val="0"/>
            <w:vAlign w:val="center"/>
          </w:tcPr>
          <w:p>
            <w:pPr>
              <w:pStyle w:val="73"/>
              <w:rPr>
                <w:rFonts w:hint="default" w:ascii="Times New Roman" w:hAnsi="Times New Roman" w:cs="Times New Roman"/>
                <w:color w:val="auto"/>
                <w:u w:val="single"/>
              </w:rPr>
            </w:pPr>
            <w:r>
              <w:rPr>
                <w:rFonts w:hint="eastAsia" w:ascii="Times New Roman" w:hAnsi="Times New Roman"/>
                <w:bCs/>
                <w:sz w:val="21"/>
                <w:szCs w:val="21"/>
                <w:u w:val="single"/>
              </w:rPr>
              <w:t>《声环境质量标准》（GB3096-2008）的</w:t>
            </w:r>
            <w:r>
              <w:rPr>
                <w:rFonts w:hint="eastAsia" w:ascii="Times New Roman" w:hAnsi="Times New Roman"/>
                <w:bCs/>
                <w:sz w:val="21"/>
                <w:szCs w:val="21"/>
                <w:u w:val="single"/>
                <w:lang w:val="en-US" w:eastAsia="zh-CN"/>
              </w:rPr>
              <w:t>3</w:t>
            </w:r>
            <w:r>
              <w:rPr>
                <w:rFonts w:hint="eastAsia" w:ascii="Times New Roman" w:hAnsi="Times New Roman"/>
                <w:bCs/>
                <w:sz w:val="21"/>
                <w:szCs w:val="21"/>
                <w:u w:val="single"/>
              </w:rPr>
              <w:t>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noWrap w:val="0"/>
            <w:vAlign w:val="center"/>
          </w:tcPr>
          <w:p>
            <w:pPr>
              <w:pStyle w:val="73"/>
              <w:rPr>
                <w:rFonts w:hint="default" w:ascii="Times New Roman" w:hAnsi="Times New Roman" w:cs="Times New Roman"/>
                <w:color w:val="auto"/>
                <w:szCs w:val="22"/>
                <w:u w:val="none"/>
              </w:rPr>
            </w:pPr>
            <w:r>
              <w:rPr>
                <w:rFonts w:hint="default" w:ascii="Times New Roman" w:hAnsi="Times New Roman" w:cs="Times New Roman"/>
                <w:color w:val="auto"/>
                <w:szCs w:val="22"/>
                <w:u w:val="none"/>
              </w:rPr>
              <w:t>地表水环境</w:t>
            </w:r>
          </w:p>
        </w:tc>
        <w:tc>
          <w:tcPr>
            <w:tcW w:w="543" w:type="pct"/>
            <w:noWrap w:val="0"/>
            <w:vAlign w:val="center"/>
          </w:tcPr>
          <w:p>
            <w:pPr>
              <w:pStyle w:val="73"/>
              <w:rPr>
                <w:rFonts w:hint="default" w:ascii="Times New Roman" w:hAnsi="Times New Roman" w:cs="Times New Roman"/>
                <w:color w:val="auto"/>
                <w:u w:val="none"/>
              </w:rPr>
            </w:pPr>
            <w:r>
              <w:rPr>
                <w:rFonts w:hint="eastAsia" w:ascii="Times New Roman" w:hAnsi="Times New Roman" w:cs="Times New Roman"/>
                <w:color w:val="auto"/>
                <w:u w:val="none"/>
                <w:lang w:eastAsia="zh-CN"/>
              </w:rPr>
              <w:t>猛洞</w:t>
            </w:r>
            <w:r>
              <w:rPr>
                <w:rFonts w:hint="default" w:ascii="Times New Roman" w:hAnsi="Times New Roman" w:cs="Times New Roman"/>
                <w:color w:val="auto"/>
                <w:u w:val="none"/>
              </w:rPr>
              <w:t>河</w:t>
            </w:r>
          </w:p>
        </w:tc>
        <w:tc>
          <w:tcPr>
            <w:tcW w:w="412"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w:t>
            </w:r>
          </w:p>
        </w:tc>
        <w:tc>
          <w:tcPr>
            <w:tcW w:w="412"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w:t>
            </w:r>
          </w:p>
        </w:tc>
        <w:tc>
          <w:tcPr>
            <w:tcW w:w="331" w:type="pct"/>
            <w:noWrap w:val="0"/>
            <w:vAlign w:val="center"/>
          </w:tcPr>
          <w:p>
            <w:pPr>
              <w:pStyle w:val="73"/>
              <w:rPr>
                <w:rFonts w:hint="default" w:ascii="Times New Roman" w:hAnsi="Times New Roman" w:cs="Times New Roman"/>
                <w:color w:val="auto"/>
                <w:szCs w:val="22"/>
                <w:u w:val="none"/>
              </w:rPr>
            </w:pPr>
            <w:r>
              <w:rPr>
                <w:rFonts w:hint="default" w:ascii="Times New Roman" w:hAnsi="Times New Roman" w:cs="Times New Roman"/>
                <w:color w:val="auto"/>
                <w:szCs w:val="22"/>
                <w:u w:val="none"/>
              </w:rPr>
              <w:t>E</w:t>
            </w:r>
          </w:p>
        </w:tc>
        <w:tc>
          <w:tcPr>
            <w:tcW w:w="480" w:type="pct"/>
            <w:noWrap w:val="0"/>
            <w:vAlign w:val="center"/>
          </w:tcPr>
          <w:p>
            <w:pPr>
              <w:pStyle w:val="73"/>
              <w:rPr>
                <w:rFonts w:hint="default" w:ascii="Times New Roman" w:hAnsi="Times New Roman" w:eastAsia="宋体" w:cs="Times New Roman"/>
                <w:color w:val="auto"/>
                <w:szCs w:val="22"/>
                <w:u w:val="none"/>
                <w:lang w:val="en-US" w:eastAsia="zh-CN"/>
              </w:rPr>
            </w:pPr>
            <w:r>
              <w:rPr>
                <w:rFonts w:hint="eastAsia" w:ascii="Times New Roman" w:hAnsi="Times New Roman" w:cs="Times New Roman"/>
                <w:color w:val="auto"/>
                <w:szCs w:val="22"/>
                <w:u w:val="none"/>
                <w:lang w:val="en-US" w:eastAsia="zh-CN"/>
              </w:rPr>
              <w:t>0</w:t>
            </w:r>
          </w:p>
        </w:tc>
        <w:tc>
          <w:tcPr>
            <w:tcW w:w="31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有</w:t>
            </w:r>
          </w:p>
        </w:tc>
        <w:tc>
          <w:tcPr>
            <w:tcW w:w="37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Ⅲ类水体</w:t>
            </w:r>
          </w:p>
        </w:tc>
        <w:tc>
          <w:tcPr>
            <w:tcW w:w="738" w:type="pct"/>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河流</w:t>
            </w:r>
          </w:p>
        </w:tc>
        <w:tc>
          <w:tcPr>
            <w:tcW w:w="114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bCs/>
                <w:color w:val="auto"/>
                <w:u w:val="none"/>
              </w:rPr>
              <w:t>《地表水环境质量标准》（GB3838-2002）Ⅲ类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5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生态环境</w:t>
            </w:r>
          </w:p>
        </w:tc>
        <w:tc>
          <w:tcPr>
            <w:tcW w:w="543"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项目周边植被</w:t>
            </w:r>
          </w:p>
        </w:tc>
        <w:tc>
          <w:tcPr>
            <w:tcW w:w="4204" w:type="pct"/>
            <w:gridSpan w:val="8"/>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不因管道铺设而影响沿线生态环境质量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95" w:type="pct"/>
            <w:gridSpan w:val="2"/>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湖南不二门国家级森林公园</w:t>
            </w:r>
          </w:p>
        </w:tc>
        <w:tc>
          <w:tcPr>
            <w:tcW w:w="3062" w:type="pct"/>
            <w:gridSpan w:val="7"/>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eastAsia="zh-CN"/>
              </w:rPr>
              <w:t>本项目排水管约</w:t>
            </w:r>
            <w:r>
              <w:rPr>
                <w:rFonts w:hint="eastAsia" w:ascii="Times New Roman" w:hAnsi="Times New Roman" w:cs="Times New Roman"/>
                <w:color w:val="auto"/>
                <w:u w:val="none"/>
                <w:lang w:val="en-US" w:eastAsia="zh-CN"/>
              </w:rPr>
              <w:t>300m位于</w:t>
            </w:r>
            <w:r>
              <w:rPr>
                <w:rFonts w:hint="default" w:ascii="Times New Roman" w:hAnsi="Times New Roman" w:cs="Times New Roman"/>
                <w:color w:val="auto"/>
                <w:u w:val="none"/>
                <w:lang w:val="en-US" w:eastAsia="zh-CN"/>
              </w:rPr>
              <w:t>湖南不二门国家级森林公园官河保育区</w:t>
            </w:r>
          </w:p>
        </w:tc>
        <w:tc>
          <w:tcPr>
            <w:tcW w:w="1142" w:type="pct"/>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国家级森林公园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95" w:type="pct"/>
            <w:gridSpan w:val="2"/>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湖南永顺猛洞河地质公园</w:t>
            </w:r>
          </w:p>
        </w:tc>
        <w:tc>
          <w:tcPr>
            <w:tcW w:w="3062" w:type="pct"/>
            <w:gridSpan w:val="7"/>
            <w:noWrap w:val="0"/>
            <w:vAlign w:val="center"/>
          </w:tcPr>
          <w:p>
            <w:pPr>
              <w:pStyle w:val="73"/>
              <w:rPr>
                <w:rFonts w:hint="default" w:ascii="Times New Roman" w:hAnsi="Times New Roman" w:cs="Times New Roman"/>
                <w:color w:val="auto"/>
                <w:u w:val="none"/>
              </w:rPr>
            </w:pPr>
            <w:r>
              <w:rPr>
                <w:rFonts w:hint="eastAsia" w:ascii="Times New Roman" w:hAnsi="Times New Roman" w:cs="Times New Roman"/>
                <w:color w:val="auto"/>
                <w:u w:val="none"/>
                <w:lang w:eastAsia="zh-CN"/>
              </w:rPr>
              <w:t>本项目排水管约</w:t>
            </w:r>
            <w:r>
              <w:rPr>
                <w:rFonts w:hint="eastAsia" w:ascii="Times New Roman" w:hAnsi="Times New Roman" w:cs="Times New Roman"/>
                <w:color w:val="auto"/>
                <w:u w:val="none"/>
                <w:lang w:val="en-US" w:eastAsia="zh-CN"/>
              </w:rPr>
              <w:t>560m位于湖南永顺猛洞河地质公园地质遗迹三级保护区</w:t>
            </w:r>
          </w:p>
        </w:tc>
        <w:tc>
          <w:tcPr>
            <w:tcW w:w="1142" w:type="pct"/>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省级地质公园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95" w:type="pct"/>
            <w:gridSpan w:val="2"/>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猛洞河国家级风景名胜区</w:t>
            </w:r>
          </w:p>
        </w:tc>
        <w:tc>
          <w:tcPr>
            <w:tcW w:w="3062" w:type="pct"/>
            <w:gridSpan w:val="7"/>
            <w:noWrap w:val="0"/>
            <w:vAlign w:val="center"/>
          </w:tcPr>
          <w:p>
            <w:pPr>
              <w:pStyle w:val="73"/>
              <w:rPr>
                <w:rFonts w:hint="default" w:ascii="Times New Roman" w:hAnsi="Times New Roman" w:cs="Times New Roman"/>
                <w:color w:val="auto"/>
                <w:u w:val="none"/>
              </w:rPr>
            </w:pPr>
            <w:r>
              <w:rPr>
                <w:rFonts w:hint="eastAsia" w:ascii="Times New Roman" w:hAnsi="Times New Roman" w:cs="Times New Roman"/>
                <w:color w:val="auto"/>
                <w:u w:val="none"/>
                <w:lang w:eastAsia="zh-CN"/>
              </w:rPr>
              <w:t>本项目排水管约</w:t>
            </w:r>
            <w:r>
              <w:rPr>
                <w:rFonts w:hint="eastAsia" w:ascii="Times New Roman" w:hAnsi="Times New Roman" w:cs="Times New Roman"/>
                <w:color w:val="auto"/>
                <w:u w:val="none"/>
                <w:lang w:val="en-US" w:eastAsia="zh-CN"/>
              </w:rPr>
              <w:t>150m位于猛洞河国家级风景名胜区外围保护区</w:t>
            </w:r>
          </w:p>
        </w:tc>
        <w:tc>
          <w:tcPr>
            <w:tcW w:w="1142" w:type="pct"/>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国家级风景名胜区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95" w:type="pct"/>
            <w:gridSpan w:val="2"/>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永顺县猛洞河湿地保护区</w:t>
            </w:r>
          </w:p>
        </w:tc>
        <w:tc>
          <w:tcPr>
            <w:tcW w:w="3062" w:type="pct"/>
            <w:gridSpan w:val="7"/>
            <w:noWrap w:val="0"/>
            <w:vAlign w:val="center"/>
          </w:tcPr>
          <w:p>
            <w:pPr>
              <w:pStyle w:val="73"/>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本项目排污口涉及永顺县猛洞河湿地保护区内</w:t>
            </w:r>
          </w:p>
        </w:tc>
        <w:tc>
          <w:tcPr>
            <w:tcW w:w="1142" w:type="pct"/>
            <w:noWrap w:val="0"/>
            <w:vAlign w:val="center"/>
          </w:tcPr>
          <w:p>
            <w:pPr>
              <w:pStyle w:val="73"/>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县级一般湿地</w:t>
            </w:r>
          </w:p>
        </w:tc>
      </w:tr>
    </w:tbl>
    <w:p>
      <w:pPr>
        <w:pStyle w:val="4"/>
        <w:ind w:firstLine="643"/>
        <w:rPr>
          <w:rFonts w:hint="eastAsia"/>
          <w:color w:val="auto"/>
          <w:kern w:val="0"/>
          <w:u w:val="none"/>
        </w:rPr>
        <w:sectPr>
          <w:footerReference r:id="rId16" w:type="default"/>
          <w:pgSz w:w="11850" w:h="16790"/>
          <w:pgMar w:top="1440" w:right="1800" w:bottom="1440" w:left="1800" w:header="720" w:footer="397" w:gutter="0"/>
          <w:pgBorders w:offsetFrom="page">
            <w:top w:val="none" w:sz="0" w:space="0"/>
            <w:left w:val="none" w:sz="0" w:space="0"/>
            <w:bottom w:val="none" w:sz="0" w:space="0"/>
            <w:right w:val="none" w:sz="0" w:space="0"/>
          </w:pgBorders>
          <w:cols w:space="720" w:num="1"/>
          <w:docGrid w:linePitch="326" w:charSpace="0"/>
        </w:sectPr>
      </w:pPr>
    </w:p>
    <w:p>
      <w:pPr>
        <w:pStyle w:val="4"/>
        <w:ind w:firstLine="643"/>
        <w:rPr>
          <w:rFonts w:hint="eastAsia"/>
          <w:color w:val="auto"/>
          <w:kern w:val="0"/>
          <w:u w:val="none"/>
        </w:rPr>
      </w:pPr>
      <w:bookmarkStart w:id="137" w:name="_Toc7065"/>
      <w:r>
        <w:rPr>
          <w:rFonts w:hint="eastAsia"/>
          <w:color w:val="auto"/>
          <w:kern w:val="0"/>
          <w:u w:val="none"/>
        </w:rPr>
        <w:t xml:space="preserve">第2章  </w:t>
      </w:r>
      <w:bookmarkEnd w:id="134"/>
      <w:bookmarkEnd w:id="135"/>
      <w:r>
        <w:rPr>
          <w:rFonts w:hint="eastAsia"/>
          <w:color w:val="auto"/>
          <w:kern w:val="0"/>
          <w:u w:val="none"/>
        </w:rPr>
        <w:t>建设项目工程分析</w:t>
      </w:r>
      <w:bookmarkEnd w:id="137"/>
    </w:p>
    <w:p>
      <w:pPr>
        <w:pStyle w:val="76"/>
        <w:spacing w:before="120" w:after="120"/>
        <w:rPr>
          <w:rFonts w:hint="eastAsia"/>
          <w:color w:val="auto"/>
          <w:kern w:val="0"/>
          <w:u w:val="none"/>
        </w:rPr>
      </w:pPr>
      <w:bookmarkStart w:id="138" w:name="_Toc489350135"/>
      <w:bookmarkStart w:id="139" w:name="_Toc31092"/>
      <w:r>
        <w:rPr>
          <w:rFonts w:hint="eastAsia"/>
          <w:color w:val="auto"/>
          <w:kern w:val="0"/>
          <w:u w:val="none"/>
        </w:rPr>
        <w:t>2.</w:t>
      </w:r>
      <w:r>
        <w:rPr>
          <w:color w:val="auto"/>
          <w:kern w:val="0"/>
          <w:u w:val="none"/>
        </w:rPr>
        <w:t>1</w:t>
      </w:r>
      <w:r>
        <w:rPr>
          <w:rFonts w:hint="eastAsia"/>
          <w:color w:val="auto"/>
          <w:kern w:val="0"/>
          <w:u w:val="none"/>
        </w:rPr>
        <w:t xml:space="preserve"> 建设项目概况</w:t>
      </w:r>
      <w:bookmarkEnd w:id="138"/>
      <w:bookmarkEnd w:id="139"/>
    </w:p>
    <w:p>
      <w:pPr>
        <w:pStyle w:val="6"/>
        <w:bidi w:val="0"/>
        <w:rPr>
          <w:rFonts w:hint="eastAsia"/>
        </w:rPr>
      </w:pPr>
      <w:bookmarkStart w:id="140" w:name="_Toc489350136"/>
      <w:bookmarkStart w:id="141" w:name="_Toc489349976"/>
      <w:bookmarkStart w:id="142" w:name="_Toc489350237"/>
      <w:r>
        <w:rPr>
          <w:rFonts w:hint="eastAsia"/>
        </w:rPr>
        <w:t>2.</w:t>
      </w:r>
      <w:r>
        <w:t>1</w:t>
      </w:r>
      <w:r>
        <w:rPr>
          <w:rFonts w:hint="eastAsia"/>
        </w:rPr>
        <w:t>.1 基本情况简介</w:t>
      </w:r>
      <w:bookmarkEnd w:id="140"/>
      <w:bookmarkEnd w:id="141"/>
      <w:bookmarkEnd w:id="142"/>
    </w:p>
    <w:p>
      <w:pPr>
        <w:ind w:firstLine="480"/>
        <w:rPr>
          <w:rFonts w:hint="eastAsia" w:eastAsia="宋体"/>
          <w:color w:val="auto"/>
          <w:kern w:val="0"/>
          <w:u w:val="none"/>
          <w:lang w:eastAsia="zh-CN"/>
        </w:rPr>
      </w:pPr>
      <w:r>
        <w:rPr>
          <w:rFonts w:hint="eastAsia"/>
          <w:color w:val="auto"/>
          <w:kern w:val="0"/>
          <w:u w:val="none"/>
        </w:rPr>
        <w:t>（1）项目名称：</w:t>
      </w:r>
      <w:r>
        <w:rPr>
          <w:rFonts w:hint="eastAsia"/>
          <w:color w:val="auto"/>
          <w:kern w:val="0"/>
          <w:u w:val="none"/>
          <w:lang w:eastAsia="zh-CN"/>
        </w:rPr>
        <w:t>湖南永顺经济开发区猛洞河产业园污水处理厂建设项目</w:t>
      </w:r>
    </w:p>
    <w:p>
      <w:pPr>
        <w:ind w:firstLine="480"/>
        <w:rPr>
          <w:rFonts w:hint="default"/>
          <w:color w:val="auto"/>
          <w:kern w:val="0"/>
          <w:szCs w:val="21"/>
          <w:u w:val="none"/>
          <w:lang w:val="en-US"/>
        </w:rPr>
      </w:pPr>
      <w:r>
        <w:rPr>
          <w:rFonts w:hint="eastAsia"/>
          <w:color w:val="auto"/>
          <w:kern w:val="0"/>
          <w:u w:val="none"/>
        </w:rPr>
        <w:t>（2）项目所在地：</w:t>
      </w:r>
      <w:r>
        <w:rPr>
          <w:rFonts w:hint="eastAsia"/>
          <w:color w:val="auto"/>
          <w:kern w:val="0"/>
          <w:u w:val="single"/>
        </w:rPr>
        <w:t>湘西州永顺县灵溪镇岔那村（猛洞河产业园内）</w:t>
      </w:r>
    </w:p>
    <w:p>
      <w:pPr>
        <w:ind w:firstLine="480"/>
        <w:rPr>
          <w:rFonts w:hint="eastAsia" w:eastAsia="宋体"/>
          <w:color w:val="auto"/>
          <w:kern w:val="0"/>
          <w:u w:val="none"/>
          <w:lang w:eastAsia="zh-CN"/>
        </w:rPr>
      </w:pPr>
      <w:r>
        <w:rPr>
          <w:rFonts w:hint="eastAsia"/>
          <w:color w:val="auto"/>
          <w:kern w:val="0"/>
          <w:u w:val="none"/>
        </w:rPr>
        <w:t>（3）建设单位：</w:t>
      </w:r>
      <w:r>
        <w:rPr>
          <w:rFonts w:hint="eastAsia"/>
          <w:color w:val="auto"/>
          <w:kern w:val="0"/>
          <w:u w:val="none"/>
          <w:lang w:eastAsia="zh-CN"/>
        </w:rPr>
        <w:t>湘西猛洞河旅游生态开发区建设有限责任公司</w:t>
      </w:r>
    </w:p>
    <w:p>
      <w:pPr>
        <w:ind w:firstLine="480"/>
        <w:rPr>
          <w:rFonts w:hint="eastAsia"/>
          <w:color w:val="auto"/>
          <w:kern w:val="0"/>
          <w:u w:val="none"/>
        </w:rPr>
      </w:pPr>
      <w:r>
        <w:rPr>
          <w:rFonts w:hint="eastAsia"/>
          <w:color w:val="auto"/>
          <w:kern w:val="0"/>
          <w:u w:val="none"/>
        </w:rPr>
        <w:t>（4）建设性质：新建</w:t>
      </w:r>
    </w:p>
    <w:p>
      <w:pPr>
        <w:ind w:firstLine="480"/>
        <w:rPr>
          <w:color w:val="auto"/>
          <w:kern w:val="0"/>
          <w:u w:val="none"/>
        </w:rPr>
      </w:pPr>
      <w:r>
        <w:rPr>
          <w:rFonts w:hint="eastAsia"/>
          <w:color w:val="auto"/>
          <w:kern w:val="0"/>
          <w:u w:val="none"/>
        </w:rPr>
        <w:t>（5）总投资：</w:t>
      </w:r>
      <w:r>
        <w:rPr>
          <w:rFonts w:hint="eastAsia"/>
          <w:color w:val="auto"/>
          <w:kern w:val="0"/>
          <w:u w:val="none"/>
          <w:lang w:val="en-US" w:eastAsia="zh-CN"/>
        </w:rPr>
        <w:t>估算投资1000</w:t>
      </w:r>
      <w:r>
        <w:rPr>
          <w:rFonts w:hint="eastAsia"/>
          <w:color w:val="auto"/>
          <w:kern w:val="0"/>
          <w:u w:val="none"/>
        </w:rPr>
        <w:t>万元</w:t>
      </w:r>
    </w:p>
    <w:p>
      <w:pPr>
        <w:ind w:firstLine="480"/>
        <w:rPr>
          <w:rFonts w:hint="eastAsia"/>
          <w:color w:val="auto"/>
          <w:kern w:val="0"/>
          <w:u w:val="none"/>
        </w:rPr>
      </w:pPr>
      <w:r>
        <w:rPr>
          <w:rFonts w:hint="eastAsia"/>
          <w:color w:val="auto"/>
          <w:kern w:val="0"/>
          <w:u w:val="none"/>
        </w:rPr>
        <w:t>（6）征地面积：</w:t>
      </w:r>
      <w:r>
        <w:rPr>
          <w:rFonts w:hint="eastAsia"/>
          <w:color w:val="auto"/>
          <w:kern w:val="0"/>
          <w:u w:val="none"/>
          <w:lang w:val="en-US" w:eastAsia="zh-CN"/>
        </w:rPr>
        <w:t>816.48</w:t>
      </w:r>
      <w:r>
        <w:rPr>
          <w:color w:val="auto"/>
          <w:kern w:val="0"/>
          <w:u w:val="none"/>
        </w:rPr>
        <w:t>m</w:t>
      </w:r>
      <w:r>
        <w:rPr>
          <w:rFonts w:hint="eastAsia"/>
          <w:color w:val="auto"/>
          <w:kern w:val="0"/>
          <w:u w:val="none"/>
          <w:vertAlign w:val="superscript"/>
        </w:rPr>
        <w:t>2</w:t>
      </w:r>
      <w:r>
        <w:rPr>
          <w:rFonts w:hint="eastAsia"/>
          <w:color w:val="auto"/>
          <w:kern w:val="0"/>
          <w:u w:val="none"/>
        </w:rPr>
        <w:t xml:space="preserve"> </w:t>
      </w:r>
    </w:p>
    <w:p>
      <w:pPr>
        <w:ind w:firstLine="480"/>
        <w:rPr>
          <w:rFonts w:hint="default" w:eastAsia="宋体"/>
          <w:color w:val="auto"/>
          <w:kern w:val="0"/>
          <w:u w:val="single"/>
          <w:lang w:val="en-US" w:eastAsia="zh-CN"/>
        </w:rPr>
      </w:pPr>
      <w:r>
        <w:rPr>
          <w:rFonts w:hint="eastAsia"/>
          <w:color w:val="auto"/>
          <w:kern w:val="0"/>
          <w:u w:val="single"/>
        </w:rPr>
        <w:t>（7）建设工期：工程分两期，一期工程</w:t>
      </w:r>
      <w:r>
        <w:rPr>
          <w:rFonts w:hint="eastAsia"/>
          <w:color w:val="auto"/>
          <w:kern w:val="0"/>
          <w:u w:val="single"/>
          <w:lang w:val="en-US" w:eastAsia="zh-CN"/>
        </w:rPr>
        <w:t>6</w:t>
      </w:r>
      <w:r>
        <w:rPr>
          <w:rFonts w:hint="eastAsia"/>
          <w:color w:val="auto"/>
          <w:kern w:val="0"/>
          <w:u w:val="single"/>
        </w:rPr>
        <w:t>个月、二期工程</w:t>
      </w:r>
      <w:r>
        <w:rPr>
          <w:rFonts w:hint="eastAsia"/>
          <w:color w:val="auto"/>
          <w:kern w:val="0"/>
          <w:u w:val="single"/>
          <w:lang w:val="en-US" w:eastAsia="zh-CN"/>
        </w:rPr>
        <w:t>1</w:t>
      </w:r>
      <w:r>
        <w:rPr>
          <w:rFonts w:hint="eastAsia"/>
          <w:color w:val="auto"/>
          <w:kern w:val="0"/>
          <w:u w:val="single"/>
        </w:rPr>
        <w:t>个月</w:t>
      </w:r>
    </w:p>
    <w:p>
      <w:pPr>
        <w:ind w:firstLine="480"/>
        <w:rPr>
          <w:color w:val="auto"/>
          <w:kern w:val="0"/>
          <w:szCs w:val="21"/>
          <w:u w:val="single"/>
        </w:rPr>
      </w:pPr>
      <w:r>
        <w:rPr>
          <w:rFonts w:hint="eastAsia"/>
          <w:color w:val="auto"/>
          <w:kern w:val="0"/>
          <w:u w:val="single"/>
        </w:rPr>
        <w:t>（8）劳动定员：</w:t>
      </w:r>
      <w:r>
        <w:rPr>
          <w:rFonts w:hint="eastAsia"/>
          <w:color w:val="auto"/>
          <w:kern w:val="0"/>
          <w:u w:val="single"/>
          <w:lang w:eastAsia="zh-CN"/>
        </w:rPr>
        <w:t>一期</w:t>
      </w:r>
      <w:r>
        <w:rPr>
          <w:rFonts w:hint="eastAsia"/>
          <w:color w:val="auto"/>
          <w:kern w:val="0"/>
          <w:u w:val="single"/>
        </w:rPr>
        <w:t>劳动定员为</w:t>
      </w:r>
      <w:r>
        <w:rPr>
          <w:rFonts w:hint="eastAsia"/>
          <w:color w:val="auto"/>
          <w:kern w:val="0"/>
          <w:u w:val="single"/>
          <w:lang w:val="en-US" w:eastAsia="zh-CN"/>
        </w:rPr>
        <w:t>5</w:t>
      </w:r>
      <w:r>
        <w:rPr>
          <w:rFonts w:hint="eastAsia"/>
          <w:color w:val="auto"/>
          <w:kern w:val="0"/>
          <w:u w:val="single"/>
        </w:rPr>
        <w:t>人，</w:t>
      </w:r>
      <w:r>
        <w:rPr>
          <w:rFonts w:hint="eastAsia"/>
          <w:color w:val="auto"/>
          <w:kern w:val="0"/>
          <w:u w:val="single"/>
          <w:lang w:eastAsia="zh-CN"/>
        </w:rPr>
        <w:t>二期不新增工作人员</w:t>
      </w:r>
    </w:p>
    <w:p>
      <w:pPr>
        <w:ind w:firstLine="480"/>
        <w:jc w:val="both"/>
        <w:rPr>
          <w:color w:val="auto"/>
          <w:kern w:val="0"/>
          <w:u w:val="none"/>
        </w:rPr>
      </w:pPr>
      <w:r>
        <w:rPr>
          <w:rFonts w:hint="eastAsia"/>
          <w:color w:val="auto"/>
          <w:kern w:val="0"/>
          <w:u w:val="single"/>
        </w:rPr>
        <w:t>（9）项目情况：</w:t>
      </w:r>
      <w:r>
        <w:rPr>
          <w:rFonts w:hint="eastAsia"/>
          <w:color w:val="auto"/>
          <w:kern w:val="0"/>
          <w:u w:val="single"/>
          <w:lang w:eastAsia="zh-CN"/>
        </w:rPr>
        <w:t>湖南永顺经济开发区猛洞河产业园污水处理厂建设项目</w:t>
      </w:r>
      <w:r>
        <w:rPr>
          <w:rFonts w:hint="eastAsia"/>
          <w:color w:val="auto"/>
          <w:kern w:val="0"/>
          <w:u w:val="single"/>
        </w:rPr>
        <w:t>建设内容包括污水处理厂建设、</w:t>
      </w:r>
      <w:r>
        <w:rPr>
          <w:rFonts w:hint="eastAsia"/>
          <w:color w:val="auto"/>
          <w:kern w:val="0"/>
          <w:u w:val="single"/>
          <w:lang w:eastAsia="zh-CN"/>
        </w:rPr>
        <w:t>配套管网建设</w:t>
      </w:r>
      <w:r>
        <w:rPr>
          <w:rFonts w:hint="eastAsia"/>
          <w:color w:val="auto"/>
          <w:kern w:val="0"/>
          <w:u w:val="single"/>
        </w:rPr>
        <w:t>，主要用于接收</w:t>
      </w:r>
      <w:r>
        <w:rPr>
          <w:rFonts w:hint="eastAsia"/>
          <w:color w:val="auto"/>
          <w:kern w:val="0"/>
          <w:u w:val="single"/>
          <w:lang w:eastAsia="zh-CN"/>
        </w:rPr>
        <w:t>猛洞河产业园内的企事业污水</w:t>
      </w:r>
      <w:r>
        <w:rPr>
          <w:rFonts w:hint="eastAsia"/>
          <w:color w:val="auto"/>
          <w:kern w:val="0"/>
          <w:u w:val="single"/>
        </w:rPr>
        <w:t>，</w:t>
      </w:r>
      <w:r>
        <w:rPr>
          <w:rFonts w:hint="eastAsia"/>
          <w:kern w:val="0"/>
          <w:u w:val="single"/>
        </w:rPr>
        <w:t>一期</w:t>
      </w:r>
      <w:r>
        <w:rPr>
          <w:rFonts w:hint="eastAsia"/>
          <w:kern w:val="0"/>
          <w:u w:val="single"/>
          <w:lang w:eastAsia="zh-CN"/>
        </w:rPr>
        <w:t>工程</w:t>
      </w:r>
      <w:r>
        <w:rPr>
          <w:rFonts w:hint="eastAsia"/>
          <w:kern w:val="0"/>
          <w:u w:val="single"/>
        </w:rPr>
        <w:t>规模为</w:t>
      </w:r>
      <w:r>
        <w:rPr>
          <w:rFonts w:hint="eastAsia"/>
          <w:kern w:val="0"/>
          <w:u w:val="single"/>
          <w:lang w:val="en-US" w:eastAsia="zh-CN"/>
        </w:rPr>
        <w:t>400</w:t>
      </w:r>
      <w:r>
        <w:rPr>
          <w:rFonts w:hint="eastAsia"/>
          <w:kern w:val="0"/>
          <w:u w:val="single"/>
        </w:rPr>
        <w:t>m</w:t>
      </w:r>
      <w:r>
        <w:rPr>
          <w:rFonts w:hint="eastAsia"/>
          <w:kern w:val="0"/>
          <w:u w:val="single"/>
          <w:vertAlign w:val="superscript"/>
        </w:rPr>
        <w:t>3</w:t>
      </w:r>
      <w:r>
        <w:rPr>
          <w:rFonts w:hint="eastAsia"/>
          <w:kern w:val="0"/>
          <w:u w:val="single"/>
        </w:rPr>
        <w:t>/d，</w:t>
      </w:r>
      <w:r>
        <w:rPr>
          <w:rFonts w:hint="eastAsia"/>
          <w:kern w:val="0"/>
          <w:u w:val="single"/>
          <w:lang w:eastAsia="zh-CN"/>
        </w:rPr>
        <w:t>建设内容包括</w:t>
      </w:r>
      <w:r>
        <w:rPr>
          <w:color w:val="auto"/>
          <w:spacing w:val="-8"/>
          <w:u w:val="single"/>
        </w:rPr>
        <w:t>格栅</w:t>
      </w:r>
      <w:r>
        <w:rPr>
          <w:rFonts w:hint="eastAsia"/>
          <w:color w:val="auto"/>
          <w:spacing w:val="-8"/>
          <w:u w:val="single"/>
          <w:lang w:eastAsia="zh-CN"/>
        </w:rPr>
        <w:t>渠</w:t>
      </w:r>
      <w:r>
        <w:rPr>
          <w:color w:val="auto"/>
          <w:spacing w:val="-8"/>
          <w:u w:val="single"/>
        </w:rPr>
        <w:t>、沉砂池、调节池</w:t>
      </w:r>
      <w:r>
        <w:rPr>
          <w:rFonts w:hint="eastAsia"/>
          <w:color w:val="auto"/>
          <w:spacing w:val="-8"/>
          <w:u w:val="single"/>
          <w:lang w:eastAsia="zh-CN"/>
        </w:rPr>
        <w:t>、</w:t>
      </w:r>
      <w:r>
        <w:rPr>
          <w:rFonts w:hint="eastAsia" w:ascii="宋体" w:hAnsi="宋体"/>
          <w:color w:val="auto"/>
          <w:kern w:val="0"/>
          <w:u w:val="single"/>
          <w:lang w:eastAsia="zh-CN"/>
        </w:rPr>
        <w:t>一体化</w:t>
      </w:r>
      <w:r>
        <w:rPr>
          <w:rFonts w:hint="default" w:ascii="Times New Roman" w:hAnsi="Times New Roman" w:cs="Times New Roman"/>
          <w:color w:val="auto"/>
          <w:kern w:val="0"/>
          <w:u w:val="single"/>
          <w:lang w:eastAsia="zh-CN"/>
        </w:rPr>
        <w:t>MBR污水处理装置</w:t>
      </w:r>
      <w:r>
        <w:rPr>
          <w:rFonts w:hint="default" w:ascii="Times New Roman" w:hAnsi="Times New Roman" w:cs="Times New Roman"/>
          <w:color w:val="auto"/>
          <w:spacing w:val="-8"/>
          <w:u w:val="single"/>
        </w:rPr>
        <w:t>、</w:t>
      </w:r>
      <w:r>
        <w:rPr>
          <w:rFonts w:hint="default" w:ascii="Times New Roman" w:hAnsi="Times New Roman" w:cs="Times New Roman"/>
          <w:color w:val="auto"/>
          <w:u w:val="single"/>
        </w:rPr>
        <w:t>膜离线清洗池</w:t>
      </w:r>
      <w:r>
        <w:rPr>
          <w:rFonts w:hint="default" w:ascii="Times New Roman" w:hAnsi="Times New Roman" w:cs="Times New Roman"/>
          <w:color w:val="auto"/>
          <w:u w:val="single"/>
          <w:lang w:eastAsia="zh-CN"/>
        </w:rPr>
        <w:t>、</w:t>
      </w:r>
      <w:r>
        <w:rPr>
          <w:rFonts w:hint="default" w:ascii="Times New Roman" w:hAnsi="Times New Roman" w:cs="Times New Roman"/>
          <w:color w:val="auto"/>
          <w:spacing w:val="-8"/>
          <w:u w:val="single"/>
          <w:lang w:eastAsia="zh-CN"/>
        </w:rPr>
        <w:t>清水池</w:t>
      </w:r>
      <w:r>
        <w:rPr>
          <w:rFonts w:hint="default" w:ascii="Times New Roman" w:hAnsi="Times New Roman" w:cs="Times New Roman"/>
          <w:color w:val="auto"/>
          <w:spacing w:val="-8"/>
          <w:u w:val="single"/>
        </w:rPr>
        <w:t>、</w:t>
      </w:r>
      <w:r>
        <w:rPr>
          <w:rFonts w:hint="default" w:ascii="Times New Roman" w:hAnsi="Times New Roman" w:cs="Times New Roman"/>
          <w:color w:val="auto"/>
          <w:spacing w:val="-8"/>
          <w:u w:val="single"/>
          <w:lang w:eastAsia="zh-CN"/>
        </w:rPr>
        <w:t>污泥池、加药间、污泥脱水间、配电间</w:t>
      </w:r>
      <w:r>
        <w:rPr>
          <w:rFonts w:hint="eastAsia" w:ascii="Times New Roman" w:hAnsi="Times New Roman" w:cs="Times New Roman"/>
          <w:color w:val="auto"/>
          <w:spacing w:val="-8"/>
          <w:u w:val="single"/>
          <w:lang w:eastAsia="zh-CN"/>
        </w:rPr>
        <w:t>、</w:t>
      </w:r>
      <w:r>
        <w:rPr>
          <w:rFonts w:hint="default" w:ascii="Times New Roman" w:hAnsi="Times New Roman" w:cs="Times New Roman"/>
          <w:kern w:val="0"/>
          <w:u w:val="single"/>
        </w:rPr>
        <w:t>污水收集管网长度</w:t>
      </w:r>
      <w:r>
        <w:rPr>
          <w:rFonts w:hint="default" w:ascii="Times New Roman" w:hAnsi="Times New Roman" w:cs="Times New Roman"/>
          <w:kern w:val="0"/>
          <w:u w:val="single"/>
          <w:lang w:val="en-US" w:eastAsia="zh-CN"/>
        </w:rPr>
        <w:t>1500</w:t>
      </w:r>
      <w:r>
        <w:rPr>
          <w:rFonts w:hint="default" w:ascii="Times New Roman" w:hAnsi="Times New Roman" w:cs="Times New Roman"/>
          <w:kern w:val="0"/>
          <w:u w:val="single"/>
        </w:rPr>
        <w:t>m</w:t>
      </w:r>
      <w:r>
        <w:rPr>
          <w:rFonts w:hint="eastAsia" w:ascii="Times New Roman" w:hAnsi="Times New Roman" w:cs="Times New Roman"/>
          <w:kern w:val="0"/>
          <w:u w:val="single"/>
          <w:lang w:eastAsia="zh-CN"/>
        </w:rPr>
        <w:t>、</w:t>
      </w:r>
      <w:r>
        <w:rPr>
          <w:rFonts w:hint="eastAsia"/>
          <w:color w:val="auto"/>
          <w:kern w:val="0"/>
          <w:u w:val="single"/>
        </w:rPr>
        <w:t>污水排放管网长度</w:t>
      </w:r>
      <w:r>
        <w:rPr>
          <w:rFonts w:hint="eastAsia"/>
          <w:color w:val="auto"/>
          <w:kern w:val="0"/>
          <w:u w:val="single"/>
          <w:lang w:val="en-US" w:eastAsia="zh-CN"/>
        </w:rPr>
        <w:t>2050</w:t>
      </w:r>
      <w:r>
        <w:rPr>
          <w:rFonts w:hint="eastAsia"/>
          <w:color w:val="auto"/>
          <w:kern w:val="0"/>
          <w:u w:val="single"/>
        </w:rPr>
        <w:t>m</w:t>
      </w:r>
      <w:r>
        <w:rPr>
          <w:rFonts w:hint="eastAsia"/>
          <w:color w:val="auto"/>
          <w:kern w:val="0"/>
          <w:u w:val="single"/>
          <w:lang w:eastAsia="zh-CN"/>
        </w:rPr>
        <w:t>。</w:t>
      </w:r>
      <w:r>
        <w:rPr>
          <w:rFonts w:hint="eastAsia"/>
          <w:kern w:val="0"/>
          <w:u w:val="single"/>
          <w:lang w:eastAsia="zh-CN"/>
        </w:rPr>
        <w:t>二期工程仅增加</w:t>
      </w:r>
      <w:r>
        <w:rPr>
          <w:rFonts w:hint="eastAsia"/>
          <w:kern w:val="0"/>
          <w:u w:val="single"/>
          <w:lang w:val="en-US" w:eastAsia="zh-CN"/>
        </w:rPr>
        <w:t>3套</w:t>
      </w:r>
      <w:r>
        <w:rPr>
          <w:rFonts w:hint="eastAsia" w:ascii="宋体" w:hAnsi="宋体"/>
          <w:color w:val="auto"/>
          <w:kern w:val="0"/>
          <w:u w:val="single"/>
          <w:lang w:eastAsia="zh-CN"/>
        </w:rPr>
        <w:t>一体化</w:t>
      </w:r>
      <w:r>
        <w:rPr>
          <w:rFonts w:hint="default" w:ascii="Times New Roman" w:hAnsi="Times New Roman" w:cs="Times New Roman"/>
          <w:color w:val="auto"/>
          <w:kern w:val="0"/>
          <w:u w:val="single"/>
          <w:lang w:eastAsia="zh-CN"/>
        </w:rPr>
        <w:t>MBR污水处理装置</w:t>
      </w:r>
      <w:r>
        <w:rPr>
          <w:rFonts w:hint="eastAsia" w:ascii="Times New Roman" w:hAnsi="Times New Roman" w:cs="Times New Roman"/>
          <w:color w:val="auto"/>
          <w:kern w:val="0"/>
          <w:u w:val="single"/>
          <w:lang w:eastAsia="zh-CN"/>
        </w:rPr>
        <w:t>（处理能力</w:t>
      </w:r>
      <w:r>
        <w:rPr>
          <w:rFonts w:hint="eastAsia" w:ascii="Times New Roman" w:hAnsi="Times New Roman" w:cs="Times New Roman"/>
          <w:color w:val="auto"/>
          <w:kern w:val="0"/>
          <w:u w:val="single"/>
          <w:lang w:val="en-US" w:eastAsia="zh-CN"/>
        </w:rPr>
        <w:t>200</w:t>
      </w:r>
      <w:r>
        <w:rPr>
          <w:rFonts w:hint="eastAsia"/>
          <w:kern w:val="0"/>
          <w:u w:val="single"/>
        </w:rPr>
        <w:t>m</w:t>
      </w:r>
      <w:r>
        <w:rPr>
          <w:rFonts w:hint="eastAsia"/>
          <w:kern w:val="0"/>
          <w:u w:val="single"/>
          <w:vertAlign w:val="superscript"/>
        </w:rPr>
        <w:t>3</w:t>
      </w:r>
      <w:r>
        <w:rPr>
          <w:rFonts w:hint="eastAsia"/>
          <w:kern w:val="0"/>
          <w:u w:val="single"/>
        </w:rPr>
        <w:t>/d</w:t>
      </w:r>
      <w:r>
        <w:rPr>
          <w:rFonts w:hint="eastAsia" w:ascii="Times New Roman" w:hAnsi="Times New Roman" w:cs="Times New Roman"/>
          <w:color w:val="auto"/>
          <w:kern w:val="0"/>
          <w:u w:val="single"/>
          <w:lang w:eastAsia="zh-CN"/>
        </w:rPr>
        <w:t>），增加后总处理规模为</w:t>
      </w:r>
      <w:r>
        <w:rPr>
          <w:rFonts w:hint="eastAsia" w:ascii="Times New Roman" w:hAnsi="Times New Roman" w:cs="Times New Roman"/>
          <w:color w:val="auto"/>
          <w:kern w:val="0"/>
          <w:u w:val="single"/>
          <w:lang w:val="en-US" w:eastAsia="zh-CN"/>
        </w:rPr>
        <w:t>1000</w:t>
      </w:r>
      <w:r>
        <w:rPr>
          <w:rFonts w:hint="eastAsia"/>
          <w:color w:val="auto"/>
          <w:kern w:val="0"/>
          <w:u w:val="single"/>
        </w:rPr>
        <w:t>m</w:t>
      </w:r>
      <w:r>
        <w:rPr>
          <w:rFonts w:hint="eastAsia"/>
          <w:color w:val="auto"/>
          <w:kern w:val="0"/>
          <w:u w:val="single"/>
          <w:vertAlign w:val="superscript"/>
        </w:rPr>
        <w:t>3</w:t>
      </w:r>
      <w:r>
        <w:rPr>
          <w:rFonts w:hint="eastAsia"/>
          <w:color w:val="auto"/>
          <w:kern w:val="0"/>
          <w:u w:val="single"/>
        </w:rPr>
        <w:t>/d。</w:t>
      </w:r>
      <w:r>
        <w:rPr>
          <w:color w:val="auto"/>
          <w:kern w:val="0"/>
          <w:szCs w:val="21"/>
          <w:u w:val="single"/>
        </w:rPr>
        <w:t>本</w:t>
      </w:r>
      <w:r>
        <w:rPr>
          <w:rFonts w:hint="eastAsia"/>
          <w:color w:val="auto"/>
          <w:kern w:val="0"/>
          <w:szCs w:val="21"/>
          <w:u w:val="single"/>
        </w:rPr>
        <w:t>工程</w:t>
      </w:r>
      <w:r>
        <w:rPr>
          <w:color w:val="auto"/>
          <w:kern w:val="0"/>
          <w:szCs w:val="21"/>
          <w:u w:val="single"/>
        </w:rPr>
        <w:t>污水处理厂厂区总</w:t>
      </w:r>
      <w:r>
        <w:rPr>
          <w:rFonts w:hint="eastAsia"/>
          <w:color w:val="auto"/>
          <w:kern w:val="0"/>
          <w:szCs w:val="21"/>
          <w:u w:val="single"/>
        </w:rPr>
        <w:t>征地</w:t>
      </w:r>
      <w:r>
        <w:rPr>
          <w:color w:val="auto"/>
          <w:kern w:val="0"/>
          <w:szCs w:val="21"/>
          <w:u w:val="single"/>
        </w:rPr>
        <w:t>面积</w:t>
      </w:r>
      <w:r>
        <w:rPr>
          <w:rFonts w:hint="eastAsia"/>
          <w:color w:val="auto"/>
          <w:kern w:val="0"/>
          <w:u w:val="single"/>
          <w:lang w:val="en-US" w:eastAsia="zh-CN"/>
        </w:rPr>
        <w:t>816.48</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szCs w:val="21"/>
          <w:u w:val="single"/>
        </w:rPr>
        <w:t>，</w:t>
      </w:r>
      <w:r>
        <w:rPr>
          <w:rFonts w:hint="eastAsia"/>
          <w:color w:val="auto"/>
          <w:kern w:val="0"/>
          <w:szCs w:val="21"/>
          <w:u w:val="single"/>
          <w:lang w:eastAsia="zh-CN"/>
        </w:rPr>
        <w:t>总建筑占地</w:t>
      </w:r>
      <w:r>
        <w:rPr>
          <w:rFonts w:hint="eastAsia"/>
          <w:color w:val="auto"/>
          <w:kern w:val="0"/>
          <w:szCs w:val="21"/>
          <w:u w:val="single"/>
        </w:rPr>
        <w:t>面积</w:t>
      </w:r>
      <w:r>
        <w:rPr>
          <w:rFonts w:hint="eastAsia"/>
          <w:color w:val="auto"/>
          <w:kern w:val="0"/>
          <w:u w:val="single"/>
          <w:lang w:val="en-US" w:eastAsia="zh-CN"/>
        </w:rPr>
        <w:t>570.56</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szCs w:val="21"/>
          <w:u w:val="single"/>
        </w:rPr>
        <w:t>，</w:t>
      </w:r>
      <w:r>
        <w:rPr>
          <w:rFonts w:hint="eastAsia"/>
          <w:color w:val="auto"/>
          <w:kern w:val="0"/>
          <w:szCs w:val="21"/>
          <w:u w:val="single"/>
          <w:lang w:eastAsia="zh-CN"/>
        </w:rPr>
        <w:t>操作间占地</w:t>
      </w:r>
      <w:r>
        <w:rPr>
          <w:rFonts w:hint="eastAsia"/>
          <w:color w:val="auto"/>
          <w:kern w:val="0"/>
          <w:szCs w:val="21"/>
          <w:u w:val="single"/>
        </w:rPr>
        <w:t>面积</w:t>
      </w:r>
      <w:r>
        <w:rPr>
          <w:rFonts w:hint="eastAsia"/>
          <w:color w:val="auto"/>
          <w:kern w:val="0"/>
          <w:szCs w:val="21"/>
          <w:u w:val="single"/>
          <w:lang w:val="en-US" w:eastAsia="zh-CN"/>
        </w:rPr>
        <w:t>54.60</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u w:val="single"/>
        </w:rPr>
        <w:t>。</w:t>
      </w:r>
    </w:p>
    <w:p>
      <w:pPr>
        <w:pStyle w:val="6"/>
        <w:bidi w:val="0"/>
        <w:rPr>
          <w:rFonts w:hint="eastAsia"/>
        </w:rPr>
      </w:pPr>
      <w:bookmarkStart w:id="143" w:name="_Toc489350238"/>
      <w:bookmarkStart w:id="144" w:name="_Toc489350137"/>
      <w:bookmarkStart w:id="145" w:name="_Toc489349977"/>
      <w:r>
        <w:rPr>
          <w:rFonts w:hint="eastAsia"/>
        </w:rPr>
        <w:t>2.</w:t>
      </w:r>
      <w:r>
        <w:t>1</w:t>
      </w:r>
      <w:r>
        <w:rPr>
          <w:rFonts w:hint="eastAsia"/>
        </w:rPr>
        <w:t>.2 主要工程建设内容</w:t>
      </w:r>
      <w:bookmarkEnd w:id="143"/>
      <w:bookmarkEnd w:id="144"/>
      <w:bookmarkEnd w:id="145"/>
    </w:p>
    <w:p>
      <w:pPr>
        <w:ind w:firstLine="480"/>
        <w:jc w:val="both"/>
        <w:rPr>
          <w:color w:val="auto"/>
          <w:kern w:val="0"/>
          <w:szCs w:val="21"/>
          <w:u w:val="single"/>
        </w:rPr>
      </w:pPr>
      <w:bookmarkStart w:id="146" w:name="_Hlk40695101"/>
      <w:r>
        <w:rPr>
          <w:color w:val="auto"/>
          <w:kern w:val="0"/>
          <w:szCs w:val="21"/>
          <w:u w:val="single"/>
        </w:rPr>
        <w:t>本工程建（构）筑物</w:t>
      </w:r>
      <w:r>
        <w:rPr>
          <w:color w:val="auto"/>
          <w:kern w:val="0"/>
          <w:u w:val="single"/>
        </w:rPr>
        <w:t>新建单体有</w:t>
      </w:r>
      <w:r>
        <w:rPr>
          <w:color w:val="auto"/>
          <w:spacing w:val="-8"/>
          <w:u w:val="single"/>
        </w:rPr>
        <w:t>格栅</w:t>
      </w:r>
      <w:r>
        <w:rPr>
          <w:rFonts w:hint="eastAsia"/>
          <w:color w:val="auto"/>
          <w:spacing w:val="-8"/>
          <w:u w:val="single"/>
          <w:lang w:eastAsia="zh-CN"/>
        </w:rPr>
        <w:t>渠</w:t>
      </w:r>
      <w:r>
        <w:rPr>
          <w:color w:val="auto"/>
          <w:spacing w:val="-8"/>
          <w:u w:val="single"/>
        </w:rPr>
        <w:t>、沉砂池、调节池</w:t>
      </w:r>
      <w:r>
        <w:rPr>
          <w:rFonts w:hint="eastAsia"/>
          <w:color w:val="auto"/>
          <w:spacing w:val="-8"/>
          <w:u w:val="single"/>
          <w:lang w:eastAsia="zh-CN"/>
        </w:rPr>
        <w:t>、</w:t>
      </w:r>
      <w:r>
        <w:rPr>
          <w:rFonts w:hint="eastAsia" w:ascii="宋体" w:hAnsi="宋体"/>
          <w:color w:val="auto"/>
          <w:kern w:val="0"/>
          <w:u w:val="single"/>
          <w:lang w:eastAsia="zh-CN"/>
        </w:rPr>
        <w:t>一体化MBR污水处理装置</w:t>
      </w:r>
      <w:r>
        <w:rPr>
          <w:color w:val="auto"/>
          <w:spacing w:val="-8"/>
          <w:u w:val="single"/>
        </w:rPr>
        <w:t>、</w:t>
      </w:r>
      <w:r>
        <w:rPr>
          <w:rFonts w:hint="eastAsia"/>
          <w:color w:val="auto"/>
          <w:u w:val="single"/>
        </w:rPr>
        <w:t>膜离线清洗池</w:t>
      </w:r>
      <w:r>
        <w:rPr>
          <w:rFonts w:hint="eastAsia"/>
          <w:color w:val="auto"/>
          <w:u w:val="single"/>
          <w:lang w:eastAsia="zh-CN"/>
        </w:rPr>
        <w:t>、</w:t>
      </w:r>
      <w:r>
        <w:rPr>
          <w:rFonts w:hint="eastAsia"/>
          <w:color w:val="auto"/>
          <w:spacing w:val="-8"/>
          <w:u w:val="single"/>
          <w:lang w:eastAsia="zh-CN"/>
        </w:rPr>
        <w:t>清水池</w:t>
      </w:r>
      <w:r>
        <w:rPr>
          <w:color w:val="auto"/>
          <w:spacing w:val="-8"/>
          <w:u w:val="single"/>
        </w:rPr>
        <w:t>、</w:t>
      </w:r>
      <w:r>
        <w:rPr>
          <w:rFonts w:hint="eastAsia"/>
          <w:color w:val="auto"/>
          <w:spacing w:val="-8"/>
          <w:u w:val="single"/>
          <w:lang w:eastAsia="zh-CN"/>
        </w:rPr>
        <w:t>污泥池、加药间、污泥脱水间、配电间</w:t>
      </w:r>
      <w:r>
        <w:rPr>
          <w:rFonts w:hint="eastAsia" w:eastAsia="宋体"/>
          <w:color w:val="auto"/>
          <w:spacing w:val="-8"/>
          <w:u w:val="single"/>
          <w:lang w:eastAsia="zh-CN"/>
        </w:rPr>
        <w:t>，</w:t>
      </w:r>
      <w:r>
        <w:rPr>
          <w:rFonts w:hint="eastAsia"/>
          <w:color w:val="auto"/>
          <w:u w:val="single"/>
        </w:rPr>
        <w:t>污泥脱水间产生的恶臭污染物收集后采用活性炭除臭工艺处理通过1</w:t>
      </w:r>
      <w:r>
        <w:rPr>
          <w:color w:val="auto"/>
          <w:u w:val="single"/>
        </w:rPr>
        <w:t>5m</w:t>
      </w:r>
      <w:r>
        <w:rPr>
          <w:rFonts w:hint="eastAsia"/>
          <w:color w:val="auto"/>
          <w:u w:val="single"/>
        </w:rPr>
        <w:t>排气筒排放</w:t>
      </w:r>
      <w:r>
        <w:rPr>
          <w:rFonts w:hint="eastAsia"/>
          <w:color w:val="auto"/>
          <w:kern w:val="0"/>
          <w:u w:val="single"/>
        </w:rPr>
        <w:t>。</w:t>
      </w:r>
      <w:r>
        <w:rPr>
          <w:rFonts w:hint="eastAsia"/>
          <w:kern w:val="0"/>
          <w:u w:val="single"/>
        </w:rPr>
        <w:t>项目污水收集管网长度为</w:t>
      </w:r>
      <w:r>
        <w:rPr>
          <w:rFonts w:hint="eastAsia"/>
          <w:kern w:val="0"/>
          <w:u w:val="single"/>
          <w:lang w:val="en-US" w:eastAsia="zh-CN"/>
        </w:rPr>
        <w:t>1500</w:t>
      </w:r>
      <w:r>
        <w:rPr>
          <w:rFonts w:hint="eastAsia"/>
          <w:kern w:val="0"/>
          <w:u w:val="single"/>
        </w:rPr>
        <w:t>m，</w:t>
      </w:r>
      <w:r>
        <w:rPr>
          <w:rFonts w:hint="eastAsia"/>
          <w:color w:val="auto"/>
          <w:kern w:val="0"/>
          <w:u w:val="single"/>
        </w:rPr>
        <w:t>污水排放管网长度为</w:t>
      </w:r>
      <w:r>
        <w:rPr>
          <w:rFonts w:hint="eastAsia"/>
          <w:color w:val="auto"/>
          <w:kern w:val="0"/>
          <w:u w:val="single"/>
          <w:lang w:val="en-US" w:eastAsia="zh-CN"/>
        </w:rPr>
        <w:t>2050</w:t>
      </w:r>
      <w:r>
        <w:rPr>
          <w:rFonts w:hint="eastAsia"/>
          <w:color w:val="auto"/>
          <w:kern w:val="0"/>
          <w:u w:val="single"/>
        </w:rPr>
        <w:t>m。</w:t>
      </w:r>
      <w:r>
        <w:rPr>
          <w:rFonts w:hint="eastAsia"/>
          <w:color w:val="auto"/>
          <w:kern w:val="0"/>
          <w:szCs w:val="21"/>
          <w:u w:val="single"/>
          <w:lang w:eastAsia="zh-CN"/>
        </w:rPr>
        <w:t>一期</w:t>
      </w:r>
      <w:r>
        <w:rPr>
          <w:rFonts w:hint="eastAsia"/>
          <w:color w:val="auto"/>
          <w:kern w:val="0"/>
          <w:szCs w:val="21"/>
          <w:u w:val="single"/>
        </w:rPr>
        <w:t>主要工程</w:t>
      </w:r>
      <w:r>
        <w:rPr>
          <w:rFonts w:hint="eastAsia"/>
          <w:color w:val="auto"/>
          <w:kern w:val="0"/>
          <w:szCs w:val="21"/>
          <w:u w:val="single"/>
          <w:lang w:eastAsia="zh-CN"/>
        </w:rPr>
        <w:t>建设</w:t>
      </w:r>
      <w:r>
        <w:rPr>
          <w:rFonts w:hint="eastAsia"/>
          <w:color w:val="auto"/>
          <w:kern w:val="0"/>
          <w:szCs w:val="21"/>
          <w:u w:val="single"/>
        </w:rPr>
        <w:t>内容见下表2.</w:t>
      </w:r>
      <w:r>
        <w:rPr>
          <w:color w:val="auto"/>
          <w:kern w:val="0"/>
          <w:szCs w:val="21"/>
          <w:u w:val="single"/>
        </w:rPr>
        <w:t>1</w:t>
      </w:r>
      <w:r>
        <w:rPr>
          <w:rFonts w:hint="eastAsia"/>
          <w:color w:val="auto"/>
          <w:kern w:val="0"/>
          <w:szCs w:val="21"/>
          <w:u w:val="single"/>
        </w:rPr>
        <w:t>-1。</w:t>
      </w:r>
    </w:p>
    <w:p>
      <w:pPr>
        <w:ind w:firstLine="422"/>
        <w:jc w:val="center"/>
        <w:rPr>
          <w:rFonts w:hint="eastAsia" w:eastAsia="宋体"/>
          <w:b/>
          <w:color w:val="auto"/>
          <w:kern w:val="0"/>
          <w:sz w:val="21"/>
          <w:szCs w:val="21"/>
          <w:u w:val="single"/>
          <w:lang w:eastAsia="zh-CN"/>
        </w:rPr>
      </w:pPr>
      <w:r>
        <w:rPr>
          <w:rFonts w:hint="eastAsia"/>
          <w:b/>
          <w:color w:val="auto"/>
          <w:kern w:val="0"/>
          <w:sz w:val="21"/>
          <w:szCs w:val="21"/>
          <w:u w:val="single"/>
        </w:rPr>
        <w:t>表2.</w:t>
      </w:r>
      <w:r>
        <w:rPr>
          <w:b/>
          <w:color w:val="auto"/>
          <w:kern w:val="0"/>
          <w:sz w:val="21"/>
          <w:szCs w:val="21"/>
          <w:u w:val="single"/>
        </w:rPr>
        <w:t>1</w:t>
      </w:r>
      <w:r>
        <w:rPr>
          <w:rFonts w:hint="eastAsia"/>
          <w:b/>
          <w:color w:val="auto"/>
          <w:kern w:val="0"/>
          <w:sz w:val="21"/>
          <w:szCs w:val="21"/>
          <w:u w:val="single"/>
        </w:rPr>
        <w:t>-1 项目主要工程建设内容</w:t>
      </w:r>
      <w:r>
        <w:rPr>
          <w:rFonts w:hint="eastAsia"/>
          <w:b/>
          <w:color w:val="auto"/>
          <w:kern w:val="0"/>
          <w:sz w:val="21"/>
          <w:szCs w:val="21"/>
          <w:u w:val="single"/>
          <w:lang w:eastAsia="zh-CN"/>
        </w:rPr>
        <w:t>（一期）</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25"/>
        <w:gridCol w:w="599"/>
        <w:gridCol w:w="1955"/>
        <w:gridCol w:w="786"/>
        <w:gridCol w:w="1440"/>
        <w:gridCol w:w="1360"/>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类别</w:t>
            </w:r>
          </w:p>
        </w:tc>
        <w:tc>
          <w:tcPr>
            <w:tcW w:w="604" w:type="pct"/>
            <w:gridSpan w:val="2"/>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工程内容</w:t>
            </w:r>
          </w:p>
        </w:tc>
        <w:tc>
          <w:tcPr>
            <w:tcW w:w="1154"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规格</w:t>
            </w:r>
          </w:p>
        </w:tc>
        <w:tc>
          <w:tcPr>
            <w:tcW w:w="464"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数量（座）</w:t>
            </w:r>
          </w:p>
        </w:tc>
        <w:tc>
          <w:tcPr>
            <w:tcW w:w="850"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功能</w:t>
            </w:r>
          </w:p>
        </w:tc>
        <w:tc>
          <w:tcPr>
            <w:tcW w:w="803"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结构型式</w:t>
            </w:r>
          </w:p>
        </w:tc>
        <w:tc>
          <w:tcPr>
            <w:tcW w:w="870"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主体工程</w:t>
            </w:r>
          </w:p>
        </w:tc>
        <w:tc>
          <w:tcPr>
            <w:tcW w:w="251" w:type="pct"/>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废水处理设施</w:t>
            </w:r>
          </w:p>
        </w:tc>
        <w:tc>
          <w:tcPr>
            <w:tcW w:w="353"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rPr>
              <w:t>格栅</w:t>
            </w:r>
            <w:r>
              <w:rPr>
                <w:rFonts w:hint="default" w:ascii="Times New Roman" w:hAnsi="Times New Roman" w:eastAsia="宋体" w:cs="Times New Roman"/>
                <w:color w:val="auto"/>
                <w:u w:val="single"/>
                <w:lang w:eastAsia="zh-CN"/>
              </w:rPr>
              <w:t>渠</w:t>
            </w:r>
          </w:p>
        </w:tc>
        <w:tc>
          <w:tcPr>
            <w:tcW w:w="1154"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rPr>
              <w:t>L×B×H=</w:t>
            </w:r>
            <w:r>
              <w:rPr>
                <w:rFonts w:hint="default" w:ascii="Times New Roman" w:hAnsi="Times New Roman" w:eastAsia="宋体" w:cs="Times New Roman"/>
                <w:color w:val="auto"/>
                <w:u w:val="single"/>
                <w:lang w:val="en-US" w:eastAsia="zh-CN"/>
              </w:rPr>
              <w:t>5.</w:t>
            </w:r>
            <w:r>
              <w:rPr>
                <w:rFonts w:hint="default" w:ascii="Times New Roman" w:hAnsi="Times New Roman" w:eastAsia="宋体" w:cs="Times New Roman"/>
                <w:color w:val="auto"/>
                <w:u w:val="single"/>
              </w:rPr>
              <w:t>0×0.8×</w:t>
            </w:r>
            <w:r>
              <w:rPr>
                <w:rFonts w:hint="default" w:ascii="Times New Roman" w:hAnsi="Times New Roman" w:eastAsia="宋体" w:cs="Times New Roman"/>
                <w:color w:val="auto"/>
                <w:u w:val="single"/>
                <w:lang w:val="en-US" w:eastAsia="zh-CN"/>
              </w:rPr>
              <w:t>5.5</w:t>
            </w:r>
          </w:p>
        </w:tc>
        <w:tc>
          <w:tcPr>
            <w:tcW w:w="46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1</w:t>
            </w:r>
          </w:p>
        </w:tc>
        <w:tc>
          <w:tcPr>
            <w:tcW w:w="850"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拦截漂浮、悬浮物</w:t>
            </w:r>
          </w:p>
        </w:tc>
        <w:tc>
          <w:tcPr>
            <w:tcW w:w="80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半地下式钢筋砼，封闭式</w:t>
            </w:r>
          </w:p>
        </w:tc>
        <w:tc>
          <w:tcPr>
            <w:tcW w:w="870" w:type="pct"/>
            <w:vMerge w:val="restar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格栅渠、沉沙池、调节池与污泥池合建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251" w:type="pct"/>
            <w:vMerge w:val="continue"/>
            <w:noWrap w:val="0"/>
            <w:vAlign w:val="center"/>
          </w:tcPr>
          <w:p>
            <w:pPr>
              <w:pStyle w:val="73"/>
              <w:rPr>
                <w:rFonts w:hint="default" w:ascii="Times New Roman" w:hAnsi="Times New Roman" w:eastAsia="宋体" w:cs="Times New Roman"/>
                <w:color w:val="auto"/>
                <w:u w:val="single"/>
              </w:rPr>
            </w:pPr>
          </w:p>
        </w:tc>
        <w:tc>
          <w:tcPr>
            <w:tcW w:w="35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沉砂池</w:t>
            </w: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L×B×H=5.0×2.0×4.5</w:t>
            </w:r>
          </w:p>
        </w:tc>
        <w:tc>
          <w:tcPr>
            <w:tcW w:w="46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1</w:t>
            </w:r>
          </w:p>
        </w:tc>
        <w:tc>
          <w:tcPr>
            <w:tcW w:w="850"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去除污水中较大的砂石，沉砂采用旋流式沉砂池</w:t>
            </w:r>
          </w:p>
        </w:tc>
        <w:tc>
          <w:tcPr>
            <w:tcW w:w="80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半地下式钢筋砼，封闭式</w:t>
            </w:r>
          </w:p>
        </w:tc>
        <w:tc>
          <w:tcPr>
            <w:tcW w:w="870" w:type="pct"/>
            <w:vMerge w:val="continue"/>
            <w:noWrap w:val="0"/>
            <w:vAlign w:val="center"/>
          </w:tcPr>
          <w:p>
            <w:pPr>
              <w:pStyle w:val="73"/>
              <w:rPr>
                <w:rFonts w:hint="default" w:ascii="Times New Roman" w:hAnsi="Times New Roman" w:eastAsia="宋体"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251" w:type="pct"/>
            <w:vMerge w:val="continue"/>
            <w:noWrap w:val="0"/>
            <w:vAlign w:val="center"/>
          </w:tcPr>
          <w:p>
            <w:pPr>
              <w:pStyle w:val="73"/>
              <w:rPr>
                <w:rFonts w:hint="default" w:ascii="Times New Roman" w:hAnsi="Times New Roman" w:eastAsia="宋体" w:cs="Times New Roman"/>
                <w:color w:val="auto"/>
                <w:u w:val="single"/>
              </w:rPr>
            </w:pPr>
          </w:p>
        </w:tc>
        <w:tc>
          <w:tcPr>
            <w:tcW w:w="35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调节池</w:t>
            </w: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L×B×H＝10.0×</w:t>
            </w:r>
            <w:r>
              <w:rPr>
                <w:rFonts w:hint="default" w:ascii="Times New Roman" w:hAnsi="Times New Roman" w:eastAsia="宋体" w:cs="Times New Roman"/>
                <w:color w:val="auto"/>
                <w:u w:val="single"/>
                <w:lang w:val="en-US" w:eastAsia="zh-CN"/>
              </w:rPr>
              <w:t>5</w:t>
            </w:r>
            <w:r>
              <w:rPr>
                <w:rFonts w:hint="default" w:ascii="Times New Roman" w:hAnsi="Times New Roman" w:eastAsia="宋体" w:cs="Times New Roman"/>
                <w:color w:val="auto"/>
                <w:u w:val="single"/>
              </w:rPr>
              <w:t>.0×4.5</w:t>
            </w:r>
          </w:p>
        </w:tc>
        <w:tc>
          <w:tcPr>
            <w:tcW w:w="46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1</w:t>
            </w:r>
          </w:p>
        </w:tc>
        <w:tc>
          <w:tcPr>
            <w:tcW w:w="850"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用于调解污水的水质、水量</w:t>
            </w:r>
          </w:p>
        </w:tc>
        <w:tc>
          <w:tcPr>
            <w:tcW w:w="80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半地下式钢筋砼，封闭式</w:t>
            </w:r>
          </w:p>
        </w:tc>
        <w:tc>
          <w:tcPr>
            <w:tcW w:w="870" w:type="pct"/>
            <w:vMerge w:val="continue"/>
            <w:noWrap w:val="0"/>
            <w:vAlign w:val="center"/>
          </w:tcPr>
          <w:p>
            <w:pPr>
              <w:pStyle w:val="73"/>
              <w:rPr>
                <w:rFonts w:hint="default" w:ascii="Times New Roman" w:hAnsi="Times New Roman" w:eastAsia="宋体"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251" w:type="pct"/>
            <w:vMerge w:val="continue"/>
            <w:noWrap w:val="0"/>
            <w:vAlign w:val="center"/>
          </w:tcPr>
          <w:p>
            <w:pPr>
              <w:pStyle w:val="73"/>
              <w:rPr>
                <w:rFonts w:hint="default" w:ascii="Times New Roman" w:hAnsi="Times New Roman" w:eastAsia="宋体" w:cs="Times New Roman"/>
                <w:color w:val="auto"/>
                <w:u w:val="single"/>
              </w:rPr>
            </w:pPr>
          </w:p>
        </w:tc>
        <w:tc>
          <w:tcPr>
            <w:tcW w:w="353"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MBR一体化设备</w:t>
            </w: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sz w:val="21"/>
                <w:szCs w:val="21"/>
                <w:u w:val="single"/>
              </w:rPr>
              <w:t>15.0m×5.5m</w:t>
            </w:r>
            <w:r>
              <w:rPr>
                <w:rFonts w:hint="default" w:ascii="Times New Roman" w:hAnsi="Times New Roman" w:eastAsia="宋体" w:cs="Times New Roman"/>
                <w:color w:val="auto"/>
                <w:u w:val="single"/>
              </w:rPr>
              <w:t xml:space="preserve"> </w:t>
            </w:r>
          </w:p>
        </w:tc>
        <w:tc>
          <w:tcPr>
            <w:tcW w:w="46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2</w:t>
            </w:r>
          </w:p>
        </w:tc>
        <w:tc>
          <w:tcPr>
            <w:tcW w:w="850"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kern w:val="0"/>
                <w:u w:val="single"/>
              </w:rPr>
              <w:t>去除有机物、氨氮、SS和总P</w:t>
            </w:r>
          </w:p>
        </w:tc>
        <w:tc>
          <w:tcPr>
            <w:tcW w:w="80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半地下式钢筋砼，封闭式</w:t>
            </w:r>
          </w:p>
        </w:tc>
        <w:tc>
          <w:tcPr>
            <w:tcW w:w="870"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单套设计处理量</w:t>
            </w:r>
            <w:r>
              <w:rPr>
                <w:rFonts w:hint="default" w:ascii="Times New Roman" w:hAnsi="Times New Roman" w:eastAsia="宋体" w:cs="Times New Roman"/>
                <w:color w:val="auto"/>
                <w:u w:val="single"/>
                <w:lang w:val="en-US" w:eastAsia="zh-CN"/>
              </w:rPr>
              <w:t>200m</w:t>
            </w:r>
            <w:r>
              <w:rPr>
                <w:rFonts w:hint="default" w:ascii="Times New Roman" w:hAnsi="Times New Roman" w:eastAsia="宋体" w:cs="Times New Roman"/>
                <w:color w:val="auto"/>
                <w:u w:val="single"/>
                <w:vertAlign w:val="superscript"/>
                <w:lang w:val="en-US" w:eastAsia="zh-CN"/>
              </w:rPr>
              <w:t>3</w:t>
            </w:r>
            <w:r>
              <w:rPr>
                <w:rFonts w:hint="default" w:ascii="Times New Roman" w:hAnsi="Times New Roman" w:eastAsia="宋体" w:cs="Times New Roman"/>
                <w:color w:val="auto"/>
                <w:u w:val="single"/>
              </w:rPr>
              <w:t>/d，设备包括厌氧区、缺氧区、好氧区、膜区，一体化设备集成配套电磁流量计和紫外消毒管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251" w:type="pct"/>
            <w:vMerge w:val="continue"/>
            <w:noWrap w:val="0"/>
            <w:vAlign w:val="center"/>
          </w:tcPr>
          <w:p>
            <w:pPr>
              <w:pStyle w:val="73"/>
              <w:rPr>
                <w:rFonts w:hint="default" w:ascii="Times New Roman" w:hAnsi="Times New Roman" w:eastAsia="宋体" w:cs="Times New Roman"/>
                <w:color w:val="auto"/>
                <w:u w:val="single"/>
              </w:rPr>
            </w:pPr>
          </w:p>
        </w:tc>
        <w:tc>
          <w:tcPr>
            <w:tcW w:w="353"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污泥池</w:t>
            </w: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L×B×H=5.0×2.0×3.5</w:t>
            </w:r>
          </w:p>
        </w:tc>
        <w:tc>
          <w:tcPr>
            <w:tcW w:w="46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1</w:t>
            </w:r>
          </w:p>
        </w:tc>
        <w:tc>
          <w:tcPr>
            <w:tcW w:w="850"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对系统产生的污泥进行贮存</w:t>
            </w:r>
          </w:p>
        </w:tc>
        <w:tc>
          <w:tcPr>
            <w:tcW w:w="80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半地下式钢筋砼，封闭式</w:t>
            </w:r>
          </w:p>
        </w:tc>
        <w:tc>
          <w:tcPr>
            <w:tcW w:w="870" w:type="pct"/>
            <w:noWrap w:val="0"/>
            <w:vAlign w:val="center"/>
          </w:tcPr>
          <w:p>
            <w:pPr>
              <w:pStyle w:val="120"/>
              <w:bidi w:val="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eastAsia="zh-CN"/>
              </w:rPr>
              <w:t>污泥池与格栅渠、沉沙池、调节池合建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251" w:type="pct"/>
            <w:vMerge w:val="continue"/>
            <w:noWrap w:val="0"/>
            <w:vAlign w:val="center"/>
          </w:tcPr>
          <w:p>
            <w:pPr>
              <w:pStyle w:val="73"/>
              <w:rPr>
                <w:rFonts w:hint="default" w:ascii="Times New Roman" w:hAnsi="Times New Roman" w:eastAsia="宋体" w:cs="Times New Roman"/>
                <w:color w:val="auto"/>
                <w:u w:val="single"/>
              </w:rPr>
            </w:pPr>
          </w:p>
        </w:tc>
        <w:tc>
          <w:tcPr>
            <w:tcW w:w="353"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膜离线清洗池</w:t>
            </w: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L×B×H=3.0×1.5×1.5</w:t>
            </w:r>
          </w:p>
        </w:tc>
        <w:tc>
          <w:tcPr>
            <w:tcW w:w="46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1</w:t>
            </w:r>
          </w:p>
        </w:tc>
        <w:tc>
          <w:tcPr>
            <w:tcW w:w="850"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eastAsia="zh-CN"/>
              </w:rPr>
              <w:t>对</w:t>
            </w:r>
            <w:r>
              <w:rPr>
                <w:rFonts w:hint="default" w:ascii="Times New Roman" w:hAnsi="Times New Roman" w:eastAsia="宋体" w:cs="Times New Roman"/>
                <w:color w:val="auto"/>
                <w:u w:val="single"/>
                <w:lang w:val="en-US" w:eastAsia="zh-CN"/>
              </w:rPr>
              <w:t>MBR膜进行清洗</w:t>
            </w:r>
          </w:p>
        </w:tc>
        <w:tc>
          <w:tcPr>
            <w:tcW w:w="80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半地下式钢筋砼，封闭式</w:t>
            </w:r>
          </w:p>
        </w:tc>
        <w:tc>
          <w:tcPr>
            <w:tcW w:w="870" w:type="pct"/>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eastAsia="zh-CN"/>
              </w:rPr>
              <w:t>膜离线清洗池与清水池合建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251" w:type="pct"/>
            <w:vMerge w:val="continue"/>
            <w:noWrap w:val="0"/>
            <w:vAlign w:val="center"/>
          </w:tcPr>
          <w:p>
            <w:pPr>
              <w:pStyle w:val="73"/>
              <w:rPr>
                <w:rFonts w:hint="default" w:ascii="Times New Roman" w:hAnsi="Times New Roman" w:eastAsia="宋体" w:cs="Times New Roman"/>
                <w:color w:val="auto"/>
                <w:u w:val="single"/>
              </w:rPr>
            </w:pPr>
          </w:p>
        </w:tc>
        <w:tc>
          <w:tcPr>
            <w:tcW w:w="353"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清水池</w:t>
            </w: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L×B×H=3.0×0.8×1.5</w:t>
            </w:r>
          </w:p>
        </w:tc>
        <w:tc>
          <w:tcPr>
            <w:tcW w:w="464"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w:t>
            </w:r>
          </w:p>
        </w:tc>
        <w:tc>
          <w:tcPr>
            <w:tcW w:w="850"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eastAsia="zh-CN"/>
              </w:rPr>
              <w:t>贮存净化后的清水，以满足加氯接触时间</w:t>
            </w:r>
          </w:p>
        </w:tc>
        <w:tc>
          <w:tcPr>
            <w:tcW w:w="80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半地下式钢筋砼，封闭式</w:t>
            </w:r>
          </w:p>
        </w:tc>
        <w:tc>
          <w:tcPr>
            <w:tcW w:w="870" w:type="pct"/>
            <w:vMerge w:val="continue"/>
            <w:noWrap w:val="0"/>
            <w:vAlign w:val="center"/>
          </w:tcPr>
          <w:p>
            <w:pPr>
              <w:pStyle w:val="73"/>
              <w:rPr>
                <w:rFonts w:hint="default" w:ascii="Times New Roman" w:hAnsi="Times New Roman" w:eastAsia="宋体"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配套管网工程</w:t>
            </w:r>
          </w:p>
        </w:tc>
        <w:tc>
          <w:tcPr>
            <w:tcW w:w="1154"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eastAsia="zh-CN"/>
              </w:rPr>
              <w:t>污水收集管道长</w:t>
            </w:r>
            <w:r>
              <w:rPr>
                <w:rFonts w:hint="default" w:ascii="Times New Roman" w:hAnsi="Times New Roman" w:eastAsia="宋体" w:cs="Times New Roman"/>
                <w:color w:val="auto"/>
                <w:u w:val="single"/>
                <w:lang w:val="en-US" w:eastAsia="zh-CN"/>
              </w:rPr>
              <w:t>1500m</w:t>
            </w:r>
          </w:p>
        </w:tc>
        <w:tc>
          <w:tcPr>
            <w:tcW w:w="1314" w:type="pct"/>
            <w:gridSpan w:val="2"/>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rPr>
              <w:t>用于污水的</w:t>
            </w:r>
            <w:r>
              <w:rPr>
                <w:rFonts w:hint="default" w:ascii="Times New Roman" w:hAnsi="Times New Roman" w:eastAsia="宋体" w:cs="Times New Roman"/>
                <w:color w:val="auto"/>
                <w:u w:val="single"/>
                <w:lang w:eastAsia="zh-CN"/>
              </w:rPr>
              <w:t>收集</w:t>
            </w:r>
          </w:p>
        </w:tc>
        <w:tc>
          <w:tcPr>
            <w:tcW w:w="803"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rPr>
              <w:t>钢带增强聚乙烯螺旋波纹管</w:t>
            </w:r>
          </w:p>
        </w:tc>
        <w:tc>
          <w:tcPr>
            <w:tcW w:w="870"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vMerge w:val="continue"/>
            <w:noWrap w:val="0"/>
            <w:vAlign w:val="center"/>
          </w:tcPr>
          <w:p>
            <w:pPr>
              <w:pStyle w:val="73"/>
              <w:rPr>
                <w:rFonts w:hint="default" w:ascii="Times New Roman" w:hAnsi="Times New Roman" w:eastAsia="宋体" w:cs="Times New Roman"/>
                <w:color w:val="auto"/>
                <w:u w:val="single"/>
              </w:rPr>
            </w:pP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污水排放管网长度为</w:t>
            </w:r>
            <w:r>
              <w:rPr>
                <w:rFonts w:hint="default" w:ascii="Times New Roman" w:hAnsi="Times New Roman" w:eastAsia="宋体" w:cs="Times New Roman"/>
                <w:color w:val="auto"/>
                <w:u w:val="single"/>
                <w:lang w:val="en-US" w:eastAsia="zh-CN"/>
              </w:rPr>
              <w:t>2050</w:t>
            </w:r>
            <w:r>
              <w:rPr>
                <w:rFonts w:hint="default" w:ascii="Times New Roman" w:hAnsi="Times New Roman" w:eastAsia="宋体" w:cs="Times New Roman"/>
                <w:color w:val="auto"/>
                <w:u w:val="single"/>
              </w:rPr>
              <w:t>m</w:t>
            </w:r>
          </w:p>
        </w:tc>
        <w:tc>
          <w:tcPr>
            <w:tcW w:w="131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用于污水的排放</w:t>
            </w:r>
          </w:p>
        </w:tc>
        <w:tc>
          <w:tcPr>
            <w:tcW w:w="80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钢带增强聚乙烯螺旋波纹管</w:t>
            </w:r>
          </w:p>
        </w:tc>
        <w:tc>
          <w:tcPr>
            <w:tcW w:w="870"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辅助用房</w:t>
            </w: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L×B＝</w:t>
            </w:r>
            <w:r>
              <w:rPr>
                <w:rFonts w:hint="default" w:ascii="Times New Roman" w:hAnsi="Times New Roman" w:eastAsia="宋体" w:cs="Times New Roman"/>
                <w:color w:val="auto"/>
                <w:u w:val="single"/>
                <w:lang w:val="en-US" w:eastAsia="zh-CN"/>
              </w:rPr>
              <w:t>10</w:t>
            </w:r>
            <w:r>
              <w:rPr>
                <w:rFonts w:hint="default" w:ascii="Times New Roman" w:hAnsi="Times New Roman" w:eastAsia="宋体" w:cs="Times New Roman"/>
                <w:color w:val="auto"/>
                <w:u w:val="single"/>
              </w:rPr>
              <w:t>.0×</w:t>
            </w:r>
            <w:r>
              <w:rPr>
                <w:rFonts w:hint="default" w:ascii="Times New Roman" w:hAnsi="Times New Roman" w:eastAsia="宋体" w:cs="Times New Roman"/>
                <w:color w:val="auto"/>
                <w:u w:val="single"/>
                <w:lang w:val="en-US" w:eastAsia="zh-CN"/>
              </w:rPr>
              <w:t>5</w:t>
            </w:r>
            <w:r>
              <w:rPr>
                <w:rFonts w:hint="default" w:ascii="Times New Roman" w:hAnsi="Times New Roman" w:eastAsia="宋体" w:cs="Times New Roman"/>
                <w:color w:val="auto"/>
                <w:u w:val="single"/>
              </w:rPr>
              <w:t>.0</w:t>
            </w:r>
          </w:p>
        </w:tc>
        <w:tc>
          <w:tcPr>
            <w:tcW w:w="1314" w:type="pct"/>
            <w:gridSpan w:val="2"/>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包含加药间、污泥脱水间、配电间及储物间</w:t>
            </w:r>
          </w:p>
        </w:tc>
        <w:tc>
          <w:tcPr>
            <w:tcW w:w="803"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一层砖混结构</w:t>
            </w:r>
          </w:p>
        </w:tc>
        <w:tc>
          <w:tcPr>
            <w:tcW w:w="870"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公用工程</w:t>
            </w:r>
          </w:p>
        </w:tc>
        <w:tc>
          <w:tcPr>
            <w:tcW w:w="60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给水工程</w:t>
            </w: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给水管网接入</w:t>
            </w:r>
          </w:p>
        </w:tc>
        <w:tc>
          <w:tcPr>
            <w:tcW w:w="2988" w:type="pct"/>
            <w:gridSpan w:val="4"/>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厂区进、出水管管材按工艺要求选用钢管或钢筋混凝土管，普通钢筋混凝土管、出水管（含雨水管）深埋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排水工程</w:t>
            </w: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雨水沿厂区道路布置的雨水沟排至厂外，项目产生的污水进入污水处理厂处理</w:t>
            </w:r>
          </w:p>
        </w:tc>
        <w:tc>
          <w:tcPr>
            <w:tcW w:w="2988" w:type="pct"/>
            <w:gridSpan w:val="4"/>
            <w:vMerge w:val="continue"/>
            <w:noWrap w:val="0"/>
            <w:vAlign w:val="center"/>
          </w:tcPr>
          <w:p>
            <w:pPr>
              <w:pStyle w:val="73"/>
              <w:rPr>
                <w:rFonts w:hint="default" w:ascii="Times New Roman" w:hAnsi="Times New Roman" w:eastAsia="宋体"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供电工程</w:t>
            </w:r>
          </w:p>
        </w:tc>
        <w:tc>
          <w:tcPr>
            <w:tcW w:w="115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变电站、发电设备</w:t>
            </w:r>
          </w:p>
        </w:tc>
        <w:tc>
          <w:tcPr>
            <w:tcW w:w="2988" w:type="pct"/>
            <w:gridSpan w:val="4"/>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双回路电源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通风系统</w:t>
            </w:r>
          </w:p>
        </w:tc>
        <w:tc>
          <w:tcPr>
            <w:tcW w:w="4143" w:type="pct"/>
            <w:gridSpan w:val="5"/>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eastAsia="zh-CN"/>
              </w:rPr>
              <w:t>操作间</w:t>
            </w:r>
            <w:r>
              <w:rPr>
                <w:rFonts w:hint="default" w:ascii="Times New Roman" w:hAnsi="Times New Roman" w:eastAsia="宋体" w:cs="Times New Roman"/>
                <w:color w:val="auto"/>
                <w:u w:val="single"/>
              </w:rPr>
              <w:t>采用轴流风机全面通风换气，其他场所自然通风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消防</w:t>
            </w:r>
          </w:p>
        </w:tc>
        <w:tc>
          <w:tcPr>
            <w:tcW w:w="4143" w:type="pct"/>
            <w:gridSpan w:val="5"/>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室内消防栓系统、室外消防栓系统、配备一定数量消防灭火器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环保工程</w:t>
            </w:r>
          </w:p>
        </w:tc>
        <w:tc>
          <w:tcPr>
            <w:tcW w:w="60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噪声治理</w:t>
            </w:r>
          </w:p>
        </w:tc>
        <w:tc>
          <w:tcPr>
            <w:tcW w:w="4143" w:type="pct"/>
            <w:gridSpan w:val="5"/>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减震、隔声、减噪设备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废水治理</w:t>
            </w:r>
          </w:p>
        </w:tc>
        <w:tc>
          <w:tcPr>
            <w:tcW w:w="4143" w:type="pct"/>
            <w:gridSpan w:val="5"/>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采用“</w:t>
            </w:r>
            <w:r>
              <w:rPr>
                <w:rFonts w:hint="default" w:ascii="Times New Roman" w:hAnsi="Times New Roman" w:eastAsia="宋体" w:cs="Times New Roman"/>
                <w:color w:val="auto"/>
                <w:u w:val="single"/>
                <w:lang w:eastAsia="zh-CN"/>
              </w:rPr>
              <w:t>格栅渠</w:t>
            </w:r>
            <w:r>
              <w:rPr>
                <w:rFonts w:hint="default" w:ascii="Times New Roman" w:hAnsi="Times New Roman" w:eastAsia="宋体" w:cs="Times New Roman"/>
                <w:color w:val="auto"/>
                <w:u w:val="single"/>
              </w:rPr>
              <w:t>→沉砂池→调节池→</w:t>
            </w:r>
            <w:r>
              <w:rPr>
                <w:rFonts w:hint="default" w:ascii="Times New Roman" w:hAnsi="Times New Roman" w:eastAsia="宋体" w:cs="Times New Roman"/>
                <w:color w:val="auto"/>
                <w:u w:val="single"/>
                <w:lang w:val="en-US" w:eastAsia="zh-CN"/>
              </w:rPr>
              <w:t>MBR一体化设备</w:t>
            </w:r>
            <w:r>
              <w:rPr>
                <w:rFonts w:hint="default" w:ascii="Times New Roman" w:hAnsi="Times New Roman" w:eastAsia="宋体" w:cs="Times New Roman"/>
                <w:color w:val="auto"/>
                <w:u w:val="single"/>
              </w:rPr>
              <w:t>→</w:t>
            </w:r>
            <w:r>
              <w:rPr>
                <w:rFonts w:hint="default" w:ascii="Times New Roman" w:hAnsi="Times New Roman" w:eastAsia="宋体" w:cs="Times New Roman"/>
                <w:color w:val="auto"/>
                <w:u w:val="single"/>
                <w:lang w:eastAsia="zh-CN"/>
              </w:rPr>
              <w:t>清水池</w:t>
            </w:r>
            <w:r>
              <w:rPr>
                <w:rFonts w:hint="default" w:ascii="Times New Roman" w:hAnsi="Times New Roman" w:eastAsia="宋体" w:cs="Times New Roman"/>
                <w:color w:val="auto"/>
                <w:u w:val="single"/>
              </w:rPr>
              <w:t>”工艺达标排入</w:t>
            </w:r>
            <w:r>
              <w:rPr>
                <w:rFonts w:hint="default" w:ascii="Times New Roman" w:hAnsi="Times New Roman" w:eastAsia="宋体" w:cs="Times New Roman"/>
                <w:color w:val="auto"/>
                <w:u w:val="single"/>
                <w:lang w:eastAsia="zh-CN"/>
              </w:rPr>
              <w:t>猛洞</w:t>
            </w:r>
            <w:r>
              <w:rPr>
                <w:rFonts w:hint="default" w:ascii="Times New Roman" w:hAnsi="Times New Roman" w:eastAsia="宋体" w:cs="Times New Roman"/>
                <w:color w:val="auto"/>
                <w:u w:val="single"/>
              </w:rPr>
              <w:t>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废气治理</w:t>
            </w:r>
          </w:p>
        </w:tc>
        <w:tc>
          <w:tcPr>
            <w:tcW w:w="4143" w:type="pct"/>
            <w:gridSpan w:val="5"/>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污泥脱水间产生恶臭污染物收集后采用活性炭除臭工艺，其他污水处理构筑物加盖，加强周边绿化，定期喷洒植物除臭剂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固废治理</w:t>
            </w:r>
          </w:p>
        </w:tc>
        <w:tc>
          <w:tcPr>
            <w:tcW w:w="4143" w:type="pct"/>
            <w:gridSpan w:val="5"/>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分散设置分类垃圾桶由环卫部门统一处理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vMerge w:val="continue"/>
            <w:noWrap w:val="0"/>
            <w:vAlign w:val="center"/>
          </w:tcPr>
          <w:p>
            <w:pPr>
              <w:pStyle w:val="73"/>
              <w:rPr>
                <w:rFonts w:hint="default" w:ascii="Times New Roman" w:hAnsi="Times New Roman" w:eastAsia="宋体" w:cs="Times New Roman"/>
                <w:color w:val="auto"/>
                <w:u w:val="single"/>
              </w:rPr>
            </w:pPr>
          </w:p>
        </w:tc>
        <w:tc>
          <w:tcPr>
            <w:tcW w:w="4143" w:type="pct"/>
            <w:gridSpan w:val="5"/>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rPr>
              <w:t>污泥如为危险废物，运营单位应按照危险废物要求进行管理，并委托具有相应资质单位进行安全处置；如鉴别属于一般固废，外运至</w:t>
            </w:r>
            <w:r>
              <w:rPr>
                <w:rFonts w:hint="default" w:ascii="Times New Roman" w:hAnsi="Times New Roman" w:eastAsia="宋体" w:cs="Times New Roman"/>
                <w:color w:val="auto"/>
                <w:u w:val="single"/>
                <w:lang w:eastAsia="zh-CN"/>
              </w:rPr>
              <w:t>永顺县</w:t>
            </w:r>
            <w:r>
              <w:rPr>
                <w:rFonts w:hint="default" w:ascii="Times New Roman" w:hAnsi="Times New Roman" w:eastAsia="宋体" w:cs="Times New Roman"/>
                <w:color w:val="auto"/>
                <w:u w:val="single"/>
              </w:rPr>
              <w:t>生活垃圾填埋场</w:t>
            </w:r>
            <w:r>
              <w:rPr>
                <w:rFonts w:hint="default" w:ascii="Times New Roman" w:hAnsi="Times New Roman" w:eastAsia="宋体" w:cs="Times New Roman"/>
                <w:color w:val="auto"/>
                <w:u w:val="single"/>
                <w:lang w:eastAsia="zh-CN"/>
              </w:rPr>
              <w:t>；废紫外灯管及废活性炭委托第三方有资质公司处理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60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绿化工程</w:t>
            </w:r>
          </w:p>
        </w:tc>
        <w:tc>
          <w:tcPr>
            <w:tcW w:w="4143" w:type="pct"/>
            <w:gridSpan w:val="5"/>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厂区绿化面积为</w:t>
            </w:r>
            <w:r>
              <w:rPr>
                <w:rFonts w:hint="default" w:ascii="Times New Roman" w:hAnsi="Times New Roman" w:eastAsia="宋体" w:cs="Times New Roman"/>
                <w:color w:val="auto"/>
                <w:u w:val="single"/>
                <w:lang w:val="en-US" w:eastAsia="zh-CN"/>
              </w:rPr>
              <w:t>254.99</w:t>
            </w:r>
            <w:r>
              <w:rPr>
                <w:rFonts w:hint="default" w:ascii="Times New Roman" w:hAnsi="Times New Roman" w:eastAsia="宋体" w:cs="Times New Roman"/>
                <w:color w:val="auto"/>
                <w:u w:val="single"/>
              </w:rPr>
              <w:t>m</w:t>
            </w:r>
            <w:r>
              <w:rPr>
                <w:rFonts w:hint="default" w:ascii="Times New Roman" w:hAnsi="Times New Roman" w:eastAsia="宋体" w:cs="Times New Roman"/>
                <w:color w:val="auto"/>
                <w:u w:val="single"/>
                <w:vertAlign w:val="superscript"/>
              </w:rPr>
              <w:t>2</w:t>
            </w:r>
            <w:r>
              <w:rPr>
                <w:rFonts w:hint="default" w:ascii="Times New Roman" w:hAnsi="Times New Roman" w:eastAsia="宋体" w:cs="Times New Roman"/>
                <w:color w:val="auto"/>
                <w:u w:val="single"/>
              </w:rPr>
              <w:t>，绿化率为</w:t>
            </w:r>
            <w:r>
              <w:rPr>
                <w:rFonts w:hint="default" w:ascii="Times New Roman" w:hAnsi="Times New Roman" w:eastAsia="宋体" w:cs="Times New Roman"/>
                <w:color w:val="auto"/>
                <w:u w:val="single"/>
                <w:lang w:val="en-US" w:eastAsia="zh-CN"/>
              </w:rPr>
              <w:t>31.23</w:t>
            </w:r>
            <w:r>
              <w:rPr>
                <w:rFonts w:hint="default" w:ascii="Times New Roman" w:hAnsi="Times New Roman" w:eastAsia="宋体" w:cs="Times New Roman"/>
                <w:color w:val="auto"/>
                <w:u w:val="single"/>
              </w:rPr>
              <w:t>%</w:t>
            </w:r>
          </w:p>
        </w:tc>
      </w:tr>
      <w:bookmarkEnd w:id="146"/>
    </w:tbl>
    <w:p>
      <w:pPr>
        <w:keepNext w:val="0"/>
        <w:keepLines w:val="0"/>
        <w:pageBreakBefore w:val="0"/>
        <w:widowControl/>
        <w:kinsoku/>
        <w:wordWrap/>
        <w:overflowPunct/>
        <w:topLinePunct w:val="0"/>
        <w:autoSpaceDE/>
        <w:autoSpaceDN/>
        <w:bidi w:val="0"/>
        <w:adjustRightInd/>
        <w:snapToGrid/>
        <w:spacing w:before="327" w:beforeLines="100"/>
        <w:textAlignment w:val="auto"/>
        <w:rPr>
          <w:rFonts w:hint="default" w:eastAsia="宋体"/>
          <w:lang w:val="en-US" w:eastAsia="zh-CN"/>
        </w:rPr>
      </w:pPr>
      <w:r>
        <w:rPr>
          <w:rFonts w:hint="eastAsia"/>
          <w:u w:val="single"/>
          <w:lang w:eastAsia="zh-CN"/>
        </w:rPr>
        <w:t>二期废水预处理依托一期工程的废水预处理构筑物及辅助工程，二期仅新安装</w:t>
      </w:r>
      <w:r>
        <w:rPr>
          <w:rFonts w:hint="eastAsia"/>
          <w:u w:val="single"/>
          <w:lang w:val="en-US" w:eastAsia="zh-CN"/>
        </w:rPr>
        <w:t>3套MBR一体化设备。二期主要工程建设内容见下表2.1-2。</w:t>
      </w:r>
    </w:p>
    <w:p>
      <w:pPr>
        <w:ind w:firstLine="422"/>
        <w:jc w:val="center"/>
        <w:rPr>
          <w:rFonts w:hint="eastAsia" w:eastAsia="宋体"/>
          <w:b/>
          <w:color w:val="auto"/>
          <w:kern w:val="0"/>
          <w:sz w:val="21"/>
          <w:szCs w:val="21"/>
          <w:u w:val="single"/>
          <w:lang w:eastAsia="zh-CN"/>
        </w:rPr>
      </w:pPr>
      <w:r>
        <w:rPr>
          <w:rFonts w:hint="eastAsia"/>
          <w:b/>
          <w:color w:val="auto"/>
          <w:kern w:val="0"/>
          <w:sz w:val="21"/>
          <w:szCs w:val="21"/>
          <w:u w:val="single"/>
        </w:rPr>
        <w:t>表2.</w:t>
      </w:r>
      <w:r>
        <w:rPr>
          <w:b/>
          <w:color w:val="auto"/>
          <w:kern w:val="0"/>
          <w:sz w:val="21"/>
          <w:szCs w:val="21"/>
          <w:u w:val="single"/>
        </w:rPr>
        <w:t>1</w:t>
      </w:r>
      <w:r>
        <w:rPr>
          <w:rFonts w:hint="eastAsia"/>
          <w:b/>
          <w:color w:val="auto"/>
          <w:kern w:val="0"/>
          <w:sz w:val="21"/>
          <w:szCs w:val="21"/>
          <w:u w:val="single"/>
        </w:rPr>
        <w:t>-</w:t>
      </w:r>
      <w:r>
        <w:rPr>
          <w:rFonts w:hint="eastAsia"/>
          <w:b/>
          <w:color w:val="auto"/>
          <w:kern w:val="0"/>
          <w:sz w:val="21"/>
          <w:szCs w:val="21"/>
          <w:u w:val="single"/>
          <w:lang w:val="en-US" w:eastAsia="zh-CN"/>
        </w:rPr>
        <w:t>2</w:t>
      </w:r>
      <w:r>
        <w:rPr>
          <w:rFonts w:hint="eastAsia"/>
          <w:b/>
          <w:color w:val="auto"/>
          <w:kern w:val="0"/>
          <w:sz w:val="21"/>
          <w:szCs w:val="21"/>
          <w:u w:val="single"/>
        </w:rPr>
        <w:t xml:space="preserve"> 项目主要工程建设内容</w:t>
      </w:r>
      <w:r>
        <w:rPr>
          <w:rFonts w:hint="eastAsia"/>
          <w:b/>
          <w:color w:val="auto"/>
          <w:kern w:val="0"/>
          <w:sz w:val="21"/>
          <w:szCs w:val="21"/>
          <w:u w:val="single"/>
          <w:lang w:eastAsia="zh-CN"/>
        </w:rPr>
        <w:t>（二期）</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25"/>
        <w:gridCol w:w="879"/>
        <w:gridCol w:w="734"/>
        <w:gridCol w:w="1727"/>
        <w:gridCol w:w="1440"/>
        <w:gridCol w:w="304"/>
        <w:gridCol w:w="1056"/>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类别</w:t>
            </w:r>
          </w:p>
        </w:tc>
        <w:tc>
          <w:tcPr>
            <w:tcW w:w="770" w:type="pct"/>
            <w:gridSpan w:val="2"/>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工程内容</w:t>
            </w:r>
          </w:p>
        </w:tc>
        <w:tc>
          <w:tcPr>
            <w:tcW w:w="433"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规格</w:t>
            </w:r>
          </w:p>
        </w:tc>
        <w:tc>
          <w:tcPr>
            <w:tcW w:w="1019"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数量（座）</w:t>
            </w:r>
          </w:p>
        </w:tc>
        <w:tc>
          <w:tcPr>
            <w:tcW w:w="850"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功能</w:t>
            </w:r>
          </w:p>
        </w:tc>
        <w:tc>
          <w:tcPr>
            <w:tcW w:w="803" w:type="pct"/>
            <w:gridSpan w:val="2"/>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结构型式</w:t>
            </w:r>
          </w:p>
        </w:tc>
        <w:tc>
          <w:tcPr>
            <w:tcW w:w="870" w:type="pc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主体工程</w:t>
            </w:r>
          </w:p>
        </w:tc>
        <w:tc>
          <w:tcPr>
            <w:tcW w:w="251" w:type="pct"/>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废水处理设施</w:t>
            </w:r>
          </w:p>
        </w:tc>
        <w:tc>
          <w:tcPr>
            <w:tcW w:w="3626" w:type="pct"/>
            <w:gridSpan w:val="6"/>
            <w:noWrap w:val="0"/>
            <w:vAlign w:val="center"/>
          </w:tcPr>
          <w:p>
            <w:pPr>
              <w:pStyle w:val="73"/>
              <w:rPr>
                <w:rFonts w:hint="eastAsia" w:ascii="Times New Roman" w:hAnsi="Times New Roman" w:eastAsia="宋体" w:cs="Times New Roman"/>
                <w:color w:val="auto"/>
                <w:u w:val="single"/>
                <w:lang w:eastAsia="zh-CN"/>
              </w:rPr>
            </w:pPr>
            <w:r>
              <w:rPr>
                <w:rFonts w:hint="default" w:ascii="Times New Roman" w:hAnsi="Times New Roman" w:eastAsia="宋体" w:cs="Times New Roman"/>
                <w:color w:val="auto"/>
                <w:u w:val="single"/>
              </w:rPr>
              <w:t>格栅</w:t>
            </w:r>
            <w:r>
              <w:rPr>
                <w:rFonts w:hint="default" w:ascii="Times New Roman" w:hAnsi="Times New Roman" w:eastAsia="宋体" w:cs="Times New Roman"/>
                <w:color w:val="auto"/>
                <w:u w:val="single"/>
                <w:lang w:eastAsia="zh-CN"/>
              </w:rPr>
              <w:t>渠</w:t>
            </w:r>
            <w:r>
              <w:rPr>
                <w:rFonts w:hint="eastAsia" w:ascii="Times New Roman" w:hAnsi="Times New Roman" w:eastAsia="宋体" w:cs="Times New Roman"/>
                <w:color w:val="auto"/>
                <w:u w:val="single"/>
                <w:lang w:eastAsia="zh-CN"/>
              </w:rPr>
              <w:t>、</w:t>
            </w:r>
            <w:r>
              <w:rPr>
                <w:rFonts w:hint="default" w:ascii="Times New Roman" w:hAnsi="Times New Roman" w:eastAsia="宋体" w:cs="Times New Roman"/>
                <w:color w:val="auto"/>
                <w:u w:val="single"/>
              </w:rPr>
              <w:t>沉砂池</w:t>
            </w:r>
            <w:r>
              <w:rPr>
                <w:rFonts w:hint="eastAsia" w:ascii="Times New Roman" w:hAnsi="Times New Roman" w:eastAsia="宋体" w:cs="Times New Roman"/>
                <w:color w:val="auto"/>
                <w:u w:val="single"/>
                <w:lang w:eastAsia="zh-CN"/>
              </w:rPr>
              <w:t>、</w:t>
            </w:r>
            <w:r>
              <w:rPr>
                <w:rFonts w:hint="default" w:ascii="Times New Roman" w:hAnsi="Times New Roman" w:eastAsia="宋体" w:cs="Times New Roman"/>
                <w:color w:val="auto"/>
                <w:u w:val="single"/>
              </w:rPr>
              <w:t>调节池</w:t>
            </w:r>
            <w:r>
              <w:rPr>
                <w:rFonts w:hint="eastAsia" w:ascii="Times New Roman" w:hAnsi="Times New Roman" w:eastAsia="宋体" w:cs="Times New Roman"/>
                <w:color w:val="auto"/>
                <w:u w:val="single"/>
                <w:lang w:eastAsia="zh-CN"/>
              </w:rPr>
              <w:t>、</w:t>
            </w:r>
            <w:r>
              <w:rPr>
                <w:rFonts w:hint="default" w:ascii="Times New Roman" w:hAnsi="Times New Roman" w:eastAsia="宋体" w:cs="Times New Roman"/>
                <w:color w:val="auto"/>
                <w:u w:val="single"/>
                <w:lang w:eastAsia="zh-CN"/>
              </w:rPr>
              <w:t>污泥池</w:t>
            </w:r>
            <w:r>
              <w:rPr>
                <w:rFonts w:hint="eastAsia" w:ascii="Times New Roman" w:hAnsi="Times New Roman" w:eastAsia="宋体" w:cs="Times New Roman"/>
                <w:color w:val="auto"/>
                <w:u w:val="single"/>
                <w:lang w:eastAsia="zh-CN"/>
              </w:rPr>
              <w:t>、</w:t>
            </w:r>
            <w:r>
              <w:rPr>
                <w:rFonts w:hint="default" w:ascii="Times New Roman" w:hAnsi="Times New Roman" w:eastAsia="宋体" w:cs="Times New Roman"/>
                <w:color w:val="auto"/>
                <w:u w:val="single"/>
                <w:lang w:eastAsia="zh-CN"/>
              </w:rPr>
              <w:t>清水池</w:t>
            </w:r>
            <w:r>
              <w:rPr>
                <w:rFonts w:hint="eastAsia" w:ascii="Times New Roman" w:hAnsi="Times New Roman" w:eastAsia="宋体" w:cs="Times New Roman"/>
                <w:color w:val="auto"/>
                <w:u w:val="single"/>
                <w:lang w:eastAsia="zh-CN"/>
              </w:rPr>
              <w:t>、</w:t>
            </w:r>
            <w:r>
              <w:rPr>
                <w:rFonts w:hint="default" w:ascii="Times New Roman" w:hAnsi="Times New Roman" w:eastAsia="宋体" w:cs="Times New Roman"/>
                <w:color w:val="auto"/>
                <w:u w:val="single"/>
                <w:lang w:eastAsia="zh-CN"/>
              </w:rPr>
              <w:t>辅助用房</w:t>
            </w:r>
          </w:p>
        </w:tc>
        <w:tc>
          <w:tcPr>
            <w:tcW w:w="870" w:type="pct"/>
            <w:noWrap w:val="0"/>
            <w:vAlign w:val="center"/>
          </w:tcPr>
          <w:p>
            <w:pPr>
              <w:pStyle w:val="73"/>
              <w:rPr>
                <w:rFonts w:hint="default" w:ascii="Times New Roman" w:hAnsi="Times New Roman" w:eastAsia="宋体" w:cs="Times New Roman"/>
                <w:color w:val="auto"/>
                <w:u w:val="single"/>
                <w:lang w:eastAsia="zh-CN"/>
              </w:rPr>
            </w:pPr>
            <w:r>
              <w:rPr>
                <w:rFonts w:hint="eastAsia" w:ascii="Times New Roman" w:hAnsi="Times New Roman" w:eastAsia="宋体" w:cs="Times New Roman"/>
                <w:color w:val="auto"/>
                <w:u w:val="single"/>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251" w:type="pct"/>
            <w:vMerge w:val="continue"/>
            <w:noWrap w:val="0"/>
            <w:vAlign w:val="center"/>
          </w:tcPr>
          <w:p>
            <w:pPr>
              <w:pStyle w:val="73"/>
              <w:rPr>
                <w:rFonts w:hint="default" w:ascii="Times New Roman" w:hAnsi="Times New Roman" w:eastAsia="宋体" w:cs="Times New Roman"/>
                <w:color w:val="auto"/>
                <w:u w:val="single"/>
              </w:rPr>
            </w:pPr>
          </w:p>
        </w:tc>
        <w:tc>
          <w:tcPr>
            <w:tcW w:w="519"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MBR一体化设备</w:t>
            </w:r>
          </w:p>
        </w:tc>
        <w:tc>
          <w:tcPr>
            <w:tcW w:w="43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sz w:val="21"/>
                <w:szCs w:val="21"/>
                <w:u w:val="single"/>
              </w:rPr>
              <w:t>15.0m×5.5m</w:t>
            </w:r>
            <w:r>
              <w:rPr>
                <w:rFonts w:hint="default" w:ascii="Times New Roman" w:hAnsi="Times New Roman" w:eastAsia="宋体" w:cs="Times New Roman"/>
                <w:color w:val="auto"/>
                <w:u w:val="single"/>
              </w:rPr>
              <w:t xml:space="preserve"> </w:t>
            </w:r>
          </w:p>
        </w:tc>
        <w:tc>
          <w:tcPr>
            <w:tcW w:w="1019" w:type="pct"/>
            <w:noWrap w:val="0"/>
            <w:vAlign w:val="center"/>
          </w:tcPr>
          <w:p>
            <w:pPr>
              <w:pStyle w:val="73"/>
              <w:rPr>
                <w:rFonts w:hint="eastAsia" w:ascii="Times New Roman" w:hAnsi="Times New Roman" w:eastAsia="宋体" w:cs="Times New Roman"/>
                <w:color w:val="auto"/>
                <w:u w:val="single"/>
                <w:lang w:eastAsia="zh-CN"/>
              </w:rPr>
            </w:pPr>
            <w:r>
              <w:rPr>
                <w:rFonts w:hint="eastAsia" w:ascii="Times New Roman" w:hAnsi="Times New Roman" w:eastAsia="宋体" w:cs="Times New Roman"/>
                <w:color w:val="auto"/>
                <w:u w:val="single"/>
                <w:lang w:val="en-US" w:eastAsia="zh-CN"/>
              </w:rPr>
              <w:t>3</w:t>
            </w:r>
          </w:p>
        </w:tc>
        <w:tc>
          <w:tcPr>
            <w:tcW w:w="850"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kern w:val="0"/>
                <w:u w:val="single"/>
              </w:rPr>
              <w:t>去除有机物、氨氮、SS和总P</w:t>
            </w:r>
          </w:p>
        </w:tc>
        <w:tc>
          <w:tcPr>
            <w:tcW w:w="803"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半地下式钢筋砼，封闭式</w:t>
            </w:r>
          </w:p>
        </w:tc>
        <w:tc>
          <w:tcPr>
            <w:tcW w:w="870" w:type="pct"/>
            <w:noWrap w:val="0"/>
            <w:vAlign w:val="center"/>
          </w:tcPr>
          <w:p>
            <w:pPr>
              <w:pStyle w:val="73"/>
              <w:jc w:val="both"/>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单套设计处理量</w:t>
            </w:r>
            <w:r>
              <w:rPr>
                <w:rFonts w:hint="default" w:ascii="Times New Roman" w:hAnsi="Times New Roman" w:eastAsia="宋体" w:cs="Times New Roman"/>
                <w:color w:val="auto"/>
                <w:u w:val="single"/>
                <w:lang w:val="en-US" w:eastAsia="zh-CN"/>
              </w:rPr>
              <w:t>200m</w:t>
            </w:r>
            <w:r>
              <w:rPr>
                <w:rFonts w:hint="default" w:ascii="Times New Roman" w:hAnsi="Times New Roman" w:eastAsia="宋体" w:cs="Times New Roman"/>
                <w:color w:val="auto"/>
                <w:u w:val="single"/>
                <w:vertAlign w:val="superscript"/>
                <w:lang w:val="en-US" w:eastAsia="zh-CN"/>
              </w:rPr>
              <w:t>3</w:t>
            </w:r>
            <w:r>
              <w:rPr>
                <w:rFonts w:hint="default" w:ascii="Times New Roman" w:hAnsi="Times New Roman" w:eastAsia="宋体" w:cs="Times New Roman"/>
                <w:color w:val="auto"/>
                <w:u w:val="single"/>
              </w:rPr>
              <w:t>/d，设备包括厌氧区、缺氧区、好氧区、膜区，一体化设备集成配套电磁流量计和紫外消毒管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1203"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配套管网工程</w:t>
            </w:r>
          </w:p>
        </w:tc>
        <w:tc>
          <w:tcPr>
            <w:tcW w:w="2673" w:type="pct"/>
            <w:gridSpan w:val="4"/>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eastAsia="zh-CN"/>
              </w:rPr>
              <w:t>污水收集管道长</w:t>
            </w:r>
            <w:r>
              <w:rPr>
                <w:rFonts w:hint="default" w:ascii="Times New Roman" w:hAnsi="Times New Roman" w:eastAsia="宋体" w:cs="Times New Roman"/>
                <w:color w:val="auto"/>
                <w:u w:val="single"/>
                <w:lang w:val="en-US" w:eastAsia="zh-CN"/>
              </w:rPr>
              <w:t>1500m</w:t>
            </w:r>
            <w:r>
              <w:rPr>
                <w:rFonts w:hint="eastAsia"/>
                <w:lang w:eastAsia="zh-CN"/>
              </w:rPr>
              <w:t>，</w:t>
            </w:r>
            <w:r>
              <w:rPr>
                <w:rFonts w:hint="default" w:ascii="Times New Roman" w:hAnsi="Times New Roman" w:cs="Times New Roman"/>
                <w:lang w:eastAsia="zh-CN"/>
              </w:rPr>
              <w:t>污水排放管网长度为2050m</w:t>
            </w:r>
          </w:p>
        </w:tc>
        <w:tc>
          <w:tcPr>
            <w:tcW w:w="870"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公用工程</w:t>
            </w:r>
          </w:p>
        </w:tc>
        <w:tc>
          <w:tcPr>
            <w:tcW w:w="1203"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给水工程</w:t>
            </w:r>
          </w:p>
        </w:tc>
        <w:tc>
          <w:tcPr>
            <w:tcW w:w="3544" w:type="pct"/>
            <w:gridSpan w:val="5"/>
            <w:vMerge w:val="restart"/>
            <w:noWrap w:val="0"/>
            <w:vAlign w:val="center"/>
          </w:tcPr>
          <w:p>
            <w:pPr>
              <w:pStyle w:val="73"/>
              <w:rPr>
                <w:rFonts w:hint="eastAsia" w:ascii="Times New Roman" w:hAnsi="Times New Roman" w:eastAsia="宋体" w:cs="Times New Roman"/>
                <w:color w:val="auto"/>
                <w:u w:val="single"/>
                <w:lang w:eastAsia="zh-CN"/>
              </w:rPr>
            </w:pPr>
            <w:r>
              <w:rPr>
                <w:rFonts w:hint="eastAsia" w:ascii="Times New Roman" w:hAnsi="Times New Roman" w:eastAsia="宋体" w:cs="Times New Roman"/>
                <w:color w:val="auto"/>
                <w:u w:val="single"/>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1203"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排水工程</w:t>
            </w:r>
          </w:p>
        </w:tc>
        <w:tc>
          <w:tcPr>
            <w:tcW w:w="3544" w:type="pct"/>
            <w:gridSpan w:val="5"/>
            <w:vMerge w:val="continue"/>
            <w:noWrap w:val="0"/>
            <w:vAlign w:val="center"/>
          </w:tcPr>
          <w:p>
            <w:pPr>
              <w:pStyle w:val="73"/>
              <w:rPr>
                <w:rFonts w:hint="default" w:ascii="Times New Roman" w:hAnsi="Times New Roman" w:eastAsia="宋体"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1203"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供电工程</w:t>
            </w:r>
          </w:p>
        </w:tc>
        <w:tc>
          <w:tcPr>
            <w:tcW w:w="3544" w:type="pct"/>
            <w:gridSpan w:val="5"/>
            <w:vMerge w:val="continue"/>
            <w:noWrap w:val="0"/>
            <w:vAlign w:val="center"/>
          </w:tcPr>
          <w:p>
            <w:pPr>
              <w:pStyle w:val="73"/>
              <w:rPr>
                <w:rFonts w:hint="default" w:ascii="Times New Roman" w:hAnsi="Times New Roman" w:eastAsia="宋体"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1203"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通风系统</w:t>
            </w:r>
          </w:p>
        </w:tc>
        <w:tc>
          <w:tcPr>
            <w:tcW w:w="3544" w:type="pct"/>
            <w:gridSpan w:val="5"/>
            <w:vMerge w:val="continue"/>
            <w:noWrap w:val="0"/>
            <w:vAlign w:val="center"/>
          </w:tcPr>
          <w:p>
            <w:pPr>
              <w:pStyle w:val="73"/>
              <w:rPr>
                <w:rFonts w:hint="default" w:ascii="Times New Roman" w:hAnsi="Times New Roman" w:eastAsia="宋体"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1203"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消防</w:t>
            </w:r>
          </w:p>
        </w:tc>
        <w:tc>
          <w:tcPr>
            <w:tcW w:w="3544" w:type="pct"/>
            <w:gridSpan w:val="5"/>
            <w:vMerge w:val="continue"/>
            <w:noWrap w:val="0"/>
            <w:vAlign w:val="center"/>
          </w:tcPr>
          <w:p>
            <w:pPr>
              <w:pStyle w:val="73"/>
              <w:rPr>
                <w:rFonts w:hint="default" w:ascii="Times New Roman" w:hAnsi="Times New Roman" w:eastAsia="宋体"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环保工程</w:t>
            </w:r>
          </w:p>
        </w:tc>
        <w:tc>
          <w:tcPr>
            <w:tcW w:w="1203"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噪声治理</w:t>
            </w:r>
          </w:p>
        </w:tc>
        <w:tc>
          <w:tcPr>
            <w:tcW w:w="3544" w:type="pct"/>
            <w:gridSpan w:val="5"/>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减震、隔声、减噪设备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1203"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废水治理</w:t>
            </w:r>
          </w:p>
        </w:tc>
        <w:tc>
          <w:tcPr>
            <w:tcW w:w="2049"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采用“</w:t>
            </w:r>
            <w:r>
              <w:rPr>
                <w:rFonts w:hint="default" w:ascii="Times New Roman" w:hAnsi="Times New Roman" w:eastAsia="宋体" w:cs="Times New Roman"/>
                <w:color w:val="auto"/>
                <w:u w:val="single"/>
                <w:lang w:eastAsia="zh-CN"/>
              </w:rPr>
              <w:t>格栅渠</w:t>
            </w:r>
            <w:r>
              <w:rPr>
                <w:rFonts w:hint="default" w:ascii="Times New Roman" w:hAnsi="Times New Roman" w:eastAsia="宋体" w:cs="Times New Roman"/>
                <w:color w:val="auto"/>
                <w:u w:val="single"/>
              </w:rPr>
              <w:t>→沉砂池→调节池→</w:t>
            </w:r>
            <w:r>
              <w:rPr>
                <w:rFonts w:hint="default" w:ascii="Times New Roman" w:hAnsi="Times New Roman" w:eastAsia="宋体" w:cs="Times New Roman"/>
                <w:color w:val="auto"/>
                <w:u w:val="single"/>
                <w:lang w:val="en-US" w:eastAsia="zh-CN"/>
              </w:rPr>
              <w:t>MBR一体化设备</w:t>
            </w:r>
            <w:r>
              <w:rPr>
                <w:rFonts w:hint="default" w:ascii="Times New Roman" w:hAnsi="Times New Roman" w:eastAsia="宋体" w:cs="Times New Roman"/>
                <w:color w:val="auto"/>
                <w:u w:val="single"/>
              </w:rPr>
              <w:t>→</w:t>
            </w:r>
            <w:r>
              <w:rPr>
                <w:rFonts w:hint="default" w:ascii="Times New Roman" w:hAnsi="Times New Roman" w:eastAsia="宋体" w:cs="Times New Roman"/>
                <w:color w:val="auto"/>
                <w:u w:val="single"/>
                <w:lang w:eastAsia="zh-CN"/>
              </w:rPr>
              <w:t>清水池</w:t>
            </w:r>
            <w:r>
              <w:rPr>
                <w:rFonts w:hint="default" w:ascii="Times New Roman" w:hAnsi="Times New Roman" w:eastAsia="宋体" w:cs="Times New Roman"/>
                <w:color w:val="auto"/>
                <w:u w:val="single"/>
              </w:rPr>
              <w:t>”工艺达标排入</w:t>
            </w:r>
            <w:r>
              <w:rPr>
                <w:rFonts w:hint="default" w:ascii="Times New Roman" w:hAnsi="Times New Roman" w:eastAsia="宋体" w:cs="Times New Roman"/>
                <w:color w:val="auto"/>
                <w:u w:val="single"/>
                <w:lang w:eastAsia="zh-CN"/>
              </w:rPr>
              <w:t>猛洞</w:t>
            </w:r>
            <w:r>
              <w:rPr>
                <w:rFonts w:hint="default" w:ascii="Times New Roman" w:hAnsi="Times New Roman" w:eastAsia="宋体" w:cs="Times New Roman"/>
                <w:color w:val="auto"/>
                <w:u w:val="single"/>
              </w:rPr>
              <w:t>河</w:t>
            </w:r>
          </w:p>
        </w:tc>
        <w:tc>
          <w:tcPr>
            <w:tcW w:w="1494" w:type="pct"/>
            <w:gridSpan w:val="2"/>
            <w:noWrap w:val="0"/>
            <w:vAlign w:val="center"/>
          </w:tcPr>
          <w:p>
            <w:pPr>
              <w:pStyle w:val="73"/>
              <w:rPr>
                <w:rFonts w:hint="eastAsia" w:ascii="Times New Roman" w:hAnsi="Times New Roman" w:eastAsia="宋体" w:cs="Times New Roman"/>
                <w:color w:val="auto"/>
                <w:u w:val="single"/>
                <w:lang w:eastAsia="zh-CN"/>
              </w:rPr>
            </w:pPr>
            <w:r>
              <w:rPr>
                <w:rFonts w:hint="eastAsia" w:ascii="Times New Roman" w:hAnsi="Times New Roman" w:eastAsia="宋体" w:cs="Times New Roman"/>
                <w:color w:val="auto"/>
                <w:u w:val="single"/>
                <w:lang w:eastAsia="zh-CN"/>
              </w:rPr>
              <w:t>二期仅</w:t>
            </w:r>
            <w:r>
              <w:rPr>
                <w:rFonts w:hint="default" w:ascii="Times New Roman" w:hAnsi="Times New Roman" w:eastAsia="宋体" w:cs="Times New Roman"/>
                <w:color w:val="auto"/>
                <w:u w:val="single"/>
                <w:lang w:eastAsia="zh-CN"/>
              </w:rPr>
              <w:t>增加</w:t>
            </w:r>
            <w:r>
              <w:rPr>
                <w:rFonts w:hint="default" w:ascii="Times New Roman" w:hAnsi="Times New Roman" w:cs="Times New Roman"/>
                <w:u w:val="single"/>
                <w:lang w:val="en-US" w:eastAsia="zh-CN"/>
              </w:rPr>
              <w:t>3套MBR一</w:t>
            </w:r>
            <w:r>
              <w:rPr>
                <w:rFonts w:hint="eastAsia"/>
                <w:u w:val="single"/>
                <w:lang w:val="en-US" w:eastAsia="zh-CN"/>
              </w:rPr>
              <w:t>体化设备，其他</w:t>
            </w:r>
            <w:r>
              <w:rPr>
                <w:rFonts w:hint="eastAsia" w:ascii="Times New Roman" w:hAnsi="Times New Roman" w:eastAsia="宋体" w:cs="Times New Roman"/>
                <w:color w:val="auto"/>
                <w:u w:val="single"/>
                <w:lang w:eastAsia="zh-CN"/>
              </w:rPr>
              <w:t>污水处理建构筑物依托一期工程，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1203"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废气治理</w:t>
            </w:r>
          </w:p>
        </w:tc>
        <w:tc>
          <w:tcPr>
            <w:tcW w:w="2049" w:type="pct"/>
            <w:gridSpan w:val="3"/>
            <w:noWrap w:val="0"/>
            <w:vAlign w:val="center"/>
          </w:tcPr>
          <w:p>
            <w:pPr>
              <w:pStyle w:val="73"/>
              <w:rPr>
                <w:rFonts w:hint="default" w:ascii="Times New Roman" w:hAnsi="Times New Roman" w:eastAsia="宋体" w:cs="Times New Roman"/>
                <w:color w:val="auto"/>
                <w:u w:val="single"/>
              </w:rPr>
            </w:pPr>
            <w:r>
              <w:rPr>
                <w:rFonts w:hint="eastAsia" w:ascii="Times New Roman" w:hAnsi="Times New Roman" w:eastAsia="宋体" w:cs="Times New Roman"/>
                <w:color w:val="auto"/>
                <w:u w:val="single"/>
                <w:lang w:eastAsia="zh-CN"/>
              </w:rPr>
              <w:t>新增污水设备</w:t>
            </w:r>
            <w:r>
              <w:rPr>
                <w:rFonts w:hint="default" w:ascii="Times New Roman" w:hAnsi="Times New Roman" w:eastAsia="宋体" w:cs="Times New Roman"/>
                <w:color w:val="auto"/>
                <w:u w:val="single"/>
              </w:rPr>
              <w:t>定期喷洒植物除臭剂</w:t>
            </w:r>
          </w:p>
        </w:tc>
        <w:tc>
          <w:tcPr>
            <w:tcW w:w="149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污泥脱水间</w:t>
            </w:r>
            <w:r>
              <w:rPr>
                <w:rFonts w:hint="eastAsia" w:ascii="Times New Roman" w:hAnsi="Times New Roman" w:eastAsia="宋体" w:cs="Times New Roman"/>
                <w:color w:val="auto"/>
                <w:u w:val="single"/>
                <w:lang w:eastAsia="zh-CN"/>
              </w:rPr>
              <w:t>废气依托一期工程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1203" w:type="pct"/>
            <w:gridSpan w:val="3"/>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固废治理</w:t>
            </w:r>
          </w:p>
        </w:tc>
        <w:tc>
          <w:tcPr>
            <w:tcW w:w="2049"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设置分类垃圾桶由环卫部门统一处理</w:t>
            </w:r>
          </w:p>
        </w:tc>
        <w:tc>
          <w:tcPr>
            <w:tcW w:w="1494" w:type="pct"/>
            <w:gridSpan w:val="2"/>
            <w:noWrap w:val="0"/>
            <w:vAlign w:val="center"/>
          </w:tcPr>
          <w:p>
            <w:pPr>
              <w:pStyle w:val="73"/>
              <w:rPr>
                <w:rFonts w:hint="default" w:ascii="Times New Roman" w:hAnsi="Times New Roman" w:eastAsia="宋体" w:cs="Times New Roman"/>
                <w:color w:val="auto"/>
                <w:u w:val="single"/>
              </w:rPr>
            </w:pPr>
            <w:r>
              <w:rPr>
                <w:rFonts w:hint="eastAsia" w:ascii="Times New Roman" w:hAnsi="Times New Roman" w:eastAsia="宋体" w:cs="Times New Roman"/>
                <w:color w:val="auto"/>
                <w:u w:val="single"/>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1203" w:type="pct"/>
            <w:gridSpan w:val="3"/>
            <w:vMerge w:val="continue"/>
            <w:noWrap w:val="0"/>
            <w:vAlign w:val="center"/>
          </w:tcPr>
          <w:p>
            <w:pPr>
              <w:pStyle w:val="73"/>
              <w:rPr>
                <w:rFonts w:hint="default" w:ascii="Times New Roman" w:hAnsi="Times New Roman" w:eastAsia="宋体" w:cs="Times New Roman"/>
                <w:color w:val="auto"/>
                <w:u w:val="single"/>
              </w:rPr>
            </w:pPr>
          </w:p>
        </w:tc>
        <w:tc>
          <w:tcPr>
            <w:tcW w:w="2049" w:type="pct"/>
            <w:gridSpan w:val="3"/>
            <w:noWrap w:val="0"/>
            <w:vAlign w:val="center"/>
          </w:tcPr>
          <w:p>
            <w:pPr>
              <w:pStyle w:val="73"/>
              <w:jc w:val="both"/>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rPr>
              <w:t>污泥如为危险废物，运营单位应按照危险废物要求进行管理，并委托具有相应资质单位进行安全处置；如鉴别属于一般固废，外运至</w:t>
            </w:r>
            <w:r>
              <w:rPr>
                <w:rFonts w:hint="default" w:ascii="Times New Roman" w:hAnsi="Times New Roman" w:eastAsia="宋体" w:cs="Times New Roman"/>
                <w:color w:val="auto"/>
                <w:u w:val="single"/>
                <w:lang w:eastAsia="zh-CN"/>
              </w:rPr>
              <w:t>永顺县</w:t>
            </w:r>
            <w:r>
              <w:rPr>
                <w:rFonts w:hint="default" w:ascii="Times New Roman" w:hAnsi="Times New Roman" w:eastAsia="宋体" w:cs="Times New Roman"/>
                <w:color w:val="auto"/>
                <w:u w:val="single"/>
              </w:rPr>
              <w:t>生活垃圾填埋场</w:t>
            </w:r>
            <w:r>
              <w:rPr>
                <w:rFonts w:hint="default" w:ascii="Times New Roman" w:hAnsi="Times New Roman" w:eastAsia="宋体" w:cs="Times New Roman"/>
                <w:color w:val="auto"/>
                <w:u w:val="single"/>
                <w:lang w:eastAsia="zh-CN"/>
              </w:rPr>
              <w:t>；废紫外灯管及废活性炭</w:t>
            </w:r>
            <w:r>
              <w:rPr>
                <w:rFonts w:hint="eastAsia" w:ascii="Times New Roman" w:hAnsi="Times New Roman" w:eastAsia="宋体" w:cs="Times New Roman"/>
                <w:color w:val="auto"/>
                <w:u w:val="single"/>
                <w:lang w:eastAsia="zh-CN"/>
              </w:rPr>
              <w:t>由厂家定期回收</w:t>
            </w:r>
          </w:p>
        </w:tc>
        <w:tc>
          <w:tcPr>
            <w:tcW w:w="1494" w:type="pct"/>
            <w:gridSpan w:val="2"/>
            <w:noWrap w:val="0"/>
            <w:vAlign w:val="center"/>
          </w:tcPr>
          <w:p>
            <w:pPr>
              <w:pStyle w:val="73"/>
              <w:rPr>
                <w:rFonts w:hint="eastAsia" w:ascii="Times New Roman" w:hAnsi="Times New Roman" w:eastAsia="宋体" w:cs="Times New Roman"/>
                <w:color w:val="auto"/>
                <w:u w:val="single"/>
                <w:lang w:eastAsia="zh-CN"/>
              </w:rPr>
            </w:pPr>
            <w:r>
              <w:rPr>
                <w:rFonts w:hint="eastAsia" w:ascii="Times New Roman" w:hAnsi="Times New Roman" w:eastAsia="宋体" w:cs="Times New Roman"/>
                <w:color w:val="auto"/>
                <w:u w:val="single"/>
                <w:lang w:eastAsia="zh-CN"/>
              </w:rPr>
              <w:t>危废暂存间依托一期工程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2" w:type="pct"/>
            <w:vMerge w:val="continue"/>
            <w:noWrap w:val="0"/>
            <w:vAlign w:val="center"/>
          </w:tcPr>
          <w:p>
            <w:pPr>
              <w:pStyle w:val="73"/>
              <w:rPr>
                <w:rFonts w:hint="default" w:ascii="Times New Roman" w:hAnsi="Times New Roman" w:eastAsia="宋体" w:cs="Times New Roman"/>
                <w:color w:val="auto"/>
                <w:u w:val="single"/>
              </w:rPr>
            </w:pPr>
          </w:p>
        </w:tc>
        <w:tc>
          <w:tcPr>
            <w:tcW w:w="1203" w:type="pct"/>
            <w:gridSpan w:val="3"/>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绿化工程</w:t>
            </w:r>
          </w:p>
        </w:tc>
        <w:tc>
          <w:tcPr>
            <w:tcW w:w="3544" w:type="pct"/>
            <w:gridSpan w:val="5"/>
            <w:noWrap w:val="0"/>
            <w:vAlign w:val="center"/>
          </w:tcPr>
          <w:p>
            <w:pPr>
              <w:pStyle w:val="73"/>
              <w:rPr>
                <w:rFonts w:hint="default" w:ascii="Times New Roman" w:hAnsi="Times New Roman" w:eastAsia="宋体" w:cs="Times New Roman"/>
                <w:color w:val="auto"/>
                <w:u w:val="single"/>
              </w:rPr>
            </w:pPr>
            <w:r>
              <w:rPr>
                <w:rFonts w:hint="eastAsia" w:ascii="Times New Roman" w:hAnsi="Times New Roman" w:eastAsia="宋体" w:cs="Times New Roman"/>
                <w:color w:val="auto"/>
                <w:u w:val="single"/>
                <w:lang w:eastAsia="zh-CN"/>
              </w:rPr>
              <w:t>依托一期工程</w:t>
            </w:r>
          </w:p>
        </w:tc>
      </w:tr>
    </w:tbl>
    <w:p>
      <w:pPr>
        <w:pStyle w:val="6"/>
        <w:bidi w:val="0"/>
        <w:rPr>
          <w:rFonts w:hint="eastAsia"/>
        </w:rPr>
      </w:pPr>
      <w:r>
        <w:rPr>
          <w:rFonts w:hint="eastAsia"/>
        </w:rPr>
        <w:t>2.</w:t>
      </w:r>
      <w:r>
        <w:t>1</w:t>
      </w:r>
      <w:r>
        <w:rPr>
          <w:rFonts w:hint="eastAsia"/>
        </w:rPr>
        <w:t>.3  主要设备</w:t>
      </w:r>
    </w:p>
    <w:p>
      <w:pPr>
        <w:ind w:firstLine="480"/>
        <w:rPr>
          <w:rFonts w:hint="eastAsia"/>
          <w:color w:val="auto"/>
          <w:kern w:val="0"/>
          <w:szCs w:val="21"/>
          <w:u w:val="none"/>
        </w:rPr>
      </w:pPr>
      <w:r>
        <w:rPr>
          <w:rFonts w:hint="eastAsia"/>
          <w:color w:val="auto"/>
          <w:kern w:val="0"/>
          <w:szCs w:val="21"/>
          <w:u w:val="none"/>
          <w:lang w:eastAsia="zh-CN"/>
        </w:rPr>
        <w:t>一期工程</w:t>
      </w:r>
      <w:r>
        <w:rPr>
          <w:rFonts w:hint="eastAsia"/>
          <w:color w:val="auto"/>
          <w:kern w:val="0"/>
          <w:szCs w:val="21"/>
          <w:u w:val="none"/>
        </w:rPr>
        <w:t>主要设备见下表。</w:t>
      </w:r>
    </w:p>
    <w:p>
      <w:pPr>
        <w:ind w:firstLine="422"/>
        <w:jc w:val="center"/>
        <w:rPr>
          <w:rFonts w:hint="eastAsia" w:eastAsia="宋体"/>
          <w:b/>
          <w:color w:val="auto"/>
          <w:kern w:val="0"/>
          <w:sz w:val="21"/>
          <w:szCs w:val="21"/>
          <w:u w:val="none"/>
          <w:lang w:eastAsia="zh-CN"/>
        </w:rPr>
      </w:pPr>
      <w:r>
        <w:rPr>
          <w:rFonts w:hint="eastAsia"/>
          <w:b/>
          <w:color w:val="auto"/>
          <w:kern w:val="0"/>
          <w:sz w:val="21"/>
          <w:szCs w:val="21"/>
          <w:u w:val="none"/>
        </w:rPr>
        <w:t>表2.</w:t>
      </w:r>
      <w:r>
        <w:rPr>
          <w:b/>
          <w:color w:val="auto"/>
          <w:kern w:val="0"/>
          <w:sz w:val="21"/>
          <w:szCs w:val="21"/>
          <w:u w:val="none"/>
        </w:rPr>
        <w:t>1</w:t>
      </w:r>
      <w:r>
        <w:rPr>
          <w:rFonts w:hint="eastAsia"/>
          <w:b/>
          <w:color w:val="auto"/>
          <w:kern w:val="0"/>
          <w:sz w:val="21"/>
          <w:szCs w:val="21"/>
          <w:u w:val="none"/>
        </w:rPr>
        <w:t>-</w:t>
      </w:r>
      <w:r>
        <w:rPr>
          <w:rFonts w:hint="eastAsia"/>
          <w:b/>
          <w:color w:val="auto"/>
          <w:kern w:val="0"/>
          <w:sz w:val="21"/>
          <w:szCs w:val="21"/>
          <w:u w:val="none"/>
          <w:lang w:val="en-US" w:eastAsia="zh-CN"/>
        </w:rPr>
        <w:t>3</w:t>
      </w:r>
      <w:r>
        <w:rPr>
          <w:rFonts w:hint="eastAsia"/>
          <w:b/>
          <w:color w:val="auto"/>
          <w:kern w:val="0"/>
          <w:sz w:val="21"/>
          <w:szCs w:val="21"/>
          <w:u w:val="none"/>
        </w:rPr>
        <w:t xml:space="preserve"> 污水厂主要设备一览表</w:t>
      </w:r>
      <w:r>
        <w:rPr>
          <w:rFonts w:hint="eastAsia"/>
          <w:b/>
          <w:color w:val="auto"/>
          <w:kern w:val="0"/>
          <w:sz w:val="21"/>
          <w:szCs w:val="21"/>
          <w:u w:val="none"/>
          <w:lang w:eastAsia="zh-CN"/>
        </w:rPr>
        <w:t>（一期）</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304"/>
        <w:gridCol w:w="3192"/>
        <w:gridCol w:w="447"/>
        <w:gridCol w:w="753"/>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430"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361"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885" w:type="pct"/>
            <w:shd w:val="clear" w:color="auto" w:fill="FFFFFF"/>
            <w:noWrap w:val="0"/>
            <w:vAlign w:val="center"/>
          </w:tcPr>
          <w:p>
            <w:pPr>
              <w:spacing w:line="240" w:lineRule="auto"/>
              <w:ind w:firstLine="48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规格及型号</w:t>
            </w:r>
          </w:p>
        </w:tc>
        <w:tc>
          <w:tcPr>
            <w:tcW w:w="264"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44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615" w:type="pct"/>
            <w:shd w:val="clear" w:color="auto" w:fill="FFFFFF"/>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324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预处理池</w:t>
            </w:r>
          </w:p>
        </w:tc>
        <w:tc>
          <w:tcPr>
            <w:tcW w:w="264" w:type="pct"/>
            <w:noWrap w:val="0"/>
            <w:vAlign w:val="center"/>
          </w:tcPr>
          <w:p>
            <w:pPr>
              <w:spacing w:line="240" w:lineRule="auto"/>
              <w:ind w:firstLine="480" w:firstLineChars="0"/>
              <w:jc w:val="center"/>
              <w:rPr>
                <w:rFonts w:hint="default" w:ascii="Times New Roman" w:hAnsi="Times New Roman" w:eastAsia="宋体" w:cs="Times New Roman"/>
                <w:color w:val="auto"/>
                <w:sz w:val="21"/>
                <w:szCs w:val="21"/>
              </w:rPr>
            </w:pPr>
          </w:p>
        </w:tc>
        <w:tc>
          <w:tcPr>
            <w:tcW w:w="445" w:type="pct"/>
            <w:noWrap w:val="0"/>
            <w:vAlign w:val="center"/>
          </w:tcPr>
          <w:p>
            <w:pPr>
              <w:spacing w:line="240" w:lineRule="auto"/>
              <w:ind w:firstLine="480" w:firstLineChars="0"/>
              <w:jc w:val="center"/>
              <w:rPr>
                <w:rFonts w:hint="default" w:ascii="Times New Roman" w:hAnsi="Times New Roman" w:eastAsia="宋体" w:cs="Times New Roman"/>
                <w:color w:val="auto"/>
                <w:sz w:val="21"/>
                <w:szCs w:val="21"/>
              </w:rPr>
            </w:pPr>
          </w:p>
        </w:tc>
        <w:tc>
          <w:tcPr>
            <w:tcW w:w="615" w:type="pct"/>
            <w:noWrap w:val="0"/>
            <w:vAlign w:val="center"/>
          </w:tcPr>
          <w:p>
            <w:pPr>
              <w:spacing w:line="240" w:lineRule="auto"/>
              <w:ind w:firstLine="48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格栅除污机</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栅隙10mm</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闸门</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B×H＝0.4x0.4m，手动启闭</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提砂泵</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default" w:ascii="Times New Roman" w:hAnsi="Times New Roman" w:eastAsia="宋体" w:cs="Times New Roman"/>
                <w:color w:val="auto"/>
                <w:sz w:val="21"/>
                <w:szCs w:val="21"/>
                <w:lang w:val="pl-PL"/>
              </w:rPr>
              <w:t>Q=12m</w:t>
            </w:r>
            <w:r>
              <w:rPr>
                <w:rFonts w:hint="default" w:ascii="Times New Roman" w:hAnsi="Times New Roman" w:eastAsia="宋体" w:cs="Times New Roman"/>
                <w:color w:val="auto"/>
                <w:sz w:val="21"/>
                <w:szCs w:val="21"/>
                <w:vertAlign w:val="superscript"/>
                <w:lang w:val="pl-PL"/>
              </w:rPr>
              <w:t>3</w:t>
            </w:r>
            <w:r>
              <w:rPr>
                <w:rFonts w:hint="default" w:ascii="Times New Roman" w:hAnsi="Times New Roman" w:eastAsia="宋体" w:cs="Times New Roman"/>
                <w:color w:val="auto"/>
                <w:sz w:val="21"/>
                <w:szCs w:val="21"/>
                <w:lang w:val="pl-PL"/>
              </w:rPr>
              <w:t>/h，H=10m，N=0.75kW</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调节池提升泵</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default" w:ascii="Times New Roman" w:hAnsi="Times New Roman" w:eastAsia="宋体" w:cs="Times New Roman"/>
                <w:color w:val="auto"/>
                <w:sz w:val="21"/>
                <w:szCs w:val="21"/>
                <w:lang w:val="pl-PL"/>
              </w:rPr>
              <w:t>Q=45m</w:t>
            </w:r>
            <w:r>
              <w:rPr>
                <w:rFonts w:hint="default" w:ascii="Times New Roman" w:hAnsi="Times New Roman" w:eastAsia="宋体" w:cs="Times New Roman"/>
                <w:color w:val="auto"/>
                <w:sz w:val="21"/>
                <w:szCs w:val="21"/>
                <w:vertAlign w:val="superscript"/>
                <w:lang w:val="pl-PL"/>
              </w:rPr>
              <w:t>3</w:t>
            </w:r>
            <w:r>
              <w:rPr>
                <w:rFonts w:hint="default" w:ascii="Times New Roman" w:hAnsi="Times New Roman" w:eastAsia="宋体" w:cs="Times New Roman"/>
                <w:color w:val="auto"/>
                <w:sz w:val="21"/>
                <w:szCs w:val="21"/>
                <w:lang w:val="pl-PL"/>
              </w:rPr>
              <w:t>/h，H=10m，N=3.0kW</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潜水搅拌机</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default" w:ascii="Times New Roman" w:hAnsi="Times New Roman" w:eastAsia="宋体" w:cs="Times New Roman"/>
                <w:color w:val="auto"/>
                <w:sz w:val="21"/>
                <w:szCs w:val="21"/>
                <w:lang w:val="pl-PL"/>
              </w:rPr>
              <w:t>Φ400，转速740 r/min，N=1.5kw</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污泥泵</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default" w:ascii="Times New Roman" w:hAnsi="Times New Roman" w:eastAsia="宋体" w:cs="Times New Roman"/>
                <w:color w:val="auto"/>
                <w:sz w:val="21"/>
                <w:szCs w:val="21"/>
                <w:lang w:val="pl-PL"/>
              </w:rPr>
              <w:t>Q=8m</w:t>
            </w:r>
            <w:r>
              <w:rPr>
                <w:rFonts w:hint="default" w:ascii="Times New Roman" w:hAnsi="Times New Roman" w:eastAsia="宋体" w:cs="Times New Roman"/>
                <w:color w:val="auto"/>
                <w:sz w:val="21"/>
                <w:szCs w:val="21"/>
                <w:vertAlign w:val="superscript"/>
                <w:lang w:val="pl-PL"/>
              </w:rPr>
              <w:t>3</w:t>
            </w:r>
            <w:r>
              <w:rPr>
                <w:rFonts w:hint="default" w:ascii="Times New Roman" w:hAnsi="Times New Roman" w:eastAsia="宋体" w:cs="Times New Roman"/>
                <w:color w:val="auto"/>
                <w:sz w:val="21"/>
                <w:szCs w:val="21"/>
                <w:lang w:val="pl-PL"/>
              </w:rPr>
              <w:t>/h，H=10m，N=0.75kW</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清水反洗泵</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default" w:ascii="Times New Roman" w:hAnsi="Times New Roman" w:eastAsia="宋体" w:cs="Times New Roman"/>
                <w:color w:val="auto"/>
                <w:sz w:val="21"/>
                <w:szCs w:val="21"/>
                <w:lang w:val="pl-PL"/>
              </w:rPr>
              <w:t>Q=25m</w:t>
            </w:r>
            <w:r>
              <w:rPr>
                <w:rFonts w:hint="default" w:ascii="Times New Roman" w:hAnsi="Times New Roman" w:eastAsia="宋体" w:cs="Times New Roman"/>
                <w:color w:val="auto"/>
                <w:sz w:val="21"/>
                <w:szCs w:val="21"/>
                <w:vertAlign w:val="superscript"/>
                <w:lang w:val="pl-PL"/>
              </w:rPr>
              <w:t>3</w:t>
            </w:r>
            <w:r>
              <w:rPr>
                <w:rFonts w:hint="default" w:ascii="Times New Roman" w:hAnsi="Times New Roman" w:eastAsia="宋体" w:cs="Times New Roman"/>
                <w:color w:val="auto"/>
                <w:sz w:val="21"/>
                <w:szCs w:val="21"/>
                <w:lang w:val="pl-PL"/>
              </w:rPr>
              <w:t>/h，H=10m，N=2.2kW</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手推栅渣小车</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V=0.5m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，碳钢防腐材质</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辆</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48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自清洗过滤器</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default" w:ascii="Times New Roman" w:hAnsi="Times New Roman" w:eastAsia="宋体" w:cs="Times New Roman"/>
                <w:color w:val="auto"/>
                <w:sz w:val="21"/>
                <w:szCs w:val="21"/>
                <w:lang w:val="pl-PL"/>
              </w:rPr>
              <w:t>处理能力50m</w:t>
            </w:r>
            <w:r>
              <w:rPr>
                <w:rFonts w:hint="default" w:ascii="Times New Roman" w:hAnsi="Times New Roman" w:eastAsia="宋体" w:cs="Times New Roman"/>
                <w:color w:val="auto"/>
                <w:sz w:val="21"/>
                <w:szCs w:val="21"/>
                <w:vertAlign w:val="superscript"/>
                <w:lang w:val="pl-PL"/>
              </w:rPr>
              <w:t>3</w:t>
            </w:r>
            <w:r>
              <w:rPr>
                <w:rFonts w:hint="default" w:ascii="Times New Roman" w:hAnsi="Times New Roman" w:eastAsia="宋体" w:cs="Times New Roman"/>
                <w:color w:val="auto"/>
                <w:sz w:val="21"/>
                <w:szCs w:val="21"/>
                <w:lang w:val="pl-PL"/>
              </w:rPr>
              <w:t>/h,过滤精度1mm</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324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生产辅助用房</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61"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MBR膜在线清洗装置</w:t>
            </w:r>
          </w:p>
        </w:tc>
        <w:tc>
          <w:tcPr>
            <w:tcW w:w="1885" w:type="pct"/>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含碱泵、酸泵、酸碱桶、搅拌机、袋式过滤器、反洗泵</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PAC溶药加药装置</w:t>
            </w:r>
          </w:p>
        </w:tc>
        <w:tc>
          <w:tcPr>
            <w:tcW w:w="1885" w:type="pct"/>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含药剂桶、搅拌机和计量泵</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叠螺脱水机</w:t>
            </w:r>
          </w:p>
        </w:tc>
        <w:tc>
          <w:tcPr>
            <w:tcW w:w="1885" w:type="pct"/>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设计配套</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PAM加药装置</w:t>
            </w:r>
          </w:p>
        </w:tc>
        <w:tc>
          <w:tcPr>
            <w:tcW w:w="1885" w:type="pct"/>
            <w:noWrap w:val="0"/>
            <w:vAlign w:val="center"/>
          </w:tcPr>
          <w:p>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含药剂桶、搅拌机和计量泵</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324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总图</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615" w:type="pct"/>
            <w:noWrap w:val="0"/>
            <w:vAlign w:val="center"/>
          </w:tcPr>
          <w:p>
            <w:pPr>
              <w:spacing w:line="240" w:lineRule="auto"/>
              <w:ind w:firstLine="22"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一体化MBR装置</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default" w:ascii="Times New Roman" w:hAnsi="Times New Roman" w:eastAsia="宋体" w:cs="Times New Roman"/>
                <w:color w:val="auto"/>
                <w:sz w:val="21"/>
                <w:szCs w:val="21"/>
                <w:lang w:val="pl-PL"/>
              </w:rPr>
              <w:t>Q=</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lang w:val="pl-PL"/>
              </w:rPr>
              <w:t>00m</w:t>
            </w:r>
            <w:r>
              <w:rPr>
                <w:rFonts w:hint="default" w:ascii="Times New Roman" w:hAnsi="Times New Roman" w:eastAsia="宋体" w:cs="Times New Roman"/>
                <w:color w:val="auto"/>
                <w:sz w:val="21"/>
                <w:szCs w:val="21"/>
                <w:vertAlign w:val="superscript"/>
                <w:lang w:val="pl-PL"/>
              </w:rPr>
              <w:t>3</w:t>
            </w:r>
            <w:r>
              <w:rPr>
                <w:rFonts w:hint="default" w:ascii="Times New Roman" w:hAnsi="Times New Roman" w:eastAsia="宋体" w:cs="Times New Roman"/>
                <w:color w:val="auto"/>
                <w:sz w:val="21"/>
                <w:szCs w:val="21"/>
                <w:lang w:val="pl-PL"/>
              </w:rPr>
              <w:t>/d</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w:t>
            </w:r>
          </w:p>
        </w:tc>
        <w:tc>
          <w:tcPr>
            <w:tcW w:w="324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default" w:ascii="Times New Roman" w:hAnsi="Times New Roman" w:eastAsia="宋体" w:cs="Times New Roman"/>
                <w:color w:val="auto"/>
                <w:sz w:val="21"/>
                <w:szCs w:val="21"/>
                <w:lang w:val="pl-PL"/>
              </w:rPr>
              <w:t>其他</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仪器仪表</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default" w:ascii="Times New Roman" w:hAnsi="Times New Roman" w:eastAsia="宋体" w:cs="Times New Roman"/>
                <w:color w:val="auto"/>
                <w:sz w:val="21"/>
                <w:szCs w:val="21"/>
                <w:lang w:val="pl-PL"/>
              </w:rPr>
              <w:t>设计配套</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2"/>
              </w:rPr>
              <w:t>液位计传感器等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6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电气自控</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default" w:ascii="Times New Roman" w:hAnsi="Times New Roman" w:eastAsia="宋体" w:cs="Times New Roman"/>
                <w:color w:val="auto"/>
                <w:sz w:val="21"/>
                <w:szCs w:val="21"/>
                <w:lang w:val="pl-PL"/>
              </w:rPr>
              <w:t>设计配套</w:t>
            </w:r>
          </w:p>
        </w:tc>
        <w:tc>
          <w:tcPr>
            <w:tcW w:w="264"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2"/>
              </w:rPr>
              <w:t>PLC外用等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30" w:type="pct"/>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w:t>
            </w:r>
          </w:p>
        </w:tc>
        <w:tc>
          <w:tcPr>
            <w:tcW w:w="1361" w:type="pct"/>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在线设备</w:t>
            </w:r>
          </w:p>
        </w:tc>
        <w:tc>
          <w:tcPr>
            <w:tcW w:w="188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pl-PL"/>
              </w:rPr>
            </w:pPr>
            <w:r>
              <w:rPr>
                <w:rFonts w:hint="eastAsia"/>
                <w:color w:val="auto"/>
                <w:sz w:val="21"/>
                <w:szCs w:val="21"/>
              </w:rPr>
              <w:t>在线监控进、出口水量水质</w:t>
            </w:r>
          </w:p>
        </w:tc>
        <w:tc>
          <w:tcPr>
            <w:tcW w:w="264" w:type="pct"/>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套</w:t>
            </w:r>
          </w:p>
        </w:tc>
        <w:tc>
          <w:tcPr>
            <w:tcW w:w="445" w:type="pct"/>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p>
        </w:tc>
        <w:tc>
          <w:tcPr>
            <w:tcW w:w="615"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2"/>
              </w:rPr>
            </w:pPr>
          </w:p>
        </w:tc>
      </w:tr>
    </w:tbl>
    <w:p>
      <w:pPr>
        <w:bidi w:val="0"/>
        <w:rPr>
          <w:rFonts w:hint="default" w:eastAsia="宋体"/>
          <w:u w:val="single"/>
          <w:lang w:val="en-US" w:eastAsia="zh-CN"/>
        </w:rPr>
      </w:pPr>
      <w:r>
        <w:rPr>
          <w:rFonts w:hint="eastAsia"/>
          <w:u w:val="single"/>
          <w:lang w:eastAsia="zh-CN"/>
        </w:rPr>
        <w:t>二期仅增加</w:t>
      </w:r>
      <w:r>
        <w:rPr>
          <w:rFonts w:hint="eastAsia"/>
          <w:u w:val="single"/>
          <w:lang w:val="en-US" w:eastAsia="zh-CN"/>
        </w:rPr>
        <w:t>3</w:t>
      </w:r>
      <w:r>
        <w:rPr>
          <w:rFonts w:hint="eastAsia"/>
          <w:u w:val="single"/>
          <w:lang w:eastAsia="zh-CN"/>
        </w:rPr>
        <w:t>套</w:t>
      </w:r>
      <w:r>
        <w:rPr>
          <w:rFonts w:hint="eastAsia"/>
          <w:u w:val="single"/>
          <w:lang w:val="en-US" w:eastAsia="zh-CN"/>
        </w:rPr>
        <w:t>MBR一体化设</w:t>
      </w:r>
      <w:r>
        <w:rPr>
          <w:rFonts w:hint="eastAsia"/>
          <w:sz w:val="24"/>
          <w:szCs w:val="24"/>
          <w:u w:val="single"/>
          <w:lang w:val="en-US" w:eastAsia="zh-CN"/>
        </w:rPr>
        <w:t>备（</w:t>
      </w:r>
      <w:r>
        <w:rPr>
          <w:rFonts w:hint="eastAsia" w:eastAsia="宋体" w:cs="Times New Roman"/>
          <w:color w:val="auto"/>
          <w:sz w:val="24"/>
          <w:szCs w:val="24"/>
          <w:u w:val="single"/>
          <w:lang w:val="en-US" w:eastAsia="zh-CN"/>
        </w:rPr>
        <w:t>2</w:t>
      </w:r>
      <w:r>
        <w:rPr>
          <w:rFonts w:hint="default" w:ascii="Times New Roman" w:hAnsi="Times New Roman" w:eastAsia="宋体" w:cs="Times New Roman"/>
          <w:color w:val="auto"/>
          <w:sz w:val="24"/>
          <w:szCs w:val="24"/>
          <w:u w:val="single"/>
          <w:lang w:val="pl-PL"/>
        </w:rPr>
        <w:t>00m</w:t>
      </w:r>
      <w:r>
        <w:rPr>
          <w:rFonts w:hint="default" w:ascii="Times New Roman" w:hAnsi="Times New Roman" w:eastAsia="宋体" w:cs="Times New Roman"/>
          <w:color w:val="auto"/>
          <w:sz w:val="24"/>
          <w:szCs w:val="24"/>
          <w:u w:val="single"/>
          <w:vertAlign w:val="superscript"/>
          <w:lang w:val="pl-PL"/>
        </w:rPr>
        <w:t>3</w:t>
      </w:r>
      <w:r>
        <w:rPr>
          <w:rFonts w:hint="default" w:ascii="Times New Roman" w:hAnsi="Times New Roman" w:eastAsia="宋体" w:cs="Times New Roman"/>
          <w:color w:val="auto"/>
          <w:sz w:val="24"/>
          <w:szCs w:val="24"/>
          <w:u w:val="single"/>
          <w:lang w:val="pl-PL"/>
        </w:rPr>
        <w:t>/d</w:t>
      </w:r>
      <w:r>
        <w:rPr>
          <w:rFonts w:hint="eastAsia"/>
          <w:sz w:val="24"/>
          <w:szCs w:val="24"/>
          <w:u w:val="single"/>
          <w:lang w:val="en-US" w:eastAsia="zh-CN"/>
        </w:rPr>
        <w:t>）</w:t>
      </w:r>
      <w:r>
        <w:rPr>
          <w:rFonts w:hint="eastAsia"/>
          <w:u w:val="single"/>
          <w:lang w:val="en-US" w:eastAsia="zh-CN"/>
        </w:rPr>
        <w:t>。</w:t>
      </w:r>
    </w:p>
    <w:p>
      <w:pPr>
        <w:pStyle w:val="6"/>
        <w:bidi w:val="0"/>
        <w:rPr>
          <w:rFonts w:hint="eastAsia"/>
        </w:rPr>
      </w:pPr>
      <w:bookmarkStart w:id="147" w:name="_Toc489350139"/>
      <w:bookmarkStart w:id="148" w:name="_Toc489349979"/>
      <w:bookmarkStart w:id="149" w:name="_Toc489350240"/>
      <w:r>
        <w:rPr>
          <w:rFonts w:hint="eastAsia"/>
        </w:rPr>
        <w:t>2.</w:t>
      </w:r>
      <w:r>
        <w:t>1</w:t>
      </w:r>
      <w:r>
        <w:rPr>
          <w:rFonts w:hint="eastAsia"/>
        </w:rPr>
        <w:t>.4  总平面布置</w:t>
      </w:r>
      <w:bookmarkEnd w:id="147"/>
      <w:bookmarkEnd w:id="148"/>
      <w:bookmarkEnd w:id="149"/>
    </w:p>
    <w:p>
      <w:pPr>
        <w:ind w:firstLine="480"/>
        <w:jc w:val="both"/>
        <w:rPr>
          <w:color w:val="auto"/>
          <w:u w:val="single"/>
          <w:lang w:val="zh-CN" w:bidi="zh-CN"/>
        </w:rPr>
      </w:pPr>
      <w:r>
        <w:rPr>
          <w:color w:val="auto"/>
          <w:u w:val="single"/>
          <w:lang w:val="zh-CN" w:bidi="zh-CN"/>
        </w:rPr>
        <w:t>本设计总平面布置根据污水处理工艺特点按功能分区，划分为</w:t>
      </w:r>
      <w:r>
        <w:rPr>
          <w:rFonts w:hint="eastAsia"/>
          <w:color w:val="auto"/>
          <w:u w:val="single"/>
          <w:lang w:val="zh-CN" w:bidi="zh-CN"/>
        </w:rPr>
        <w:t>预处理区、一体化设备区</w:t>
      </w:r>
      <w:r>
        <w:rPr>
          <w:color w:val="auto"/>
          <w:u w:val="single"/>
          <w:lang w:val="zh-CN" w:bidi="zh-CN"/>
        </w:rPr>
        <w:t>、辅助处理单元。</w:t>
      </w:r>
    </w:p>
    <w:p>
      <w:pPr>
        <w:ind w:firstLine="480"/>
        <w:jc w:val="both"/>
        <w:rPr>
          <w:rFonts w:hint="eastAsia"/>
          <w:color w:val="auto"/>
          <w:u w:val="single"/>
          <w:lang w:val="zh-CN" w:bidi="zh-CN"/>
        </w:rPr>
      </w:pPr>
      <w:r>
        <w:rPr>
          <w:rFonts w:hint="eastAsia"/>
          <w:color w:val="auto"/>
          <w:u w:val="single"/>
          <w:lang w:val="zh-CN" w:bidi="zh-CN"/>
        </w:rPr>
        <w:t>预处理区包括：</w:t>
      </w:r>
      <w:r>
        <w:rPr>
          <w:color w:val="auto"/>
          <w:spacing w:val="-8"/>
          <w:u w:val="single"/>
        </w:rPr>
        <w:t>格栅</w:t>
      </w:r>
      <w:r>
        <w:rPr>
          <w:rFonts w:hint="eastAsia"/>
          <w:color w:val="auto"/>
          <w:spacing w:val="-8"/>
          <w:u w:val="single"/>
          <w:lang w:eastAsia="zh-CN"/>
        </w:rPr>
        <w:t>渠</w:t>
      </w:r>
      <w:r>
        <w:rPr>
          <w:color w:val="auto"/>
          <w:spacing w:val="-8"/>
          <w:u w:val="single"/>
        </w:rPr>
        <w:t>、沉砂池、调节池</w:t>
      </w:r>
      <w:r>
        <w:rPr>
          <w:rFonts w:hint="eastAsia"/>
          <w:color w:val="auto"/>
          <w:spacing w:val="-8"/>
          <w:u w:val="single"/>
          <w:lang w:eastAsia="zh-CN"/>
        </w:rPr>
        <w:t>、污泥池</w:t>
      </w:r>
      <w:r>
        <w:rPr>
          <w:rFonts w:hint="eastAsia"/>
          <w:color w:val="auto"/>
          <w:u w:val="single"/>
          <w:lang w:val="zh-CN" w:bidi="zh-CN"/>
        </w:rPr>
        <w:t>。</w:t>
      </w:r>
    </w:p>
    <w:p>
      <w:pPr>
        <w:ind w:firstLine="480"/>
        <w:jc w:val="both"/>
        <w:rPr>
          <w:color w:val="auto"/>
          <w:u w:val="single"/>
          <w:lang w:val="zh-CN" w:bidi="zh-CN"/>
        </w:rPr>
      </w:pPr>
      <w:r>
        <w:rPr>
          <w:rFonts w:hint="eastAsia"/>
          <w:color w:val="auto"/>
          <w:u w:val="single"/>
          <w:lang w:val="zh-CN" w:bidi="zh-CN"/>
        </w:rPr>
        <w:t>一体化设备区包括</w:t>
      </w:r>
      <w:r>
        <w:rPr>
          <w:color w:val="auto"/>
          <w:u w:val="single"/>
          <w:lang w:val="zh-CN" w:bidi="zh-CN"/>
        </w:rPr>
        <w:t>：</w:t>
      </w:r>
      <w:r>
        <w:rPr>
          <w:rFonts w:hint="eastAsia" w:ascii="宋体" w:hAnsi="宋体"/>
          <w:color w:val="auto"/>
          <w:kern w:val="0"/>
          <w:u w:val="single"/>
          <w:lang w:eastAsia="zh-CN"/>
        </w:rPr>
        <w:t>一体化MBR污水处理装置</w:t>
      </w:r>
      <w:r>
        <w:rPr>
          <w:color w:val="auto"/>
          <w:spacing w:val="-8"/>
          <w:u w:val="single"/>
        </w:rPr>
        <w:t>、</w:t>
      </w:r>
      <w:r>
        <w:rPr>
          <w:rFonts w:hint="eastAsia"/>
          <w:color w:val="auto"/>
          <w:u w:val="single"/>
        </w:rPr>
        <w:t>膜离线清洗池</w:t>
      </w:r>
      <w:r>
        <w:rPr>
          <w:rFonts w:hint="eastAsia"/>
          <w:color w:val="auto"/>
          <w:u w:val="single"/>
          <w:lang w:eastAsia="zh-CN"/>
        </w:rPr>
        <w:t>、</w:t>
      </w:r>
      <w:r>
        <w:rPr>
          <w:rFonts w:hint="eastAsia"/>
          <w:color w:val="auto"/>
          <w:spacing w:val="-8"/>
          <w:u w:val="single"/>
          <w:lang w:eastAsia="zh-CN"/>
        </w:rPr>
        <w:t>清水池</w:t>
      </w:r>
      <w:r>
        <w:rPr>
          <w:color w:val="auto"/>
          <w:u w:val="single"/>
          <w:lang w:val="zh-CN" w:bidi="zh-CN"/>
        </w:rPr>
        <w:t>。</w:t>
      </w:r>
    </w:p>
    <w:p>
      <w:pPr>
        <w:ind w:firstLine="480"/>
        <w:jc w:val="both"/>
        <w:rPr>
          <w:color w:val="auto"/>
          <w:u w:val="single"/>
          <w:lang w:val="zh-CN" w:bidi="zh-CN"/>
        </w:rPr>
      </w:pPr>
      <w:r>
        <w:rPr>
          <w:color w:val="auto"/>
          <w:u w:val="single"/>
          <w:lang w:val="zh-CN" w:bidi="zh-CN"/>
        </w:rPr>
        <w:t>辅助处理单元包括：</w:t>
      </w:r>
      <w:r>
        <w:rPr>
          <w:rFonts w:hint="eastAsia"/>
          <w:color w:val="auto"/>
          <w:spacing w:val="-8"/>
          <w:u w:val="single"/>
          <w:lang w:eastAsia="zh-CN"/>
        </w:rPr>
        <w:t>加药间、污泥脱水间、配电间</w:t>
      </w:r>
      <w:r>
        <w:rPr>
          <w:color w:val="auto"/>
          <w:u w:val="single"/>
          <w:lang w:val="zh-CN" w:bidi="zh-CN"/>
        </w:rPr>
        <w:t>。</w:t>
      </w:r>
    </w:p>
    <w:p>
      <w:pPr>
        <w:ind w:firstLine="480"/>
        <w:jc w:val="both"/>
        <w:rPr>
          <w:color w:val="auto"/>
          <w:u w:val="single"/>
          <w:lang w:val="zh-CN" w:bidi="zh-CN"/>
        </w:rPr>
      </w:pPr>
      <w:r>
        <w:rPr>
          <w:rFonts w:hint="eastAsia"/>
          <w:color w:val="auto"/>
          <w:u w:val="single"/>
          <w:lang w:val="zh-CN" w:bidi="zh-CN"/>
        </w:rPr>
        <w:t>预处理区位于厂区北侧</w:t>
      </w:r>
      <w:r>
        <w:rPr>
          <w:color w:val="auto"/>
          <w:u w:val="single"/>
          <w:lang w:val="zh-CN" w:bidi="zh-CN"/>
        </w:rPr>
        <w:t>，</w:t>
      </w:r>
      <w:r>
        <w:rPr>
          <w:rFonts w:hint="eastAsia"/>
          <w:color w:val="auto"/>
          <w:u w:val="single"/>
          <w:lang w:val="zh-CN" w:bidi="zh-CN"/>
        </w:rPr>
        <w:t>由东往西依此布置为</w:t>
      </w:r>
      <w:r>
        <w:rPr>
          <w:color w:val="auto"/>
          <w:spacing w:val="-8"/>
          <w:u w:val="single"/>
        </w:rPr>
        <w:t>格栅</w:t>
      </w:r>
      <w:r>
        <w:rPr>
          <w:rFonts w:hint="eastAsia"/>
          <w:color w:val="auto"/>
          <w:spacing w:val="-8"/>
          <w:u w:val="single"/>
          <w:lang w:eastAsia="zh-CN"/>
        </w:rPr>
        <w:t>渠</w:t>
      </w:r>
      <w:r>
        <w:rPr>
          <w:color w:val="auto"/>
          <w:spacing w:val="-8"/>
          <w:u w:val="single"/>
        </w:rPr>
        <w:t>、沉砂池、调节池</w:t>
      </w:r>
      <w:r>
        <w:rPr>
          <w:rFonts w:hint="eastAsia"/>
          <w:color w:val="auto"/>
          <w:spacing w:val="-8"/>
          <w:u w:val="single"/>
          <w:lang w:eastAsia="zh-CN"/>
        </w:rPr>
        <w:t>、污泥池，沉砂池与调节池、污泥池合建，</w:t>
      </w:r>
      <w:r>
        <w:rPr>
          <w:rFonts w:hint="eastAsia"/>
          <w:color w:val="auto"/>
          <w:u w:val="single"/>
          <w:lang w:val="en-US" w:bidi="zh-CN"/>
        </w:rPr>
        <w:t>MBR一体化设备位于预处理区南侧，两套设备竖向并排布置，清水池与膜离线清洗池合建位于MBR一体化设备南侧，</w:t>
      </w:r>
      <w:r>
        <w:rPr>
          <w:rFonts w:hint="eastAsia"/>
          <w:color w:val="auto"/>
          <w:u w:val="single"/>
          <w:lang w:val="zh-CN" w:bidi="zh-CN"/>
        </w:rPr>
        <w:t>辅助处理单元位于</w:t>
      </w:r>
      <w:r>
        <w:rPr>
          <w:rFonts w:hint="eastAsia"/>
          <w:color w:val="auto"/>
          <w:u w:val="single"/>
          <w:lang w:val="en-US" w:bidi="zh-CN"/>
        </w:rPr>
        <w:t>MBR一体化设备东侧，包括加药间、污泥脱水间及配电间</w:t>
      </w:r>
      <w:r>
        <w:rPr>
          <w:rFonts w:hint="eastAsia"/>
          <w:color w:val="auto"/>
          <w:u w:val="single"/>
          <w:lang w:val="zh-CN" w:bidi="zh-CN"/>
        </w:rPr>
        <w:t>。项目厂区</w:t>
      </w:r>
      <w:r>
        <w:rPr>
          <w:color w:val="auto"/>
          <w:u w:val="single"/>
          <w:lang w:val="zh-CN" w:bidi="zh-CN"/>
        </w:rPr>
        <w:t>构建筑物布局紧凑，水力流程顺畅，各管渠、动力线路短捷，有效降低了构筑物之间的水头损失，减小了污水处理构筑物的占地，并留有必要的通道。</w:t>
      </w:r>
    </w:p>
    <w:p>
      <w:pPr>
        <w:ind w:firstLine="480"/>
        <w:jc w:val="both"/>
        <w:rPr>
          <w:rFonts w:hint="eastAsia"/>
          <w:color w:val="auto"/>
          <w:u w:val="single"/>
        </w:rPr>
      </w:pPr>
      <w:r>
        <w:rPr>
          <w:rFonts w:hint="eastAsia"/>
          <w:color w:val="auto"/>
          <w:kern w:val="0"/>
          <w:u w:val="single"/>
        </w:rPr>
        <w:t>区域主导风向是</w:t>
      </w:r>
      <w:r>
        <w:rPr>
          <w:rFonts w:hint="eastAsia"/>
          <w:color w:val="auto"/>
          <w:kern w:val="0"/>
          <w:u w:val="single"/>
          <w:lang w:eastAsia="zh-CN"/>
        </w:rPr>
        <w:t>西南</w:t>
      </w:r>
      <w:r>
        <w:rPr>
          <w:rFonts w:hint="eastAsia"/>
          <w:color w:val="auto"/>
          <w:kern w:val="0"/>
          <w:u w:val="single"/>
        </w:rPr>
        <w:t>风，</w:t>
      </w:r>
      <w:r>
        <w:rPr>
          <w:rFonts w:hint="eastAsia"/>
          <w:color w:val="auto"/>
          <w:u w:val="single"/>
          <w:lang w:eastAsia="zh-CN"/>
        </w:rPr>
        <w:t>园区办公区</w:t>
      </w:r>
      <w:r>
        <w:rPr>
          <w:rFonts w:hint="eastAsia"/>
          <w:color w:val="auto"/>
          <w:u w:val="single"/>
        </w:rPr>
        <w:t>、</w:t>
      </w:r>
      <w:r>
        <w:rPr>
          <w:rFonts w:hint="eastAsia"/>
          <w:color w:val="auto"/>
          <w:u w:val="single"/>
          <w:lang w:eastAsia="zh-CN"/>
        </w:rPr>
        <w:t>公租房</w:t>
      </w:r>
      <w:r>
        <w:rPr>
          <w:rFonts w:hint="eastAsia"/>
          <w:color w:val="auto"/>
          <w:u w:val="single"/>
        </w:rPr>
        <w:t>居民点位于生产区的侧风向，生产区臭气对</w:t>
      </w:r>
      <w:r>
        <w:rPr>
          <w:rFonts w:hint="eastAsia"/>
          <w:color w:val="auto"/>
          <w:u w:val="single"/>
          <w:lang w:eastAsia="zh-CN"/>
        </w:rPr>
        <w:t>园区</w:t>
      </w:r>
      <w:r>
        <w:rPr>
          <w:rFonts w:hint="eastAsia"/>
          <w:color w:val="auto"/>
          <w:u w:val="single"/>
        </w:rPr>
        <w:t>办公生活区、居民点影响较小。厂区大面积的绿化</w:t>
      </w:r>
      <w:r>
        <w:rPr>
          <w:rFonts w:hint="eastAsia"/>
          <w:color w:val="auto"/>
          <w:u w:val="single"/>
          <w:lang w:eastAsia="zh-CN"/>
        </w:rPr>
        <w:t>既可以降低噪声污染又可以降低大气污染</w:t>
      </w:r>
      <w:r>
        <w:rPr>
          <w:rFonts w:hint="eastAsia"/>
          <w:color w:val="auto"/>
          <w:u w:val="single"/>
        </w:rPr>
        <w:t>。厂区</w:t>
      </w:r>
      <w:r>
        <w:rPr>
          <w:rFonts w:hint="eastAsia"/>
          <w:color w:val="auto"/>
          <w:u w:val="single"/>
          <w:lang w:eastAsia="zh-CN"/>
        </w:rPr>
        <w:t>西南</w:t>
      </w:r>
      <w:r>
        <w:rPr>
          <w:rFonts w:hint="eastAsia"/>
          <w:color w:val="auto"/>
          <w:u w:val="single"/>
        </w:rPr>
        <w:t>侧设有主出入口，交通流线明确简捷，场区均有消防通道环绕整个场地，满足消防要求。项目平面布置较为合理。</w:t>
      </w:r>
    </w:p>
    <w:p>
      <w:pPr>
        <w:ind w:firstLine="480"/>
        <w:jc w:val="both"/>
        <w:rPr>
          <w:rFonts w:hint="eastAsia"/>
          <w:color w:val="auto"/>
          <w:szCs w:val="21"/>
          <w:u w:val="single"/>
        </w:rPr>
      </w:pPr>
      <w:r>
        <w:rPr>
          <w:rFonts w:hint="eastAsia"/>
          <w:color w:val="auto"/>
          <w:szCs w:val="21"/>
          <w:u w:val="single"/>
        </w:rPr>
        <w:t>本项目具体平面布置图见附图</w:t>
      </w:r>
      <w:r>
        <w:rPr>
          <w:rFonts w:hint="eastAsia"/>
          <w:color w:val="auto"/>
          <w:szCs w:val="21"/>
          <w:u w:val="single"/>
          <w:lang w:val="en-US" w:eastAsia="zh-CN"/>
        </w:rPr>
        <w:t>6</w:t>
      </w:r>
      <w:r>
        <w:rPr>
          <w:rFonts w:hint="eastAsia"/>
          <w:color w:val="auto"/>
          <w:szCs w:val="21"/>
          <w:u w:val="single"/>
        </w:rPr>
        <w:t>：项目平面布置图。</w:t>
      </w:r>
    </w:p>
    <w:p>
      <w:pPr>
        <w:pStyle w:val="6"/>
        <w:bidi w:val="0"/>
        <w:rPr>
          <w:rFonts w:hint="eastAsia"/>
        </w:rPr>
      </w:pPr>
      <w:bookmarkStart w:id="150" w:name="_Toc489350140"/>
      <w:bookmarkStart w:id="151" w:name="_Toc489350241"/>
      <w:bookmarkStart w:id="152" w:name="_Toc489349980"/>
      <w:r>
        <w:rPr>
          <w:rFonts w:hint="eastAsia"/>
        </w:rPr>
        <w:t>2.</w:t>
      </w:r>
      <w:r>
        <w:t>1</w:t>
      </w:r>
      <w:r>
        <w:rPr>
          <w:rFonts w:hint="eastAsia"/>
        </w:rPr>
        <w:t>.5  主要经济技术指标</w:t>
      </w:r>
      <w:bookmarkEnd w:id="150"/>
      <w:bookmarkEnd w:id="151"/>
      <w:bookmarkEnd w:id="152"/>
    </w:p>
    <w:p>
      <w:pPr>
        <w:ind w:firstLine="480"/>
        <w:rPr>
          <w:color w:val="auto"/>
          <w:kern w:val="0"/>
          <w:szCs w:val="21"/>
          <w:u w:val="none"/>
        </w:rPr>
      </w:pPr>
      <w:r>
        <w:rPr>
          <w:rFonts w:hint="eastAsia"/>
          <w:color w:val="auto"/>
          <w:kern w:val="0"/>
          <w:szCs w:val="21"/>
          <w:u w:val="none"/>
        </w:rPr>
        <w:t>本项目主要经济技术指标见表2.</w:t>
      </w:r>
      <w:r>
        <w:rPr>
          <w:color w:val="auto"/>
          <w:kern w:val="0"/>
          <w:szCs w:val="21"/>
          <w:u w:val="none"/>
        </w:rPr>
        <w:t>1</w:t>
      </w:r>
      <w:r>
        <w:rPr>
          <w:rFonts w:hint="eastAsia"/>
          <w:color w:val="auto"/>
          <w:kern w:val="0"/>
          <w:szCs w:val="21"/>
          <w:u w:val="none"/>
        </w:rPr>
        <w:t>-</w:t>
      </w:r>
      <w:r>
        <w:rPr>
          <w:rFonts w:hint="eastAsia"/>
          <w:color w:val="auto"/>
          <w:kern w:val="0"/>
          <w:szCs w:val="21"/>
          <w:u w:val="none"/>
          <w:lang w:val="en-US" w:eastAsia="zh-CN"/>
        </w:rPr>
        <w:t>4</w:t>
      </w:r>
      <w:r>
        <w:rPr>
          <w:rFonts w:hint="eastAsia"/>
          <w:color w:val="auto"/>
          <w:kern w:val="0"/>
          <w:szCs w:val="21"/>
          <w:u w:val="none"/>
        </w:rPr>
        <w:t>。</w:t>
      </w:r>
    </w:p>
    <w:p>
      <w:pPr>
        <w:widowControl w:val="0"/>
        <w:adjustRightInd w:val="0"/>
        <w:snapToGrid w:val="0"/>
        <w:spacing w:line="240" w:lineRule="auto"/>
        <w:ind w:firstLine="0" w:firstLineChars="0"/>
        <w:jc w:val="center"/>
        <w:rPr>
          <w:rFonts w:hint="eastAsia"/>
          <w:b/>
          <w:color w:val="auto"/>
          <w:kern w:val="0"/>
          <w:sz w:val="21"/>
          <w:szCs w:val="21"/>
          <w:u w:val="none"/>
        </w:rPr>
      </w:pPr>
      <w:r>
        <w:rPr>
          <w:rFonts w:hint="eastAsia"/>
          <w:b/>
          <w:color w:val="auto"/>
          <w:kern w:val="0"/>
          <w:sz w:val="21"/>
          <w:szCs w:val="21"/>
          <w:u w:val="none"/>
        </w:rPr>
        <w:t>表2.</w:t>
      </w:r>
      <w:r>
        <w:rPr>
          <w:b/>
          <w:color w:val="auto"/>
          <w:kern w:val="0"/>
          <w:sz w:val="21"/>
          <w:szCs w:val="21"/>
          <w:u w:val="none"/>
        </w:rPr>
        <w:t>1</w:t>
      </w:r>
      <w:r>
        <w:rPr>
          <w:rFonts w:hint="eastAsia"/>
          <w:b/>
          <w:color w:val="auto"/>
          <w:kern w:val="0"/>
          <w:sz w:val="21"/>
          <w:szCs w:val="21"/>
          <w:u w:val="none"/>
        </w:rPr>
        <w:t>-</w:t>
      </w:r>
      <w:r>
        <w:rPr>
          <w:rFonts w:hint="eastAsia"/>
          <w:b/>
          <w:color w:val="auto"/>
          <w:kern w:val="0"/>
          <w:sz w:val="21"/>
          <w:szCs w:val="21"/>
          <w:u w:val="none"/>
          <w:lang w:val="en-US" w:eastAsia="zh-CN"/>
        </w:rPr>
        <w:t>4</w:t>
      </w:r>
      <w:r>
        <w:rPr>
          <w:rFonts w:hint="eastAsia"/>
          <w:b/>
          <w:color w:val="auto"/>
          <w:kern w:val="0"/>
          <w:sz w:val="21"/>
          <w:szCs w:val="21"/>
          <w:u w:val="none"/>
        </w:rPr>
        <w:t xml:space="preserve"> 项目经济指数指标一览表</w:t>
      </w:r>
    </w:p>
    <w:tbl>
      <w:tblPr>
        <w:tblStyle w:val="3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4"/>
        <w:gridCol w:w="744"/>
        <w:gridCol w:w="532"/>
        <w:gridCol w:w="1277"/>
        <w:gridCol w:w="2553"/>
        <w:gridCol w:w="26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398" w:type="pct"/>
            <w:noWrap w:val="0"/>
            <w:vAlign w:val="center"/>
          </w:tcPr>
          <w:p>
            <w:pPr>
              <w:pStyle w:val="97"/>
              <w:keepNext w:val="0"/>
              <w:keepLines w:val="0"/>
              <w:widowControl w:val="0"/>
              <w:rPr>
                <w:b/>
                <w:bCs/>
                <w:color w:val="auto"/>
                <w:u w:val="single"/>
              </w:rPr>
            </w:pPr>
            <w:r>
              <w:rPr>
                <w:b/>
                <w:bCs/>
                <w:color w:val="auto"/>
                <w:u w:val="single"/>
              </w:rPr>
              <w:t>序号</w:t>
            </w:r>
          </w:p>
        </w:tc>
        <w:tc>
          <w:tcPr>
            <w:tcW w:w="1507" w:type="pct"/>
            <w:gridSpan w:val="3"/>
            <w:noWrap w:val="0"/>
            <w:vAlign w:val="center"/>
          </w:tcPr>
          <w:p>
            <w:pPr>
              <w:pStyle w:val="97"/>
              <w:keepNext w:val="0"/>
              <w:keepLines w:val="0"/>
              <w:widowControl w:val="0"/>
              <w:rPr>
                <w:b/>
                <w:bCs/>
                <w:color w:val="auto"/>
                <w:u w:val="single"/>
              </w:rPr>
            </w:pPr>
            <w:r>
              <w:rPr>
                <w:b/>
                <w:bCs/>
                <w:color w:val="auto"/>
                <w:u w:val="single"/>
              </w:rPr>
              <w:t>项目</w:t>
            </w:r>
          </w:p>
        </w:tc>
        <w:tc>
          <w:tcPr>
            <w:tcW w:w="1507" w:type="pct"/>
            <w:noWrap w:val="0"/>
            <w:vAlign w:val="center"/>
          </w:tcPr>
          <w:p>
            <w:pPr>
              <w:pStyle w:val="97"/>
              <w:keepNext w:val="0"/>
              <w:keepLines w:val="0"/>
              <w:widowControl w:val="0"/>
              <w:rPr>
                <w:rFonts w:hint="eastAsia" w:eastAsia="宋体"/>
                <w:b/>
                <w:bCs/>
                <w:color w:val="auto"/>
                <w:u w:val="single"/>
                <w:lang w:eastAsia="zh-CN"/>
              </w:rPr>
            </w:pPr>
            <w:r>
              <w:rPr>
                <w:b/>
                <w:bCs/>
                <w:color w:val="auto"/>
                <w:u w:val="single"/>
              </w:rPr>
              <w:t>指标</w:t>
            </w:r>
            <w:r>
              <w:rPr>
                <w:rFonts w:hint="eastAsia"/>
                <w:b/>
                <w:bCs/>
                <w:color w:val="auto"/>
                <w:u w:val="single"/>
                <w:lang w:eastAsia="zh-CN"/>
              </w:rPr>
              <w:t>（</w:t>
            </w:r>
            <w:r>
              <w:rPr>
                <w:b/>
                <w:bCs/>
                <w:color w:val="auto"/>
                <w:u w:val="single"/>
              </w:rPr>
              <w:t>m</w:t>
            </w:r>
            <w:r>
              <w:rPr>
                <w:b/>
                <w:bCs/>
                <w:color w:val="auto"/>
                <w:u w:val="single"/>
                <w:vertAlign w:val="superscript"/>
              </w:rPr>
              <w:t>2</w:t>
            </w:r>
            <w:r>
              <w:rPr>
                <w:rFonts w:hint="eastAsia"/>
                <w:b/>
                <w:bCs/>
                <w:color w:val="auto"/>
                <w:u w:val="single"/>
                <w:lang w:eastAsia="zh-CN"/>
              </w:rPr>
              <w:t>）</w:t>
            </w:r>
          </w:p>
        </w:tc>
        <w:tc>
          <w:tcPr>
            <w:tcW w:w="1586" w:type="pct"/>
            <w:noWrap w:val="0"/>
            <w:vAlign w:val="center"/>
          </w:tcPr>
          <w:p>
            <w:pPr>
              <w:pStyle w:val="97"/>
              <w:keepNext w:val="0"/>
              <w:keepLines w:val="0"/>
              <w:widowControl w:val="0"/>
              <w:rPr>
                <w:b/>
                <w:bCs/>
                <w:color w:val="auto"/>
                <w:u w:val="single"/>
              </w:rPr>
            </w:pPr>
            <w:r>
              <w:rPr>
                <w:b/>
                <w:bCs/>
                <w:color w:val="auto"/>
                <w:u w:val="singl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noWrap w:val="0"/>
            <w:vAlign w:val="center"/>
          </w:tcPr>
          <w:p>
            <w:pPr>
              <w:pStyle w:val="97"/>
              <w:keepNext w:val="0"/>
              <w:keepLines w:val="0"/>
              <w:widowControl w:val="0"/>
              <w:rPr>
                <w:color w:val="auto"/>
                <w:u w:val="single"/>
              </w:rPr>
            </w:pPr>
            <w:r>
              <w:rPr>
                <w:color w:val="auto"/>
                <w:u w:val="single"/>
              </w:rPr>
              <w:t>1</w:t>
            </w:r>
          </w:p>
        </w:tc>
        <w:tc>
          <w:tcPr>
            <w:tcW w:w="1507" w:type="pct"/>
            <w:gridSpan w:val="3"/>
            <w:noWrap w:val="0"/>
            <w:vAlign w:val="center"/>
          </w:tcPr>
          <w:p>
            <w:pPr>
              <w:pStyle w:val="97"/>
              <w:keepNext w:val="0"/>
              <w:keepLines w:val="0"/>
              <w:widowControl w:val="0"/>
              <w:rPr>
                <w:color w:val="auto"/>
                <w:u w:val="single"/>
              </w:rPr>
            </w:pPr>
            <w:r>
              <w:rPr>
                <w:rFonts w:hint="eastAsia"/>
                <w:color w:val="auto"/>
                <w:u w:val="single"/>
                <w:lang w:eastAsia="zh-CN"/>
              </w:rPr>
              <w:t>征地</w:t>
            </w:r>
            <w:r>
              <w:rPr>
                <w:rFonts w:hint="eastAsia"/>
                <w:color w:val="auto"/>
                <w:u w:val="single"/>
              </w:rPr>
              <w:t>面积</w:t>
            </w:r>
          </w:p>
        </w:tc>
        <w:tc>
          <w:tcPr>
            <w:tcW w:w="1507" w:type="pct"/>
            <w:noWrap w:val="0"/>
            <w:vAlign w:val="center"/>
          </w:tcPr>
          <w:p>
            <w:pPr>
              <w:pStyle w:val="97"/>
              <w:keepNext w:val="0"/>
              <w:keepLines w:val="0"/>
              <w:widowControl w:val="0"/>
              <w:rPr>
                <w:color w:val="auto"/>
                <w:u w:val="single"/>
              </w:rPr>
            </w:pPr>
            <w:r>
              <w:rPr>
                <w:rFonts w:hint="eastAsia"/>
                <w:color w:val="auto"/>
                <w:u w:val="single"/>
                <w:lang w:val="en-US" w:eastAsia="zh-CN"/>
              </w:rPr>
              <w:t>816.48</w:t>
            </w:r>
          </w:p>
        </w:tc>
        <w:tc>
          <w:tcPr>
            <w:tcW w:w="1586" w:type="pct"/>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noWrap w:val="0"/>
            <w:vAlign w:val="center"/>
          </w:tcPr>
          <w:p>
            <w:pPr>
              <w:pStyle w:val="97"/>
              <w:keepNext w:val="0"/>
              <w:keepLines w:val="0"/>
              <w:widowControl w:val="0"/>
              <w:rPr>
                <w:color w:val="auto"/>
                <w:u w:val="single"/>
              </w:rPr>
            </w:pPr>
            <w:r>
              <w:rPr>
                <w:color w:val="auto"/>
                <w:u w:val="single"/>
              </w:rPr>
              <w:t>2</w:t>
            </w:r>
          </w:p>
        </w:tc>
        <w:tc>
          <w:tcPr>
            <w:tcW w:w="1507" w:type="pct"/>
            <w:gridSpan w:val="3"/>
            <w:noWrap w:val="0"/>
            <w:vAlign w:val="center"/>
          </w:tcPr>
          <w:p>
            <w:pPr>
              <w:pStyle w:val="97"/>
              <w:keepNext w:val="0"/>
              <w:keepLines w:val="0"/>
              <w:widowControl w:val="0"/>
              <w:rPr>
                <w:color w:val="auto"/>
                <w:u w:val="single"/>
              </w:rPr>
            </w:pPr>
            <w:r>
              <w:rPr>
                <w:rFonts w:hint="eastAsia"/>
                <w:color w:val="auto"/>
                <w:u w:val="single"/>
                <w:lang w:eastAsia="zh-CN"/>
              </w:rPr>
              <w:t>操作间占地</w:t>
            </w:r>
            <w:r>
              <w:rPr>
                <w:rFonts w:hint="eastAsia"/>
                <w:color w:val="auto"/>
                <w:u w:val="single"/>
              </w:rPr>
              <w:t>面积</w:t>
            </w:r>
          </w:p>
        </w:tc>
        <w:tc>
          <w:tcPr>
            <w:tcW w:w="1507" w:type="pct"/>
            <w:noWrap w:val="0"/>
            <w:vAlign w:val="center"/>
          </w:tcPr>
          <w:p>
            <w:pPr>
              <w:pStyle w:val="97"/>
              <w:keepNext w:val="0"/>
              <w:keepLines w:val="0"/>
              <w:widowControl w:val="0"/>
              <w:rPr>
                <w:color w:val="auto"/>
                <w:u w:val="single"/>
              </w:rPr>
            </w:pPr>
            <w:r>
              <w:rPr>
                <w:rFonts w:hint="eastAsia"/>
                <w:color w:val="auto"/>
                <w:u w:val="single"/>
                <w:lang w:val="en-US" w:eastAsia="zh-CN"/>
              </w:rPr>
              <w:t>54.60</w:t>
            </w:r>
          </w:p>
        </w:tc>
        <w:tc>
          <w:tcPr>
            <w:tcW w:w="1586" w:type="pct"/>
            <w:noWrap w:val="0"/>
            <w:vAlign w:val="center"/>
          </w:tcPr>
          <w:p>
            <w:pPr>
              <w:pStyle w:val="97"/>
              <w:keepNext w:val="0"/>
              <w:keepLines w:val="0"/>
              <w:widowControl w:val="0"/>
              <w:rPr>
                <w:rFonts w:hint="eastAsia"/>
                <w:color w:val="auto"/>
                <w:u w:val="single"/>
              </w:rPr>
            </w:pPr>
            <w:r>
              <w:rPr>
                <w:rFonts w:hint="eastAsia"/>
                <w:color w:val="auto"/>
                <w:u w:val="single"/>
                <w:lang w:val="en-US" w:eastAsia="zh-CN"/>
              </w:rPr>
              <w:t>辅助用房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restart"/>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val="en-US" w:eastAsia="zh-CN"/>
              </w:rPr>
              <w:t>3</w:t>
            </w:r>
          </w:p>
        </w:tc>
        <w:tc>
          <w:tcPr>
            <w:tcW w:w="1507" w:type="pct"/>
            <w:gridSpan w:val="3"/>
            <w:vMerge w:val="restart"/>
            <w:noWrap w:val="0"/>
            <w:vAlign w:val="center"/>
          </w:tcPr>
          <w:p>
            <w:pPr>
              <w:pStyle w:val="97"/>
              <w:keepNext w:val="0"/>
              <w:keepLines w:val="0"/>
              <w:widowControl w:val="0"/>
              <w:rPr>
                <w:rFonts w:hint="eastAsia"/>
                <w:color w:val="auto"/>
                <w:u w:val="single"/>
              </w:rPr>
            </w:pPr>
            <w:r>
              <w:rPr>
                <w:rFonts w:hint="eastAsia"/>
                <w:color w:val="auto"/>
                <w:u w:val="single"/>
              </w:rPr>
              <w:t>总</w:t>
            </w:r>
            <w:r>
              <w:rPr>
                <w:rFonts w:hint="eastAsia"/>
                <w:color w:val="auto"/>
                <w:u w:val="single"/>
                <w:lang w:eastAsia="zh-CN"/>
              </w:rPr>
              <w:t>建筑占地占地</w:t>
            </w:r>
            <w:r>
              <w:rPr>
                <w:rFonts w:hint="eastAsia"/>
                <w:color w:val="auto"/>
                <w:u w:val="single"/>
              </w:rPr>
              <w:t>面积</w:t>
            </w:r>
          </w:p>
        </w:tc>
        <w:tc>
          <w:tcPr>
            <w:tcW w:w="1507" w:type="pct"/>
            <w:noWrap w:val="0"/>
            <w:vAlign w:val="center"/>
          </w:tcPr>
          <w:p>
            <w:pPr>
              <w:pStyle w:val="97"/>
              <w:keepNext w:val="0"/>
              <w:keepLines w:val="0"/>
              <w:widowControl w:val="0"/>
              <w:rPr>
                <w:rFonts w:hint="eastAsia"/>
                <w:color w:val="auto"/>
                <w:u w:val="single"/>
              </w:rPr>
            </w:pPr>
            <w:r>
              <w:rPr>
                <w:rFonts w:hint="eastAsia"/>
                <w:color w:val="auto"/>
                <w:u w:val="single"/>
                <w:lang w:val="en-US" w:eastAsia="zh-CN"/>
              </w:rPr>
              <w:t>435.56</w:t>
            </w:r>
          </w:p>
        </w:tc>
        <w:tc>
          <w:tcPr>
            <w:tcW w:w="1586" w:type="pct"/>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val="en-US" w:eastAsia="zh-CN"/>
              </w:rPr>
              <w:t>一期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continue"/>
            <w:noWrap w:val="0"/>
            <w:vAlign w:val="center"/>
          </w:tcPr>
          <w:p>
            <w:pPr>
              <w:pStyle w:val="97"/>
              <w:keepNext w:val="0"/>
              <w:keepLines w:val="0"/>
              <w:widowControl w:val="0"/>
              <w:rPr>
                <w:color w:val="auto"/>
                <w:u w:val="single"/>
              </w:rPr>
            </w:pPr>
          </w:p>
        </w:tc>
        <w:tc>
          <w:tcPr>
            <w:tcW w:w="1507" w:type="pct"/>
            <w:gridSpan w:val="3"/>
            <w:vMerge w:val="continue"/>
            <w:noWrap w:val="0"/>
            <w:vAlign w:val="center"/>
          </w:tcPr>
          <w:p>
            <w:pPr>
              <w:pStyle w:val="97"/>
              <w:keepNext w:val="0"/>
              <w:keepLines w:val="0"/>
              <w:widowControl w:val="0"/>
              <w:rPr>
                <w:rFonts w:hint="eastAsia"/>
                <w:color w:val="auto"/>
                <w:u w:val="single"/>
              </w:rPr>
            </w:pPr>
          </w:p>
        </w:tc>
        <w:tc>
          <w:tcPr>
            <w:tcW w:w="1507" w:type="pct"/>
            <w:noWrap w:val="0"/>
            <w:vAlign w:val="center"/>
          </w:tcPr>
          <w:p>
            <w:pPr>
              <w:pStyle w:val="97"/>
              <w:keepNext w:val="0"/>
              <w:keepLines w:val="0"/>
              <w:widowControl w:val="0"/>
              <w:rPr>
                <w:rFonts w:hint="default"/>
                <w:color w:val="auto"/>
                <w:u w:val="single"/>
                <w:lang w:val="en-US" w:eastAsia="zh-CN"/>
              </w:rPr>
            </w:pPr>
            <w:r>
              <w:rPr>
                <w:rFonts w:hint="eastAsia"/>
                <w:color w:val="auto"/>
                <w:u w:val="single"/>
                <w:lang w:val="en-US" w:eastAsia="zh-CN"/>
              </w:rPr>
              <w:t>135</w:t>
            </w:r>
          </w:p>
        </w:tc>
        <w:tc>
          <w:tcPr>
            <w:tcW w:w="1586" w:type="pct"/>
            <w:noWrap w:val="0"/>
            <w:vAlign w:val="center"/>
          </w:tcPr>
          <w:p>
            <w:pPr>
              <w:pStyle w:val="97"/>
              <w:keepNext w:val="0"/>
              <w:keepLines w:val="0"/>
              <w:widowControl w:val="0"/>
              <w:rPr>
                <w:rFonts w:hint="eastAsia"/>
                <w:color w:val="auto"/>
                <w:u w:val="single"/>
                <w:lang w:val="en-US" w:eastAsia="zh-CN"/>
              </w:rPr>
            </w:pPr>
            <w:r>
              <w:rPr>
                <w:rFonts w:hint="eastAsia"/>
                <w:color w:val="auto"/>
                <w:u w:val="single"/>
                <w:lang w:val="en-US" w:eastAsia="zh-CN"/>
              </w:rPr>
              <w:t>二期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restart"/>
            <w:noWrap w:val="0"/>
            <w:vAlign w:val="center"/>
          </w:tcPr>
          <w:p>
            <w:pPr>
              <w:pStyle w:val="97"/>
              <w:keepNext w:val="0"/>
              <w:keepLines w:val="0"/>
              <w:widowControl w:val="0"/>
              <w:rPr>
                <w:rFonts w:hint="eastAsia" w:eastAsia="宋体"/>
                <w:color w:val="auto"/>
                <w:u w:val="single"/>
                <w:lang w:val="en-US" w:eastAsia="zh-CN"/>
              </w:rPr>
            </w:pPr>
            <w:r>
              <w:rPr>
                <w:rFonts w:hint="eastAsia"/>
                <w:color w:val="auto"/>
                <w:u w:val="single"/>
                <w:lang w:val="en-US" w:eastAsia="zh-CN"/>
              </w:rPr>
              <w:t>4</w:t>
            </w:r>
          </w:p>
        </w:tc>
        <w:tc>
          <w:tcPr>
            <w:tcW w:w="439" w:type="pct"/>
            <w:vMerge w:val="restart"/>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eastAsia="zh-CN"/>
              </w:rPr>
              <w:t>其中</w:t>
            </w:r>
          </w:p>
        </w:tc>
        <w:tc>
          <w:tcPr>
            <w:tcW w:w="1068" w:type="pct"/>
            <w:gridSpan w:val="2"/>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eastAsia="zh-CN"/>
              </w:rPr>
              <w:t>辅助用房</w:t>
            </w:r>
          </w:p>
        </w:tc>
        <w:tc>
          <w:tcPr>
            <w:tcW w:w="1507" w:type="pct"/>
            <w:noWrap w:val="0"/>
            <w:vAlign w:val="center"/>
          </w:tcPr>
          <w:p>
            <w:pPr>
              <w:pStyle w:val="97"/>
              <w:keepNext w:val="0"/>
              <w:keepLines w:val="0"/>
              <w:widowControl w:val="0"/>
              <w:rPr>
                <w:rFonts w:hint="default"/>
                <w:color w:val="auto"/>
                <w:u w:val="single"/>
                <w:lang w:val="en-US" w:eastAsia="zh-CN"/>
              </w:rPr>
            </w:pPr>
            <w:r>
              <w:rPr>
                <w:rFonts w:hint="eastAsia"/>
                <w:color w:val="auto"/>
                <w:u w:val="single"/>
                <w:lang w:val="en-US" w:eastAsia="zh-CN"/>
              </w:rPr>
              <w:t>54.60</w:t>
            </w:r>
          </w:p>
        </w:tc>
        <w:tc>
          <w:tcPr>
            <w:tcW w:w="1586" w:type="pct"/>
            <w:noWrap w:val="0"/>
            <w:vAlign w:val="center"/>
          </w:tcPr>
          <w:p>
            <w:pPr>
              <w:pStyle w:val="97"/>
              <w:keepNext w:val="0"/>
              <w:keepLines w:val="0"/>
              <w:widowControl w:val="0"/>
              <w:rPr>
                <w:rFonts w:hint="eastAsia" w:eastAsia="宋体"/>
                <w:color w:val="auto"/>
                <w:u w:val="single"/>
                <w:lang w:val="en-US" w:eastAsia="zh-CN"/>
              </w:rPr>
            </w:pPr>
            <w:r>
              <w:rPr>
                <w:rFonts w:hint="eastAsia"/>
                <w:color w:val="auto"/>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continue"/>
            <w:noWrap w:val="0"/>
            <w:vAlign w:val="center"/>
          </w:tcPr>
          <w:p>
            <w:pPr>
              <w:pStyle w:val="97"/>
              <w:keepNext w:val="0"/>
              <w:keepLines w:val="0"/>
              <w:widowControl w:val="0"/>
              <w:rPr>
                <w:color w:val="auto"/>
                <w:u w:val="single"/>
              </w:rPr>
            </w:pPr>
          </w:p>
        </w:tc>
        <w:tc>
          <w:tcPr>
            <w:tcW w:w="439" w:type="pct"/>
            <w:vMerge w:val="continue"/>
            <w:noWrap w:val="0"/>
            <w:vAlign w:val="center"/>
          </w:tcPr>
          <w:p>
            <w:pPr>
              <w:pStyle w:val="97"/>
              <w:keepNext w:val="0"/>
              <w:keepLines w:val="0"/>
              <w:widowControl w:val="0"/>
              <w:rPr>
                <w:rFonts w:hint="eastAsia"/>
                <w:color w:val="auto"/>
                <w:u w:val="single"/>
                <w:lang w:eastAsia="zh-CN"/>
              </w:rPr>
            </w:pPr>
          </w:p>
        </w:tc>
        <w:tc>
          <w:tcPr>
            <w:tcW w:w="1068" w:type="pct"/>
            <w:gridSpan w:val="2"/>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eastAsia="zh-CN"/>
              </w:rPr>
              <w:t>调节池、污泥池、沉砂池、进水井</w:t>
            </w:r>
          </w:p>
        </w:tc>
        <w:tc>
          <w:tcPr>
            <w:tcW w:w="1507" w:type="pct"/>
            <w:noWrap w:val="0"/>
            <w:vAlign w:val="center"/>
          </w:tcPr>
          <w:p>
            <w:pPr>
              <w:pStyle w:val="97"/>
              <w:keepNext w:val="0"/>
              <w:keepLines w:val="0"/>
              <w:widowControl w:val="0"/>
              <w:rPr>
                <w:rFonts w:hint="default"/>
                <w:color w:val="auto"/>
                <w:u w:val="single"/>
                <w:lang w:val="en-US" w:eastAsia="zh-CN"/>
              </w:rPr>
            </w:pPr>
            <w:r>
              <w:rPr>
                <w:rFonts w:hint="eastAsia"/>
                <w:color w:val="auto"/>
                <w:u w:val="single"/>
                <w:lang w:val="en-US" w:eastAsia="zh-CN"/>
              </w:rPr>
              <w:t>107.44</w:t>
            </w:r>
          </w:p>
        </w:tc>
        <w:tc>
          <w:tcPr>
            <w:tcW w:w="1586" w:type="pct"/>
            <w:noWrap w:val="0"/>
            <w:vAlign w:val="center"/>
          </w:tcPr>
          <w:p>
            <w:pPr>
              <w:pStyle w:val="97"/>
              <w:keepNext w:val="0"/>
              <w:keepLines w:val="0"/>
              <w:widowControl w:val="0"/>
              <w:rPr>
                <w:rFonts w:hint="eastAsia" w:eastAsia="宋体"/>
                <w:color w:val="auto"/>
                <w:u w:val="single"/>
                <w:lang w:val="en-US" w:eastAsia="zh-CN"/>
              </w:rPr>
            </w:pPr>
            <w:r>
              <w:rPr>
                <w:rFonts w:hint="eastAsia"/>
                <w:color w:val="auto"/>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continue"/>
            <w:noWrap w:val="0"/>
            <w:vAlign w:val="center"/>
          </w:tcPr>
          <w:p>
            <w:pPr>
              <w:pStyle w:val="97"/>
              <w:keepNext w:val="0"/>
              <w:keepLines w:val="0"/>
              <w:widowControl w:val="0"/>
              <w:rPr>
                <w:color w:val="auto"/>
                <w:u w:val="single"/>
              </w:rPr>
            </w:pPr>
          </w:p>
        </w:tc>
        <w:tc>
          <w:tcPr>
            <w:tcW w:w="439" w:type="pct"/>
            <w:vMerge w:val="continue"/>
            <w:noWrap w:val="0"/>
            <w:vAlign w:val="center"/>
          </w:tcPr>
          <w:p>
            <w:pPr>
              <w:pStyle w:val="97"/>
              <w:keepNext w:val="0"/>
              <w:keepLines w:val="0"/>
              <w:widowControl w:val="0"/>
              <w:rPr>
                <w:rFonts w:hint="eastAsia"/>
                <w:color w:val="auto"/>
                <w:u w:val="single"/>
                <w:lang w:eastAsia="zh-CN"/>
              </w:rPr>
            </w:pPr>
          </w:p>
        </w:tc>
        <w:tc>
          <w:tcPr>
            <w:tcW w:w="1068" w:type="pct"/>
            <w:gridSpan w:val="2"/>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eastAsia="zh-CN"/>
              </w:rPr>
              <w:t>膜离线清洗池、清水池</w:t>
            </w:r>
          </w:p>
        </w:tc>
        <w:tc>
          <w:tcPr>
            <w:tcW w:w="1507" w:type="pct"/>
            <w:noWrap w:val="0"/>
            <w:vAlign w:val="center"/>
          </w:tcPr>
          <w:p>
            <w:pPr>
              <w:pStyle w:val="97"/>
              <w:keepNext w:val="0"/>
              <w:keepLines w:val="0"/>
              <w:widowControl w:val="0"/>
              <w:rPr>
                <w:rFonts w:hint="default"/>
                <w:color w:val="auto"/>
                <w:u w:val="single"/>
                <w:lang w:val="en-US" w:eastAsia="zh-CN"/>
              </w:rPr>
            </w:pPr>
            <w:r>
              <w:rPr>
                <w:rFonts w:hint="eastAsia"/>
                <w:color w:val="auto"/>
                <w:u w:val="single"/>
                <w:lang w:val="en-US" w:eastAsia="zh-CN"/>
              </w:rPr>
              <w:t>12.71</w:t>
            </w:r>
          </w:p>
        </w:tc>
        <w:tc>
          <w:tcPr>
            <w:tcW w:w="1586" w:type="pct"/>
            <w:noWrap w:val="0"/>
            <w:vAlign w:val="center"/>
          </w:tcPr>
          <w:p>
            <w:pPr>
              <w:pStyle w:val="97"/>
              <w:keepNext w:val="0"/>
              <w:keepLines w:val="0"/>
              <w:widowControl w:val="0"/>
              <w:rPr>
                <w:rFonts w:hint="eastAsia" w:eastAsia="宋体"/>
                <w:color w:val="auto"/>
                <w:u w:val="single"/>
                <w:lang w:val="en-US" w:eastAsia="zh-CN"/>
              </w:rPr>
            </w:pPr>
            <w:r>
              <w:rPr>
                <w:rFonts w:hint="eastAsia"/>
                <w:color w:val="auto"/>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continue"/>
            <w:noWrap w:val="0"/>
            <w:vAlign w:val="center"/>
          </w:tcPr>
          <w:p>
            <w:pPr>
              <w:pStyle w:val="97"/>
              <w:keepNext w:val="0"/>
              <w:keepLines w:val="0"/>
              <w:widowControl w:val="0"/>
              <w:rPr>
                <w:color w:val="auto"/>
                <w:u w:val="single"/>
              </w:rPr>
            </w:pPr>
          </w:p>
        </w:tc>
        <w:tc>
          <w:tcPr>
            <w:tcW w:w="439" w:type="pct"/>
            <w:vMerge w:val="continue"/>
            <w:noWrap w:val="0"/>
            <w:vAlign w:val="center"/>
          </w:tcPr>
          <w:p>
            <w:pPr>
              <w:pStyle w:val="97"/>
              <w:keepNext w:val="0"/>
              <w:keepLines w:val="0"/>
              <w:widowControl w:val="0"/>
              <w:rPr>
                <w:rFonts w:hint="eastAsia"/>
                <w:color w:val="auto"/>
                <w:u w:val="single"/>
                <w:lang w:eastAsia="zh-CN"/>
              </w:rPr>
            </w:pPr>
          </w:p>
        </w:tc>
        <w:tc>
          <w:tcPr>
            <w:tcW w:w="1068" w:type="pct"/>
            <w:gridSpan w:val="2"/>
            <w:vMerge w:val="restart"/>
            <w:noWrap w:val="0"/>
            <w:vAlign w:val="center"/>
          </w:tcPr>
          <w:p>
            <w:pPr>
              <w:pStyle w:val="97"/>
              <w:keepNext w:val="0"/>
              <w:keepLines w:val="0"/>
              <w:widowControl w:val="0"/>
              <w:rPr>
                <w:rFonts w:hint="default" w:eastAsia="宋体"/>
                <w:color w:val="auto"/>
                <w:u w:val="single"/>
                <w:lang w:val="en-US" w:eastAsia="zh-CN"/>
              </w:rPr>
            </w:pPr>
            <w:r>
              <w:rPr>
                <w:rFonts w:hint="eastAsia"/>
                <w:color w:val="auto"/>
                <w:u w:val="single"/>
                <w:lang w:val="en-US" w:eastAsia="zh-CN"/>
              </w:rPr>
              <w:t>MBR一体化设备底座</w:t>
            </w:r>
          </w:p>
        </w:tc>
        <w:tc>
          <w:tcPr>
            <w:tcW w:w="1507" w:type="pct"/>
            <w:noWrap w:val="0"/>
            <w:vAlign w:val="center"/>
          </w:tcPr>
          <w:p>
            <w:pPr>
              <w:pStyle w:val="97"/>
              <w:keepNext w:val="0"/>
              <w:keepLines w:val="0"/>
              <w:widowControl w:val="0"/>
              <w:rPr>
                <w:rFonts w:hint="default"/>
                <w:color w:val="auto"/>
                <w:u w:val="single"/>
                <w:lang w:val="en-US" w:eastAsia="zh-CN"/>
              </w:rPr>
            </w:pPr>
            <w:r>
              <w:rPr>
                <w:rFonts w:hint="eastAsia"/>
                <w:color w:val="auto"/>
                <w:u w:val="single"/>
                <w:lang w:val="en-US" w:eastAsia="zh-CN"/>
              </w:rPr>
              <w:t>90.0</w:t>
            </w:r>
          </w:p>
        </w:tc>
        <w:tc>
          <w:tcPr>
            <w:tcW w:w="1586" w:type="pct"/>
            <w:noWrap w:val="0"/>
            <w:vAlign w:val="center"/>
          </w:tcPr>
          <w:p>
            <w:pPr>
              <w:pStyle w:val="97"/>
              <w:keepNext w:val="0"/>
              <w:keepLines w:val="0"/>
              <w:widowControl w:val="0"/>
              <w:rPr>
                <w:rFonts w:hint="eastAsia" w:eastAsia="宋体"/>
                <w:color w:val="auto"/>
                <w:u w:val="single"/>
                <w:lang w:val="en-US" w:eastAsia="zh-CN"/>
              </w:rPr>
            </w:pPr>
            <w:r>
              <w:rPr>
                <w:rFonts w:hint="eastAsia"/>
                <w:color w:val="auto"/>
                <w:u w:val="single"/>
                <w:lang w:val="en-US" w:eastAsia="zh-CN"/>
              </w:rPr>
              <w:t>一期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continue"/>
            <w:noWrap w:val="0"/>
            <w:vAlign w:val="center"/>
          </w:tcPr>
          <w:p>
            <w:pPr>
              <w:pStyle w:val="97"/>
              <w:keepNext w:val="0"/>
              <w:keepLines w:val="0"/>
              <w:widowControl w:val="0"/>
              <w:rPr>
                <w:color w:val="auto"/>
                <w:u w:val="single"/>
              </w:rPr>
            </w:pPr>
          </w:p>
        </w:tc>
        <w:tc>
          <w:tcPr>
            <w:tcW w:w="439" w:type="pct"/>
            <w:vMerge w:val="continue"/>
            <w:noWrap w:val="0"/>
            <w:vAlign w:val="center"/>
          </w:tcPr>
          <w:p>
            <w:pPr>
              <w:pStyle w:val="97"/>
              <w:keepNext w:val="0"/>
              <w:keepLines w:val="0"/>
              <w:widowControl w:val="0"/>
              <w:rPr>
                <w:rFonts w:hint="eastAsia"/>
                <w:color w:val="auto"/>
                <w:u w:val="single"/>
                <w:lang w:eastAsia="zh-CN"/>
              </w:rPr>
            </w:pPr>
          </w:p>
        </w:tc>
        <w:tc>
          <w:tcPr>
            <w:tcW w:w="1068" w:type="pct"/>
            <w:gridSpan w:val="2"/>
            <w:vMerge w:val="continue"/>
            <w:noWrap w:val="0"/>
            <w:vAlign w:val="center"/>
          </w:tcPr>
          <w:p>
            <w:pPr>
              <w:pStyle w:val="97"/>
              <w:keepNext w:val="0"/>
              <w:keepLines w:val="0"/>
              <w:widowControl w:val="0"/>
              <w:rPr>
                <w:rFonts w:hint="eastAsia"/>
                <w:color w:val="auto"/>
                <w:u w:val="single"/>
                <w:lang w:val="en-US" w:eastAsia="zh-CN"/>
              </w:rPr>
            </w:pPr>
          </w:p>
        </w:tc>
        <w:tc>
          <w:tcPr>
            <w:tcW w:w="1507" w:type="pct"/>
            <w:noWrap w:val="0"/>
            <w:vAlign w:val="center"/>
          </w:tcPr>
          <w:p>
            <w:pPr>
              <w:pStyle w:val="97"/>
              <w:keepNext w:val="0"/>
              <w:keepLines w:val="0"/>
              <w:widowControl w:val="0"/>
              <w:rPr>
                <w:rFonts w:hint="default"/>
                <w:color w:val="auto"/>
                <w:u w:val="single"/>
                <w:lang w:val="en-US" w:eastAsia="zh-CN"/>
              </w:rPr>
            </w:pPr>
            <w:r>
              <w:rPr>
                <w:rFonts w:hint="eastAsia"/>
                <w:color w:val="auto"/>
                <w:u w:val="single"/>
                <w:lang w:val="en-US" w:eastAsia="zh-CN"/>
              </w:rPr>
              <w:t>135</w:t>
            </w:r>
          </w:p>
        </w:tc>
        <w:tc>
          <w:tcPr>
            <w:tcW w:w="1586" w:type="pct"/>
            <w:noWrap w:val="0"/>
            <w:vAlign w:val="center"/>
          </w:tcPr>
          <w:p>
            <w:pPr>
              <w:pStyle w:val="97"/>
              <w:keepNext w:val="0"/>
              <w:keepLines w:val="0"/>
              <w:widowControl w:val="0"/>
              <w:rPr>
                <w:rFonts w:hint="eastAsia"/>
                <w:color w:val="auto"/>
                <w:u w:val="single"/>
                <w:lang w:val="en-US" w:eastAsia="zh-CN"/>
              </w:rPr>
            </w:pPr>
            <w:r>
              <w:rPr>
                <w:rFonts w:hint="eastAsia"/>
                <w:color w:val="auto"/>
                <w:u w:val="single"/>
                <w:lang w:val="en-US" w:eastAsia="zh-CN"/>
              </w:rPr>
              <w:t>二期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continue"/>
            <w:noWrap w:val="0"/>
            <w:vAlign w:val="center"/>
          </w:tcPr>
          <w:p>
            <w:pPr>
              <w:pStyle w:val="97"/>
              <w:keepNext w:val="0"/>
              <w:keepLines w:val="0"/>
              <w:widowControl w:val="0"/>
              <w:rPr>
                <w:color w:val="auto"/>
                <w:u w:val="single"/>
              </w:rPr>
            </w:pPr>
          </w:p>
        </w:tc>
        <w:tc>
          <w:tcPr>
            <w:tcW w:w="439" w:type="pct"/>
            <w:vMerge w:val="continue"/>
            <w:noWrap w:val="0"/>
            <w:vAlign w:val="center"/>
          </w:tcPr>
          <w:p>
            <w:pPr>
              <w:pStyle w:val="97"/>
              <w:keepNext w:val="0"/>
              <w:keepLines w:val="0"/>
              <w:widowControl w:val="0"/>
              <w:rPr>
                <w:rFonts w:hint="eastAsia"/>
                <w:color w:val="auto"/>
                <w:u w:val="single"/>
                <w:lang w:eastAsia="zh-CN"/>
              </w:rPr>
            </w:pPr>
          </w:p>
        </w:tc>
        <w:tc>
          <w:tcPr>
            <w:tcW w:w="1068" w:type="pct"/>
            <w:gridSpan w:val="2"/>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eastAsia="zh-CN"/>
              </w:rPr>
              <w:t>场内道路</w:t>
            </w:r>
          </w:p>
        </w:tc>
        <w:tc>
          <w:tcPr>
            <w:tcW w:w="1507" w:type="pct"/>
            <w:noWrap w:val="0"/>
            <w:vAlign w:val="center"/>
          </w:tcPr>
          <w:p>
            <w:pPr>
              <w:pStyle w:val="97"/>
              <w:keepNext w:val="0"/>
              <w:keepLines w:val="0"/>
              <w:widowControl w:val="0"/>
              <w:rPr>
                <w:rFonts w:hint="default"/>
                <w:color w:val="auto"/>
                <w:u w:val="single"/>
                <w:lang w:val="en-US" w:eastAsia="zh-CN"/>
              </w:rPr>
            </w:pPr>
            <w:r>
              <w:rPr>
                <w:rFonts w:hint="eastAsia"/>
                <w:color w:val="auto"/>
                <w:u w:val="single"/>
                <w:lang w:val="en-US" w:eastAsia="zh-CN"/>
              </w:rPr>
              <w:t>170.81</w:t>
            </w:r>
          </w:p>
        </w:tc>
        <w:tc>
          <w:tcPr>
            <w:tcW w:w="1586" w:type="pct"/>
            <w:noWrap w:val="0"/>
            <w:vAlign w:val="center"/>
          </w:tcPr>
          <w:p>
            <w:pPr>
              <w:pStyle w:val="97"/>
              <w:keepNext w:val="0"/>
              <w:keepLines w:val="0"/>
              <w:widowControl w:val="0"/>
              <w:rPr>
                <w:rFonts w:hint="eastAsia" w:eastAsia="宋体"/>
                <w:color w:val="auto"/>
                <w:u w:val="single"/>
                <w:lang w:val="en-US" w:eastAsia="zh-CN"/>
              </w:rPr>
            </w:pPr>
            <w:r>
              <w:rPr>
                <w:rFonts w:hint="eastAsia"/>
                <w:color w:val="auto"/>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continue"/>
            <w:noWrap w:val="0"/>
            <w:vAlign w:val="center"/>
          </w:tcPr>
          <w:p>
            <w:pPr>
              <w:pStyle w:val="97"/>
              <w:keepNext w:val="0"/>
              <w:keepLines w:val="0"/>
              <w:widowControl w:val="0"/>
              <w:rPr>
                <w:color w:val="auto"/>
                <w:u w:val="single"/>
              </w:rPr>
            </w:pPr>
          </w:p>
        </w:tc>
        <w:tc>
          <w:tcPr>
            <w:tcW w:w="439" w:type="pct"/>
            <w:vMerge w:val="continue"/>
            <w:noWrap w:val="0"/>
            <w:vAlign w:val="center"/>
          </w:tcPr>
          <w:p>
            <w:pPr>
              <w:pStyle w:val="97"/>
              <w:keepNext w:val="0"/>
              <w:keepLines w:val="0"/>
              <w:widowControl w:val="0"/>
              <w:rPr>
                <w:rFonts w:hint="eastAsia"/>
                <w:color w:val="auto"/>
                <w:u w:val="single"/>
                <w:lang w:eastAsia="zh-CN"/>
              </w:rPr>
            </w:pPr>
          </w:p>
        </w:tc>
        <w:tc>
          <w:tcPr>
            <w:tcW w:w="1068" w:type="pct"/>
            <w:gridSpan w:val="2"/>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eastAsia="zh-CN"/>
              </w:rPr>
              <w:t>围墙长度</w:t>
            </w:r>
          </w:p>
        </w:tc>
        <w:tc>
          <w:tcPr>
            <w:tcW w:w="1507" w:type="pct"/>
            <w:noWrap w:val="0"/>
            <w:vAlign w:val="center"/>
          </w:tcPr>
          <w:p>
            <w:pPr>
              <w:pStyle w:val="97"/>
              <w:keepNext w:val="0"/>
              <w:keepLines w:val="0"/>
              <w:widowControl w:val="0"/>
              <w:rPr>
                <w:rFonts w:hint="default"/>
                <w:color w:val="auto"/>
                <w:u w:val="single"/>
                <w:lang w:val="en-US" w:eastAsia="zh-CN"/>
              </w:rPr>
            </w:pPr>
            <w:r>
              <w:rPr>
                <w:rFonts w:hint="eastAsia"/>
                <w:color w:val="auto"/>
                <w:u w:val="single"/>
                <w:lang w:val="en-US" w:eastAsia="zh-CN"/>
              </w:rPr>
              <w:t>109.67</w:t>
            </w:r>
          </w:p>
        </w:tc>
        <w:tc>
          <w:tcPr>
            <w:tcW w:w="1586" w:type="pct"/>
            <w:noWrap w:val="0"/>
            <w:vAlign w:val="center"/>
          </w:tcPr>
          <w:p>
            <w:pPr>
              <w:pStyle w:val="97"/>
              <w:keepNext w:val="0"/>
              <w:keepLines w:val="0"/>
              <w:widowControl w:val="0"/>
              <w:rPr>
                <w:rFonts w:hint="eastAsia" w:eastAsia="宋体"/>
                <w:color w:val="auto"/>
                <w:u w:val="single"/>
                <w:lang w:val="en-US" w:eastAsia="zh-CN"/>
              </w:rPr>
            </w:pPr>
            <w:r>
              <w:rPr>
                <w:rFonts w:hint="eastAsia"/>
                <w:color w:val="auto"/>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noWrap w:val="0"/>
            <w:vAlign w:val="center"/>
          </w:tcPr>
          <w:p>
            <w:pPr>
              <w:pStyle w:val="97"/>
              <w:keepNext w:val="0"/>
              <w:keepLines w:val="0"/>
              <w:widowControl w:val="0"/>
              <w:rPr>
                <w:color w:val="auto"/>
                <w:u w:val="single"/>
              </w:rPr>
            </w:pPr>
            <w:r>
              <w:rPr>
                <w:rFonts w:hint="eastAsia"/>
                <w:color w:val="auto"/>
                <w:u w:val="single"/>
              </w:rPr>
              <w:t>6</w:t>
            </w:r>
          </w:p>
        </w:tc>
        <w:tc>
          <w:tcPr>
            <w:tcW w:w="1507" w:type="pct"/>
            <w:gridSpan w:val="3"/>
            <w:noWrap w:val="0"/>
            <w:vAlign w:val="center"/>
          </w:tcPr>
          <w:p>
            <w:pPr>
              <w:pStyle w:val="97"/>
              <w:keepNext w:val="0"/>
              <w:keepLines w:val="0"/>
              <w:widowControl w:val="0"/>
              <w:rPr>
                <w:color w:val="auto"/>
                <w:u w:val="single"/>
              </w:rPr>
            </w:pPr>
            <w:r>
              <w:rPr>
                <w:rFonts w:hint="eastAsia"/>
                <w:color w:val="auto"/>
                <w:u w:val="single"/>
              </w:rPr>
              <w:t>容积率</w:t>
            </w:r>
          </w:p>
        </w:tc>
        <w:tc>
          <w:tcPr>
            <w:tcW w:w="1507" w:type="pct"/>
            <w:noWrap w:val="0"/>
            <w:vAlign w:val="center"/>
          </w:tcPr>
          <w:p>
            <w:pPr>
              <w:pStyle w:val="97"/>
              <w:keepNext w:val="0"/>
              <w:keepLines w:val="0"/>
              <w:widowControl w:val="0"/>
              <w:rPr>
                <w:rFonts w:hint="default" w:eastAsia="宋体"/>
                <w:color w:val="auto"/>
                <w:u w:val="single"/>
                <w:lang w:val="en-US" w:eastAsia="zh-CN"/>
              </w:rPr>
            </w:pPr>
            <w:r>
              <w:rPr>
                <w:rFonts w:hint="eastAsia"/>
                <w:color w:val="auto"/>
                <w:u w:val="single"/>
                <w:lang w:val="en-US" w:eastAsia="zh-CN"/>
              </w:rPr>
              <w:t>0.067</w:t>
            </w:r>
          </w:p>
        </w:tc>
        <w:tc>
          <w:tcPr>
            <w:tcW w:w="1586" w:type="pct"/>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noWrap w:val="0"/>
            <w:vAlign w:val="center"/>
          </w:tcPr>
          <w:p>
            <w:pPr>
              <w:pStyle w:val="97"/>
              <w:keepNext w:val="0"/>
              <w:keepLines w:val="0"/>
              <w:widowControl w:val="0"/>
              <w:rPr>
                <w:rFonts w:hint="eastAsia" w:eastAsia="宋体"/>
                <w:color w:val="auto"/>
                <w:u w:val="single"/>
                <w:lang w:val="en-US" w:eastAsia="zh-CN"/>
              </w:rPr>
            </w:pPr>
            <w:r>
              <w:rPr>
                <w:rFonts w:hint="eastAsia"/>
                <w:color w:val="auto"/>
                <w:u w:val="single"/>
                <w:lang w:val="en-US" w:eastAsia="zh-CN"/>
              </w:rPr>
              <w:t>7</w:t>
            </w:r>
          </w:p>
        </w:tc>
        <w:tc>
          <w:tcPr>
            <w:tcW w:w="1507" w:type="pct"/>
            <w:gridSpan w:val="3"/>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eastAsia="zh-CN"/>
              </w:rPr>
              <w:t>建筑密度</w:t>
            </w:r>
          </w:p>
        </w:tc>
        <w:tc>
          <w:tcPr>
            <w:tcW w:w="1507" w:type="pct"/>
            <w:noWrap w:val="0"/>
            <w:vAlign w:val="center"/>
          </w:tcPr>
          <w:p>
            <w:pPr>
              <w:pStyle w:val="97"/>
              <w:keepNext w:val="0"/>
              <w:keepLines w:val="0"/>
              <w:widowControl w:val="0"/>
              <w:rPr>
                <w:rFonts w:hint="default"/>
                <w:color w:val="auto"/>
                <w:u w:val="single"/>
                <w:lang w:val="en-US" w:eastAsia="zh-CN"/>
              </w:rPr>
            </w:pPr>
            <w:r>
              <w:rPr>
                <w:rFonts w:hint="eastAsia"/>
                <w:color w:val="auto"/>
                <w:u w:val="single"/>
                <w:lang w:val="en-US" w:eastAsia="zh-CN"/>
              </w:rPr>
              <w:t>6.69%</w:t>
            </w:r>
          </w:p>
        </w:tc>
        <w:tc>
          <w:tcPr>
            <w:tcW w:w="1586" w:type="pct"/>
            <w:noWrap w:val="0"/>
            <w:vAlign w:val="center"/>
          </w:tcPr>
          <w:p>
            <w:pPr>
              <w:pStyle w:val="97"/>
              <w:keepNext w:val="0"/>
              <w:keepLines w:val="0"/>
              <w:widowControl w:val="0"/>
              <w:rPr>
                <w:rFonts w:hint="eastAsia" w:eastAsia="宋体"/>
                <w:color w:val="auto"/>
                <w:u w:val="single"/>
                <w:lang w:val="en-US" w:eastAsia="zh-CN"/>
              </w:rPr>
            </w:pPr>
            <w:r>
              <w:rPr>
                <w:rFonts w:hint="eastAsia"/>
                <w:color w:val="auto"/>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val="en-US" w:eastAsia="zh-CN"/>
              </w:rPr>
              <w:t>8</w:t>
            </w:r>
          </w:p>
        </w:tc>
        <w:tc>
          <w:tcPr>
            <w:tcW w:w="1507" w:type="pct"/>
            <w:gridSpan w:val="3"/>
            <w:noWrap w:val="0"/>
            <w:vAlign w:val="center"/>
          </w:tcPr>
          <w:p>
            <w:pPr>
              <w:pStyle w:val="97"/>
              <w:keepNext w:val="0"/>
              <w:keepLines w:val="0"/>
              <w:widowControl w:val="0"/>
              <w:rPr>
                <w:rFonts w:hint="eastAsia" w:eastAsia="宋体"/>
                <w:color w:val="auto"/>
                <w:u w:val="single"/>
                <w:lang w:eastAsia="zh-CN"/>
              </w:rPr>
            </w:pPr>
            <w:r>
              <w:rPr>
                <w:color w:val="auto"/>
                <w:u w:val="single"/>
              </w:rPr>
              <w:t>绿化</w:t>
            </w:r>
            <w:r>
              <w:rPr>
                <w:rFonts w:hint="eastAsia"/>
                <w:color w:val="auto"/>
                <w:u w:val="single"/>
                <w:lang w:eastAsia="zh-CN"/>
              </w:rPr>
              <w:t>率</w:t>
            </w:r>
          </w:p>
        </w:tc>
        <w:tc>
          <w:tcPr>
            <w:tcW w:w="1507" w:type="pct"/>
            <w:tcBorders>
              <w:bottom w:val="single" w:color="auto" w:sz="4" w:space="0"/>
            </w:tcBorders>
            <w:noWrap w:val="0"/>
            <w:vAlign w:val="center"/>
          </w:tcPr>
          <w:p>
            <w:pPr>
              <w:pStyle w:val="97"/>
              <w:keepNext w:val="0"/>
              <w:keepLines w:val="0"/>
              <w:widowControl w:val="0"/>
              <w:rPr>
                <w:rFonts w:hint="default" w:eastAsia="宋体"/>
                <w:color w:val="auto"/>
                <w:u w:val="single"/>
                <w:lang w:val="en-US" w:eastAsia="zh-CN"/>
              </w:rPr>
            </w:pPr>
            <w:r>
              <w:rPr>
                <w:rFonts w:hint="eastAsia"/>
                <w:color w:val="auto"/>
                <w:u w:val="single"/>
                <w:lang w:val="en-US" w:eastAsia="zh-CN"/>
              </w:rPr>
              <w:t>31.23%</w:t>
            </w:r>
          </w:p>
        </w:tc>
        <w:tc>
          <w:tcPr>
            <w:tcW w:w="1586" w:type="pct"/>
            <w:tcBorders>
              <w:bottom w:val="single" w:color="auto" w:sz="4" w:space="0"/>
            </w:tcBorders>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restart"/>
            <w:noWrap w:val="0"/>
            <w:vAlign w:val="center"/>
          </w:tcPr>
          <w:p>
            <w:pPr>
              <w:pStyle w:val="97"/>
              <w:keepNext w:val="0"/>
              <w:keepLines w:val="0"/>
              <w:widowControl w:val="0"/>
              <w:rPr>
                <w:color w:val="auto"/>
                <w:u w:val="single"/>
              </w:rPr>
            </w:pPr>
            <w:r>
              <w:rPr>
                <w:rFonts w:hint="eastAsia"/>
                <w:color w:val="auto"/>
                <w:u w:val="single"/>
              </w:rPr>
              <w:t>9</w:t>
            </w:r>
          </w:p>
        </w:tc>
        <w:tc>
          <w:tcPr>
            <w:tcW w:w="753" w:type="pct"/>
            <w:gridSpan w:val="2"/>
            <w:vMerge w:val="restart"/>
            <w:noWrap w:val="0"/>
            <w:vAlign w:val="center"/>
          </w:tcPr>
          <w:p>
            <w:pPr>
              <w:pStyle w:val="97"/>
              <w:keepNext w:val="0"/>
              <w:keepLines w:val="0"/>
              <w:widowControl w:val="0"/>
              <w:rPr>
                <w:rFonts w:hint="default" w:eastAsia="宋体"/>
                <w:color w:val="auto"/>
                <w:u w:val="single"/>
                <w:lang w:val="en-US" w:eastAsia="zh-CN"/>
              </w:rPr>
            </w:pPr>
            <w:r>
              <w:rPr>
                <w:rFonts w:hint="eastAsia"/>
                <w:color w:val="auto"/>
                <w:u w:val="single"/>
                <w:lang w:val="en-US" w:eastAsia="zh-CN"/>
              </w:rPr>
              <w:t>污水管道长度</w:t>
            </w:r>
          </w:p>
        </w:tc>
        <w:tc>
          <w:tcPr>
            <w:tcW w:w="754" w:type="pct"/>
            <w:noWrap w:val="0"/>
            <w:vAlign w:val="center"/>
          </w:tcPr>
          <w:p>
            <w:pPr>
              <w:pStyle w:val="97"/>
              <w:keepNext w:val="0"/>
              <w:keepLines w:val="0"/>
              <w:widowControl w:val="0"/>
              <w:rPr>
                <w:rFonts w:hint="eastAsia"/>
                <w:color w:val="auto"/>
                <w:u w:val="single"/>
                <w:lang w:val="en-US" w:eastAsia="zh-CN"/>
              </w:rPr>
            </w:pPr>
            <w:r>
              <w:rPr>
                <w:rFonts w:hint="eastAsia"/>
                <w:color w:val="auto"/>
                <w:u w:val="single"/>
                <w:lang w:val="en-US" w:eastAsia="zh-CN"/>
              </w:rPr>
              <w:t>污水收集管道长度</w:t>
            </w:r>
          </w:p>
        </w:tc>
        <w:tc>
          <w:tcPr>
            <w:tcW w:w="1507" w:type="pct"/>
            <w:noWrap w:val="0"/>
            <w:vAlign w:val="center"/>
          </w:tcPr>
          <w:p>
            <w:pPr>
              <w:pStyle w:val="97"/>
              <w:keepNext w:val="0"/>
              <w:keepLines w:val="0"/>
              <w:widowControl w:val="0"/>
              <w:rPr>
                <w:rFonts w:hint="default" w:eastAsia="宋体"/>
                <w:color w:val="auto"/>
                <w:u w:val="single"/>
                <w:lang w:val="en-US" w:eastAsia="zh-CN"/>
              </w:rPr>
            </w:pPr>
            <w:r>
              <w:rPr>
                <w:rFonts w:hint="eastAsia"/>
                <w:color w:val="auto"/>
                <w:u w:val="single"/>
                <w:lang w:val="en-US" w:eastAsia="zh-CN"/>
              </w:rPr>
              <w:t>1500（m）</w:t>
            </w:r>
          </w:p>
        </w:tc>
        <w:tc>
          <w:tcPr>
            <w:tcW w:w="1586" w:type="pct"/>
            <w:noWrap w:val="0"/>
            <w:vAlign w:val="center"/>
          </w:tcPr>
          <w:p>
            <w:pPr>
              <w:pStyle w:val="97"/>
              <w:keepNext w:val="0"/>
              <w:keepLines w:val="0"/>
              <w:widowControl w:val="0"/>
              <w:rPr>
                <w:rFonts w:hint="eastAsia" w:eastAsia="宋体"/>
                <w:color w:val="auto"/>
                <w:u w:val="singl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8" w:type="pct"/>
            <w:vMerge w:val="continue"/>
            <w:noWrap w:val="0"/>
            <w:vAlign w:val="center"/>
          </w:tcPr>
          <w:p>
            <w:pPr>
              <w:pStyle w:val="97"/>
              <w:keepNext w:val="0"/>
              <w:keepLines w:val="0"/>
              <w:widowControl w:val="0"/>
              <w:rPr>
                <w:rFonts w:hint="eastAsia"/>
                <w:color w:val="auto"/>
                <w:u w:val="single"/>
              </w:rPr>
            </w:pPr>
            <w:bookmarkStart w:id="153" w:name="_Toc489350141"/>
            <w:bookmarkStart w:id="154" w:name="_Toc489350242"/>
            <w:bookmarkStart w:id="155" w:name="_Toc489349981"/>
          </w:p>
        </w:tc>
        <w:tc>
          <w:tcPr>
            <w:tcW w:w="753" w:type="pct"/>
            <w:gridSpan w:val="2"/>
            <w:vMerge w:val="continue"/>
            <w:noWrap w:val="0"/>
            <w:vAlign w:val="center"/>
          </w:tcPr>
          <w:p>
            <w:pPr>
              <w:pStyle w:val="97"/>
              <w:keepNext w:val="0"/>
              <w:keepLines w:val="0"/>
              <w:widowControl w:val="0"/>
              <w:rPr>
                <w:rFonts w:hint="eastAsia"/>
                <w:color w:val="auto"/>
                <w:u w:val="single"/>
                <w:lang w:val="en-US" w:eastAsia="zh-CN"/>
              </w:rPr>
            </w:pPr>
          </w:p>
        </w:tc>
        <w:tc>
          <w:tcPr>
            <w:tcW w:w="754" w:type="pct"/>
            <w:noWrap w:val="0"/>
            <w:vAlign w:val="center"/>
          </w:tcPr>
          <w:p>
            <w:pPr>
              <w:pStyle w:val="97"/>
              <w:keepNext w:val="0"/>
              <w:keepLines w:val="0"/>
              <w:widowControl w:val="0"/>
              <w:rPr>
                <w:rFonts w:hint="eastAsia"/>
                <w:color w:val="auto"/>
                <w:u w:val="single"/>
                <w:lang w:val="en-US" w:eastAsia="zh-CN"/>
              </w:rPr>
            </w:pPr>
            <w:r>
              <w:rPr>
                <w:rFonts w:hint="eastAsia"/>
                <w:color w:val="auto"/>
                <w:u w:val="single"/>
                <w:lang w:val="en-US" w:eastAsia="zh-CN"/>
              </w:rPr>
              <w:t>排水管道长度</w:t>
            </w:r>
          </w:p>
        </w:tc>
        <w:tc>
          <w:tcPr>
            <w:tcW w:w="1507" w:type="pct"/>
            <w:tcBorders>
              <w:bottom w:val="single" w:color="auto" w:sz="4" w:space="0"/>
            </w:tcBorders>
            <w:noWrap w:val="0"/>
            <w:vAlign w:val="center"/>
          </w:tcPr>
          <w:p>
            <w:pPr>
              <w:pStyle w:val="97"/>
              <w:keepNext w:val="0"/>
              <w:keepLines w:val="0"/>
              <w:widowControl w:val="0"/>
              <w:rPr>
                <w:rFonts w:hint="default"/>
                <w:color w:val="auto"/>
                <w:u w:val="single"/>
                <w:lang w:val="en-US" w:eastAsia="zh-CN"/>
              </w:rPr>
            </w:pPr>
            <w:r>
              <w:rPr>
                <w:rFonts w:hint="eastAsia"/>
                <w:color w:val="auto"/>
                <w:u w:val="single"/>
                <w:lang w:val="en-US" w:eastAsia="zh-CN"/>
              </w:rPr>
              <w:t>2050（m）</w:t>
            </w:r>
          </w:p>
        </w:tc>
        <w:tc>
          <w:tcPr>
            <w:tcW w:w="1586" w:type="pct"/>
            <w:tcBorders>
              <w:bottom w:val="single" w:color="auto" w:sz="4" w:space="0"/>
            </w:tcBorders>
            <w:noWrap w:val="0"/>
            <w:vAlign w:val="center"/>
          </w:tcPr>
          <w:p>
            <w:pPr>
              <w:pStyle w:val="97"/>
              <w:keepNext w:val="0"/>
              <w:keepLines w:val="0"/>
              <w:widowControl w:val="0"/>
              <w:rPr>
                <w:rFonts w:hint="eastAsia"/>
                <w:color w:val="auto"/>
                <w:u w:val="single"/>
                <w:lang w:val="en-US" w:eastAsia="zh-CN"/>
              </w:rPr>
            </w:pPr>
          </w:p>
        </w:tc>
      </w:tr>
    </w:tbl>
    <w:p>
      <w:pPr>
        <w:pStyle w:val="6"/>
        <w:bidi w:val="0"/>
      </w:pPr>
      <w:r>
        <w:rPr>
          <w:rFonts w:hint="eastAsia"/>
        </w:rPr>
        <w:t>2.</w:t>
      </w:r>
      <w:r>
        <w:t>1</w:t>
      </w:r>
      <w:r>
        <w:rPr>
          <w:rFonts w:hint="eastAsia"/>
        </w:rPr>
        <w:t>.6  污水预测</w:t>
      </w:r>
      <w:bookmarkEnd w:id="153"/>
      <w:bookmarkEnd w:id="154"/>
      <w:bookmarkEnd w:id="155"/>
    </w:p>
    <w:p>
      <w:pPr>
        <w:ind w:firstLine="480"/>
        <w:jc w:val="both"/>
        <w:rPr>
          <w:rFonts w:hint="eastAsia"/>
          <w:color w:val="auto"/>
          <w:kern w:val="0"/>
          <w:u w:val="single"/>
          <w:lang w:val="en-US" w:eastAsia="zh-CN"/>
        </w:rPr>
      </w:pPr>
      <w:r>
        <w:rPr>
          <w:rFonts w:hint="eastAsia"/>
          <w:b/>
          <w:bCs/>
          <w:color w:val="auto"/>
          <w:kern w:val="0"/>
          <w:u w:val="single"/>
          <w:lang w:val="en-US" w:eastAsia="zh-CN"/>
        </w:rPr>
        <w:t>2.1.6.1纳污范围</w:t>
      </w:r>
    </w:p>
    <w:p>
      <w:pPr>
        <w:ind w:firstLine="480"/>
        <w:jc w:val="both"/>
        <w:rPr>
          <w:rFonts w:hint="default"/>
          <w:color w:val="auto"/>
          <w:kern w:val="0"/>
          <w:u w:val="single"/>
          <w:lang w:val="en-US" w:eastAsia="zh-CN"/>
        </w:rPr>
      </w:pPr>
      <w:r>
        <w:rPr>
          <w:rFonts w:hint="eastAsia"/>
          <w:color w:val="auto"/>
          <w:kern w:val="0"/>
          <w:u w:val="single"/>
          <w:lang w:eastAsia="zh-CN"/>
        </w:rPr>
        <w:t>永顺县经济开发区猛洞河产业园污水处理厂主要处理猛洞河产业园内企事业污水，纳污四至情况为；</w:t>
      </w:r>
      <w:r>
        <w:rPr>
          <w:rFonts w:hint="eastAsia"/>
          <w:color w:val="auto"/>
          <w:spacing w:val="-3"/>
          <w:u w:val="single"/>
          <w:lang w:eastAsia="zh-CN"/>
        </w:rPr>
        <w:t>东至永顺县美天报废汽车回收拆解有限责任公司</w:t>
      </w:r>
      <w:r>
        <w:rPr>
          <w:rFonts w:hint="eastAsia"/>
          <w:u w:val="single"/>
          <w:lang w:eastAsia="zh-CN"/>
        </w:rPr>
        <w:t>，南至</w:t>
      </w:r>
      <w:r>
        <w:rPr>
          <w:rFonts w:hint="eastAsia"/>
          <w:u w:val="single"/>
          <w:lang w:val="en-US" w:eastAsia="zh-CN"/>
        </w:rPr>
        <w:t>厂界，西至兴成建材有限责任公司，北至永顺县明强建材有限公司</w:t>
      </w:r>
      <w:r>
        <w:rPr>
          <w:rFonts w:hint="eastAsia"/>
          <w:color w:val="auto"/>
          <w:kern w:val="0"/>
          <w:u w:val="single"/>
          <w:lang w:eastAsia="zh-CN"/>
        </w:rPr>
        <w:t>。纳污面积为</w:t>
      </w:r>
      <w:r>
        <w:rPr>
          <w:rFonts w:hint="eastAsia"/>
          <w:color w:val="auto"/>
          <w:kern w:val="0"/>
          <w:u w:val="single"/>
          <w:lang w:val="en-US" w:eastAsia="zh-CN"/>
        </w:rPr>
        <w:t>0.07km</w:t>
      </w:r>
      <w:r>
        <w:rPr>
          <w:rFonts w:hint="eastAsia"/>
          <w:color w:val="auto"/>
          <w:kern w:val="0"/>
          <w:u w:val="single"/>
          <w:vertAlign w:val="superscript"/>
          <w:lang w:val="en-US" w:eastAsia="zh-CN"/>
        </w:rPr>
        <w:t>2</w:t>
      </w:r>
      <w:r>
        <w:rPr>
          <w:rFonts w:hint="eastAsia"/>
          <w:color w:val="auto"/>
          <w:kern w:val="0"/>
          <w:u w:val="single"/>
          <w:lang w:val="en-US" w:eastAsia="zh-CN"/>
        </w:rPr>
        <w:t>。</w:t>
      </w:r>
    </w:p>
    <w:p>
      <w:pPr>
        <w:ind w:firstLine="480"/>
        <w:jc w:val="both"/>
        <w:rPr>
          <w:rFonts w:hint="default"/>
          <w:color w:val="auto"/>
          <w:kern w:val="0"/>
          <w:u w:val="single"/>
          <w:lang w:val="en-US" w:eastAsia="zh-CN"/>
        </w:rPr>
      </w:pPr>
      <w:r>
        <w:rPr>
          <w:rFonts w:hint="eastAsia"/>
          <w:b/>
          <w:bCs/>
          <w:color w:val="auto"/>
          <w:kern w:val="0"/>
          <w:u w:val="single"/>
          <w:lang w:val="en-US" w:eastAsia="zh-CN"/>
        </w:rPr>
        <w:t>2.1.6.2污水量预测</w:t>
      </w:r>
    </w:p>
    <w:p>
      <w:pPr>
        <w:ind w:firstLine="480"/>
        <w:jc w:val="both"/>
        <w:rPr>
          <w:rFonts w:hint="eastAsia"/>
          <w:color w:val="auto"/>
          <w:kern w:val="0"/>
          <w:u w:val="single"/>
          <w:lang w:eastAsia="zh-CN"/>
        </w:rPr>
      </w:pPr>
      <w:r>
        <w:rPr>
          <w:rFonts w:hint="eastAsia"/>
          <w:color w:val="auto"/>
          <w:kern w:val="0"/>
          <w:u w:val="single"/>
          <w:lang w:eastAsia="zh-CN"/>
        </w:rPr>
        <w:t>（</w:t>
      </w:r>
      <w:r>
        <w:rPr>
          <w:rFonts w:hint="eastAsia"/>
          <w:color w:val="auto"/>
          <w:kern w:val="0"/>
          <w:u w:val="single"/>
          <w:lang w:val="en-US" w:eastAsia="zh-CN"/>
        </w:rPr>
        <w:t>1</w:t>
      </w:r>
      <w:r>
        <w:rPr>
          <w:rFonts w:hint="eastAsia"/>
          <w:color w:val="auto"/>
          <w:kern w:val="0"/>
          <w:u w:val="single"/>
          <w:lang w:eastAsia="zh-CN"/>
        </w:rPr>
        <w:t>）现状排污量</w:t>
      </w:r>
    </w:p>
    <w:p>
      <w:pPr>
        <w:ind w:firstLine="480"/>
        <w:jc w:val="both"/>
        <w:rPr>
          <w:rFonts w:hint="eastAsia"/>
          <w:color w:val="auto"/>
          <w:kern w:val="0"/>
          <w:u w:val="single"/>
          <w:lang w:eastAsia="zh-CN"/>
        </w:rPr>
      </w:pPr>
      <w:r>
        <w:rPr>
          <w:rFonts w:hint="eastAsia"/>
          <w:color w:val="auto"/>
          <w:kern w:val="0"/>
          <w:u w:val="single"/>
          <w:lang w:eastAsia="zh-CN"/>
        </w:rPr>
        <w:t>经现场调查及业主提供资料，目前猛洞河产业园已入驻</w:t>
      </w:r>
      <w:r>
        <w:rPr>
          <w:rFonts w:hint="eastAsia"/>
          <w:color w:val="auto"/>
          <w:kern w:val="0"/>
          <w:u w:val="single"/>
          <w:lang w:val="en-US" w:eastAsia="zh-CN"/>
        </w:rPr>
        <w:t>16</w:t>
      </w:r>
      <w:r>
        <w:rPr>
          <w:rFonts w:hint="eastAsia"/>
          <w:color w:val="auto"/>
          <w:kern w:val="0"/>
          <w:u w:val="single"/>
          <w:lang w:eastAsia="zh-CN"/>
        </w:rPr>
        <w:t>家企业，目前产业园内企业生产废水均不外排，仅生活废水经化粪池处理后外运作农肥，本项目建成后，纳污范围内的企事业污水均纳入本污水处理厂处理。</w:t>
      </w:r>
    </w:p>
    <w:p>
      <w:pPr>
        <w:ind w:firstLine="480"/>
        <w:jc w:val="both"/>
        <w:rPr>
          <w:rFonts w:hint="eastAsia"/>
          <w:color w:val="auto"/>
          <w:kern w:val="0"/>
          <w:lang w:eastAsia="zh-CN"/>
        </w:rPr>
      </w:pPr>
      <w:r>
        <w:rPr>
          <w:rFonts w:hint="eastAsia"/>
          <w:color w:val="auto"/>
          <w:kern w:val="0"/>
          <w:u w:val="single"/>
          <w:lang w:eastAsia="zh-CN"/>
        </w:rPr>
        <w:t>现有企业污水产生情况如下：</w:t>
      </w:r>
    </w:p>
    <w:p>
      <w:pPr>
        <w:pStyle w:val="103"/>
        <w:bidi w:val="0"/>
      </w:pPr>
      <w:r>
        <w:rPr>
          <w:rFonts w:hint="eastAsia"/>
          <w:color w:val="auto"/>
          <w:lang w:eastAsia="zh-CN"/>
        </w:rPr>
        <w:t>表</w:t>
      </w:r>
      <w:r>
        <w:rPr>
          <w:rFonts w:hint="eastAsia"/>
          <w:color w:val="auto"/>
          <w:lang w:val="en-US" w:eastAsia="zh-CN"/>
        </w:rPr>
        <w:t>2.1-5  园区现有企业废水产生情况</w:t>
      </w:r>
    </w:p>
    <w:tbl>
      <w:tblPr>
        <w:tblStyle w:val="36"/>
        <w:tblW w:w="505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3"/>
        <w:gridCol w:w="1475"/>
        <w:gridCol w:w="1692"/>
        <w:gridCol w:w="960"/>
        <w:gridCol w:w="1858"/>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tblHeader/>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序号</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企业名称</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产品产量</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目前生产情况</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废水处理方式</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废水排放总量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7" w:hRule="atLeast"/>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1</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永顺县明强建材有限公司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年商品混凝土45万立方米</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生产废水回用，生活废水</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w:t>
            </w:r>
            <w:r>
              <w:rPr>
                <w:rFonts w:hint="default" w:ascii="Times New Roman" w:hAnsi="Times New Roman" w:cs="Times New Roman"/>
                <w:color w:val="auto"/>
                <w:sz w:val="21"/>
                <w:szCs w:val="21"/>
                <w:u w:val="single"/>
                <w:lang w:eastAsia="zh-CN"/>
              </w:rPr>
              <w:t>污水</w:t>
            </w:r>
            <w:r>
              <w:rPr>
                <w:rFonts w:hint="default" w:ascii="Times New Roman" w:hAnsi="Times New Roman" w:cs="Times New Roman"/>
                <w:color w:val="auto"/>
                <w:sz w:val="21"/>
                <w:szCs w:val="21"/>
                <w:u w:val="single"/>
              </w:rPr>
              <w:t>1042t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2</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永顺县泰丰建材有限责任公司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年产页岩烧结多孔砖6000万块</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生产废水回用，生活废水</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生活污水</w:t>
            </w:r>
            <w:r>
              <w:rPr>
                <w:rFonts w:hint="default" w:ascii="Times New Roman" w:hAnsi="Times New Roman" w:cs="Times New Roman"/>
                <w:color w:val="auto"/>
                <w:sz w:val="21"/>
                <w:szCs w:val="21"/>
                <w:u w:val="single"/>
              </w:rPr>
              <w:t>：600t</w:t>
            </w:r>
          </w:p>
          <w:p>
            <w:pPr>
              <w:pStyle w:val="113"/>
              <w:bidi w:val="0"/>
              <w:jc w:val="both"/>
              <w:rPr>
                <w:rFonts w:hint="default" w:ascii="Times New Roman" w:hAnsi="Times New Roman" w:cs="Times New Roman"/>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3</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鑫新鞋业有限公司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规划年产鞋底350万双（目前暂租赁标准厂房）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1775</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4</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耒阳市亚湘电子科技有限公司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年生产网络滤波器200万只（租赁标准厂房）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验收已备案433127-2018-10</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1294</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5</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湘西山水牛郎寨农业科技开发公司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净菜产品及酱菜产品，年产2500吨（租赁标准厂房）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验收已备案433127-2018-12</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废水1798t</w:t>
            </w:r>
          </w:p>
          <w:p>
            <w:pPr>
              <w:pStyle w:val="113"/>
              <w:bidi w:val="0"/>
              <w:jc w:val="both"/>
              <w:rPr>
                <w:rFonts w:hint="default" w:ascii="Times New Roman" w:hAnsi="Times New Roman" w:cs="Times New Roman"/>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6</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湘西吊角楼特色食品有限公司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腊制品、糍粑、酱腌菜等产品，年产量1950吨，年销量2090万元（租赁标准厂房）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验收已备案433127-2018-17</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生产废水经厂内污水预处理设施预处理后外排，</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生产废水：</w:t>
            </w:r>
            <w:r>
              <w:rPr>
                <w:rFonts w:hint="default" w:ascii="Times New Roman" w:hAnsi="Times New Roman" w:cs="Times New Roman"/>
                <w:color w:val="auto"/>
                <w:sz w:val="21"/>
                <w:szCs w:val="21"/>
                <w:u w:val="single"/>
                <w:lang w:val="en-US" w:eastAsia="zh-CN"/>
              </w:rPr>
              <w:t>14430t</w:t>
            </w:r>
          </w:p>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1109</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7</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永顺楷瑞钢化玻璃有限公司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中空与钢化玻璃加工</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验收已备案433127-2018-19</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rPr>
              <w:t>磨边水过滤及离心分离净化后回用，生活污</w:t>
            </w:r>
            <w:r>
              <w:rPr>
                <w:rFonts w:hint="default" w:ascii="Times New Roman" w:hAnsi="Times New Roman" w:cs="Times New Roman"/>
                <w:color w:val="auto"/>
                <w:sz w:val="21"/>
                <w:szCs w:val="21"/>
                <w:u w:val="single"/>
                <w:lang w:eastAsia="zh-CN"/>
              </w:rPr>
              <w:t>水经</w:t>
            </w:r>
            <w:r>
              <w:rPr>
                <w:rFonts w:hint="default" w:ascii="Times New Roman" w:hAnsi="Times New Roman" w:cs="Times New Roman"/>
                <w:color w:val="auto"/>
                <w:sz w:val="21"/>
                <w:szCs w:val="21"/>
                <w:u w:val="single"/>
              </w:rPr>
              <w:t>化粪池处理后</w:t>
            </w:r>
            <w:r>
              <w:rPr>
                <w:rFonts w:hint="default" w:ascii="Times New Roman" w:hAnsi="Times New Roman" w:cs="Times New Roman"/>
                <w:color w:val="auto"/>
                <w:sz w:val="21"/>
                <w:szCs w:val="21"/>
                <w:u w:val="single"/>
                <w:lang w:eastAsia="zh-CN"/>
              </w:rPr>
              <w:t>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生活污水372t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8</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永顺县蔚蓝藤家具制造有限公司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竹制品家具制造</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生活废水经</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未建成投产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9</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永顺供销勤方科技有限公司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农产品供应</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生活废水依托园区办公楼化</w:t>
            </w:r>
            <w:r>
              <w:rPr>
                <w:rFonts w:hint="default" w:ascii="Times New Roman" w:hAnsi="Times New Roman" w:cs="Times New Roman"/>
                <w:color w:val="auto"/>
                <w:sz w:val="21"/>
                <w:szCs w:val="21"/>
                <w:u w:val="single"/>
              </w:rPr>
              <w:t>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185</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10</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永顺县锦鸿服装有限公司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服装加工</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eastAsia="zh-CN"/>
              </w:rPr>
              <w:t>生活废水经</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555</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11</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永顺县食佳香粮油有限责任公司</w:t>
            </w:r>
          </w:p>
        </w:tc>
        <w:tc>
          <w:tcPr>
            <w:tcW w:w="1012"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eastAsia="zh-CN"/>
              </w:rPr>
              <w:t>年产米粉</w:t>
            </w:r>
            <w:r>
              <w:rPr>
                <w:rFonts w:hint="default" w:ascii="Times New Roman" w:hAnsi="Times New Roman" w:cs="Times New Roman"/>
                <w:color w:val="auto"/>
                <w:sz w:val="21"/>
                <w:szCs w:val="21"/>
                <w:u w:val="single"/>
                <w:lang w:val="en-US" w:eastAsia="zh-CN"/>
              </w:rPr>
              <w:t>5000t</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废水回用，</w:t>
            </w:r>
            <w:r>
              <w:rPr>
                <w:rFonts w:hint="default" w:ascii="Times New Roman" w:hAnsi="Times New Roman" w:cs="Times New Roman"/>
                <w:color w:val="auto"/>
                <w:sz w:val="21"/>
                <w:szCs w:val="21"/>
                <w:u w:val="single"/>
                <w:lang w:eastAsia="zh-CN"/>
              </w:rPr>
              <w:t>生活废水经</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481</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12</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永顺县润民公司有限责任公司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面条生产</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废水回用，</w:t>
            </w:r>
            <w:r>
              <w:rPr>
                <w:rFonts w:hint="default" w:ascii="Times New Roman" w:hAnsi="Times New Roman" w:cs="Times New Roman"/>
                <w:color w:val="auto"/>
                <w:sz w:val="21"/>
                <w:szCs w:val="21"/>
                <w:u w:val="single"/>
                <w:lang w:eastAsia="zh-CN"/>
              </w:rPr>
              <w:t>生活废水经</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296</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13</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湖南晋海医药科技有限公司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医药生产</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废水回用，</w:t>
            </w:r>
            <w:r>
              <w:rPr>
                <w:rFonts w:hint="default" w:ascii="Times New Roman" w:hAnsi="Times New Roman" w:cs="Times New Roman"/>
                <w:color w:val="auto"/>
                <w:sz w:val="21"/>
                <w:szCs w:val="21"/>
                <w:u w:val="single"/>
                <w:lang w:eastAsia="zh-CN"/>
              </w:rPr>
              <w:t>生活废水经</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813</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14</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湖南永顺中远实业有限责任公司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生猪屠宰加工</w:t>
            </w:r>
            <w:r>
              <w:rPr>
                <w:rFonts w:hint="default" w:ascii="Times New Roman" w:hAnsi="Times New Roman" w:cs="Times New Roman"/>
                <w:color w:val="auto"/>
                <w:sz w:val="21"/>
                <w:szCs w:val="21"/>
                <w:u w:val="single"/>
                <w:lang w:val="en-US" w:eastAsia="zh-CN"/>
              </w:rPr>
              <w:t>50万头每年</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筹建中，近期</w:t>
            </w:r>
            <w:r>
              <w:rPr>
                <w:rFonts w:hint="default" w:ascii="Times New Roman" w:hAnsi="Times New Roman" w:cs="Times New Roman"/>
                <w:color w:val="auto"/>
                <w:sz w:val="21"/>
                <w:szCs w:val="21"/>
                <w:u w:val="single"/>
                <w:lang w:val="en-US" w:eastAsia="zh-CN"/>
              </w:rPr>
              <w:t>10万头每年</w:t>
            </w:r>
          </w:p>
        </w:tc>
        <w:tc>
          <w:tcPr>
            <w:tcW w:w="1858" w:type="dxa"/>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屠宰废水接入园区污水处理厂，</w:t>
            </w:r>
            <w:r>
              <w:rPr>
                <w:rFonts w:hint="default" w:ascii="Times New Roman" w:hAnsi="Times New Roman" w:cs="Times New Roman"/>
                <w:color w:val="auto"/>
                <w:sz w:val="21"/>
                <w:szCs w:val="21"/>
                <w:u w:val="single"/>
                <w:lang w:eastAsia="zh-CN"/>
              </w:rPr>
              <w:t>生活废水接园区污水管网</w:t>
            </w:r>
          </w:p>
        </w:tc>
        <w:tc>
          <w:tcPr>
            <w:tcW w:w="1859" w:type="dxa"/>
            <w:noWrap w:val="0"/>
            <w:vAlign w:val="center"/>
          </w:tcPr>
          <w:p>
            <w:pPr>
              <w:pStyle w:val="113"/>
              <w:bidi w:val="0"/>
              <w:ind w:firstLine="0" w:firstLineChars="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生产废水</w:t>
            </w:r>
            <w:r>
              <w:rPr>
                <w:rFonts w:hint="default" w:ascii="Times New Roman" w:hAnsi="Times New Roman" w:cs="Times New Roman"/>
                <w:color w:val="auto"/>
                <w:sz w:val="21"/>
                <w:szCs w:val="21"/>
                <w:u w:val="single"/>
                <w:lang w:val="en-US" w:eastAsia="zh-CN"/>
              </w:rPr>
              <w:t>48000t</w:t>
            </w:r>
          </w:p>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740</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15</w:t>
            </w:r>
          </w:p>
        </w:tc>
        <w:tc>
          <w:tcPr>
            <w:tcW w:w="88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兴成建材有限责任公司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年产商品混凝土20万立方米</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已验收</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清洗废水沉淀池、隔油池处理后回用，</w:t>
            </w:r>
          </w:p>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生活污水经化粪池处理用作农肥</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生活污水463t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16</w:t>
            </w:r>
          </w:p>
        </w:tc>
        <w:tc>
          <w:tcPr>
            <w:tcW w:w="882" w:type="pct"/>
            <w:noWrap w:val="0"/>
            <w:vAlign w:val="center"/>
          </w:tcPr>
          <w:p>
            <w:pPr>
              <w:pStyle w:val="113"/>
              <w:bidi w:val="0"/>
              <w:rPr>
                <w:rFonts w:hint="default" w:ascii="Times New Roman" w:hAnsi="Times New Roman" w:cs="Times New Roman"/>
                <w:color w:val="auto"/>
                <w:sz w:val="21"/>
                <w:szCs w:val="21"/>
                <w:u w:val="single"/>
                <w:lang w:eastAsia="zh-CN"/>
              </w:rPr>
            </w:pPr>
            <w:r>
              <w:rPr>
                <w:rFonts w:hint="default" w:ascii="Times New Roman" w:hAnsi="Times New Roman" w:cs="Times New Roman"/>
                <w:sz w:val="21"/>
                <w:szCs w:val="21"/>
                <w:lang w:val="en-US" w:eastAsia="zh-CN"/>
              </w:rPr>
              <w:t>永顺县美天报废汽车回收拆解有限责任公司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none"/>
              </w:rPr>
            </w:pPr>
            <w:r>
              <w:rPr>
                <w:rFonts w:hint="default" w:ascii="Times New Roman" w:hAnsi="Times New Roman" w:cs="Times New Roman"/>
                <w:sz w:val="21"/>
                <w:szCs w:val="21"/>
                <w:highlight w:val="none"/>
                <w:u w:val="single"/>
                <w:lang w:val="en-US" w:eastAsia="zh-CN"/>
              </w:rPr>
              <w:t>年拆解报废车辆5000台</w:t>
            </w:r>
          </w:p>
        </w:tc>
        <w:tc>
          <w:tcPr>
            <w:tcW w:w="574"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已通过环评</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生产废水定期清运，</w:t>
            </w:r>
          </w:p>
          <w:p>
            <w:pPr>
              <w:pStyle w:val="113"/>
              <w:bidi w:val="0"/>
              <w:rPr>
                <w:rFonts w:hint="default" w:ascii="Times New Roman" w:hAnsi="Times New Roman" w:cs="Times New Roman"/>
                <w:color w:val="auto"/>
                <w:sz w:val="21"/>
                <w:szCs w:val="21"/>
                <w:u w:val="single"/>
              </w:rPr>
            </w:pPr>
            <w:r>
              <w:rPr>
                <w:rFonts w:hint="default" w:ascii="Times New Roman" w:hAnsi="Times New Roman" w:eastAsia="宋体" w:cs="Times New Roman"/>
                <w:color w:val="auto"/>
                <w:sz w:val="21"/>
                <w:szCs w:val="21"/>
                <w:u w:val="single"/>
                <w:lang w:eastAsia="zh-CN"/>
              </w:rPr>
              <w:t>生活污水经化粪池处理用作农肥</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生产废水38t</w:t>
            </w:r>
          </w:p>
          <w:p>
            <w:pPr>
              <w:pStyle w:val="113"/>
              <w:bidi w:val="0"/>
              <w:rPr>
                <w:rFonts w:hint="default" w:ascii="Times New Roman" w:hAnsi="Times New Roman" w:cs="Times New Roman"/>
                <w:color w:val="auto"/>
                <w:sz w:val="21"/>
                <w:szCs w:val="21"/>
                <w:u w:val="single"/>
                <w:lang w:val="en-US"/>
              </w:rPr>
            </w:pPr>
            <w:r>
              <w:rPr>
                <w:rFonts w:hint="default" w:ascii="Times New Roman" w:hAnsi="Times New Roman" w:eastAsia="宋体" w:cs="Times New Roman"/>
                <w:color w:val="auto"/>
                <w:sz w:val="21"/>
                <w:szCs w:val="21"/>
                <w:u w:val="single"/>
                <w:lang w:eastAsia="zh-CN"/>
              </w:rPr>
              <w:t>生活污水</w:t>
            </w:r>
            <w:r>
              <w:rPr>
                <w:rFonts w:hint="default" w:ascii="Times New Roman" w:hAnsi="Times New Roman" w:eastAsia="宋体" w:cs="Times New Roman"/>
                <w:sz w:val="21"/>
                <w:szCs w:val="21"/>
                <w:u w:val="single"/>
                <w:lang w:val="en-US" w:eastAsia="zh-CN"/>
              </w:rPr>
              <w:t>1154t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17</w:t>
            </w:r>
          </w:p>
        </w:tc>
        <w:tc>
          <w:tcPr>
            <w:tcW w:w="882" w:type="pct"/>
            <w:noWrap w:val="0"/>
            <w:vAlign w:val="center"/>
          </w:tcPr>
          <w:p>
            <w:pPr>
              <w:pStyle w:val="11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园区管委会</w:t>
            </w:r>
          </w:p>
        </w:tc>
        <w:tc>
          <w:tcPr>
            <w:tcW w:w="1012" w:type="pct"/>
            <w:noWrap w:val="0"/>
            <w:vAlign w:val="center"/>
          </w:tcPr>
          <w:p>
            <w:pPr>
              <w:pStyle w:val="113"/>
              <w:bidi w:val="0"/>
              <w:rPr>
                <w:rFonts w:hint="default" w:ascii="Times New Roman" w:hAnsi="Times New Roman" w:cs="Times New Roman"/>
                <w:sz w:val="21"/>
                <w:szCs w:val="21"/>
                <w:highlight w:val="none"/>
                <w:u w:val="single"/>
                <w:lang w:val="en-US" w:eastAsia="zh-CN"/>
              </w:rPr>
            </w:pPr>
            <w:r>
              <w:rPr>
                <w:rFonts w:hint="default" w:ascii="Times New Roman" w:hAnsi="Times New Roman" w:cs="Times New Roman"/>
                <w:sz w:val="21"/>
                <w:szCs w:val="21"/>
                <w:highlight w:val="none"/>
                <w:u w:val="single"/>
                <w:lang w:val="en-US" w:eastAsia="zh-CN"/>
              </w:rPr>
              <w:t>工作人员20人</w:t>
            </w:r>
          </w:p>
        </w:tc>
        <w:tc>
          <w:tcPr>
            <w:tcW w:w="574" w:type="pct"/>
            <w:noWrap w:val="0"/>
            <w:vAlign w:val="center"/>
          </w:tcPr>
          <w:p>
            <w:pPr>
              <w:pStyle w:val="113"/>
              <w:bidi w:val="0"/>
              <w:rPr>
                <w:rFonts w:hint="default" w:ascii="Times New Roman" w:hAnsi="Times New Roman" w:cs="Times New Roman"/>
                <w:color w:val="auto"/>
                <w:sz w:val="21"/>
                <w:szCs w:val="21"/>
                <w:u w:val="single"/>
                <w:lang w:val="en-US" w:eastAsia="zh-CN"/>
              </w:rPr>
            </w:pP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生活污水经化粪池处理用作农肥</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生活污水</w:t>
            </w:r>
            <w:r>
              <w:rPr>
                <w:rFonts w:hint="default" w:ascii="Times New Roman" w:hAnsi="Times New Roman" w:eastAsia="宋体" w:cs="Times New Roman"/>
                <w:sz w:val="21"/>
                <w:szCs w:val="21"/>
                <w:u w:val="single"/>
                <w:lang w:val="en-US" w:eastAsia="zh-CN"/>
              </w:rPr>
              <w:t>740t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合计</w:t>
            </w:r>
          </w:p>
        </w:tc>
        <w:tc>
          <w:tcPr>
            <w:tcW w:w="882" w:type="pct"/>
            <w:noWrap w:val="0"/>
            <w:vAlign w:val="center"/>
          </w:tcPr>
          <w:p>
            <w:pPr>
              <w:pStyle w:val="113"/>
              <w:bidi w:val="0"/>
              <w:rPr>
                <w:rFonts w:hint="default" w:ascii="Times New Roman" w:hAnsi="Times New Roman" w:cs="Times New Roman"/>
                <w:sz w:val="21"/>
                <w:szCs w:val="21"/>
                <w:lang w:val="en-US" w:eastAsia="zh-CN"/>
              </w:rPr>
            </w:pPr>
          </w:p>
        </w:tc>
        <w:tc>
          <w:tcPr>
            <w:tcW w:w="1012" w:type="pct"/>
            <w:noWrap w:val="0"/>
            <w:vAlign w:val="center"/>
          </w:tcPr>
          <w:p>
            <w:pPr>
              <w:pStyle w:val="113"/>
              <w:bidi w:val="0"/>
              <w:rPr>
                <w:rFonts w:hint="default" w:ascii="Times New Roman" w:hAnsi="Times New Roman" w:cs="Times New Roman"/>
                <w:sz w:val="21"/>
                <w:szCs w:val="21"/>
                <w:highlight w:val="none"/>
                <w:u w:val="single"/>
                <w:lang w:val="en-US" w:eastAsia="zh-CN"/>
              </w:rPr>
            </w:pPr>
          </w:p>
        </w:tc>
        <w:tc>
          <w:tcPr>
            <w:tcW w:w="574" w:type="pct"/>
            <w:noWrap w:val="0"/>
            <w:vAlign w:val="center"/>
          </w:tcPr>
          <w:p>
            <w:pPr>
              <w:pStyle w:val="113"/>
              <w:bidi w:val="0"/>
              <w:rPr>
                <w:rFonts w:hint="default" w:ascii="Times New Roman" w:hAnsi="Times New Roman" w:cs="Times New Roman"/>
                <w:color w:val="auto"/>
                <w:sz w:val="21"/>
                <w:szCs w:val="21"/>
                <w:u w:val="single"/>
                <w:lang w:val="en-US" w:eastAsia="zh-CN"/>
              </w:rPr>
            </w:pP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75885（252.95t/d）</w:t>
            </w:r>
          </w:p>
        </w:tc>
      </w:tr>
    </w:tbl>
    <w:p>
      <w:pPr>
        <w:ind w:firstLine="48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）预测排污量（</w:t>
      </w:r>
      <w:r>
        <w:rPr>
          <w:rFonts w:hint="eastAsia"/>
          <w:color w:val="auto"/>
          <w:lang w:val="en-US" w:eastAsia="zh-CN"/>
        </w:rPr>
        <w:t>5年</w:t>
      </w:r>
      <w:r>
        <w:rPr>
          <w:rFonts w:hint="eastAsia"/>
          <w:color w:val="auto"/>
          <w:lang w:eastAsia="zh-CN"/>
        </w:rPr>
        <w:t>）</w:t>
      </w:r>
    </w:p>
    <w:p>
      <w:pPr>
        <w:bidi w:val="0"/>
        <w:jc w:val="both"/>
        <w:rPr>
          <w:rFonts w:hint="default"/>
          <w:lang w:val="en-US" w:eastAsia="zh-CN"/>
        </w:rPr>
      </w:pPr>
      <w:r>
        <w:rPr>
          <w:rFonts w:hint="eastAsia"/>
          <w:lang w:val="en-US" w:eastAsia="zh-CN"/>
        </w:rPr>
        <w:t>现有企业远期排污预测量如下</w:t>
      </w:r>
    </w:p>
    <w:p>
      <w:pPr>
        <w:pStyle w:val="124"/>
        <w:bidi w:val="0"/>
        <w:rPr>
          <w:rFonts w:hint="eastAsia"/>
          <w:lang w:val="en-US" w:eastAsia="zh-CN"/>
        </w:rPr>
      </w:pPr>
      <w:r>
        <w:rPr>
          <w:rFonts w:hint="eastAsia"/>
          <w:lang w:val="en-US" w:eastAsia="zh-CN"/>
        </w:rPr>
        <w:t>表2.1-6  现有企业远期排污量</w:t>
      </w:r>
    </w:p>
    <w:tbl>
      <w:tblPr>
        <w:tblStyle w:val="36"/>
        <w:tblW w:w="505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3"/>
        <w:gridCol w:w="1475"/>
        <w:gridCol w:w="1692"/>
        <w:gridCol w:w="960"/>
        <w:gridCol w:w="1858"/>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tblHeader/>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序号</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企业名称</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产品产量</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目前生产情况</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废水处理方式</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废水排放总量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7" w:hRule="atLeast"/>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1</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永顺县明强建材有限公司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年商品混凝土45万立方米</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生产废水回用，生活废水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w:t>
            </w:r>
            <w:r>
              <w:rPr>
                <w:rFonts w:hint="default" w:ascii="Times New Roman" w:hAnsi="Times New Roman" w:cs="Times New Roman"/>
                <w:color w:val="auto"/>
                <w:sz w:val="21"/>
                <w:szCs w:val="21"/>
                <w:u w:val="single"/>
                <w:lang w:eastAsia="zh-CN"/>
              </w:rPr>
              <w:t>污水</w:t>
            </w:r>
            <w:r>
              <w:rPr>
                <w:rFonts w:hint="default" w:ascii="Times New Roman" w:hAnsi="Times New Roman" w:cs="Times New Roman"/>
                <w:color w:val="auto"/>
                <w:sz w:val="21"/>
                <w:szCs w:val="21"/>
                <w:u w:val="single"/>
              </w:rPr>
              <w:t>1042t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2</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永顺县泰丰建材有限责任公司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年产页岩烧结多孔砖6000万块</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生产废水回用，生活废水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生活污水</w:t>
            </w:r>
            <w:r>
              <w:rPr>
                <w:rFonts w:hint="default" w:ascii="Times New Roman" w:hAnsi="Times New Roman" w:cs="Times New Roman"/>
                <w:color w:val="auto"/>
                <w:sz w:val="21"/>
                <w:szCs w:val="21"/>
                <w:u w:val="single"/>
              </w:rPr>
              <w:t>：600t</w:t>
            </w:r>
          </w:p>
          <w:p>
            <w:pPr>
              <w:pStyle w:val="113"/>
              <w:bidi w:val="0"/>
              <w:jc w:val="both"/>
              <w:rPr>
                <w:rFonts w:hint="default" w:ascii="Times New Roman" w:hAnsi="Times New Roman" w:cs="Times New Roman"/>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3</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鑫新鞋业有限公司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规划年产鞋底350万双（目前暂租赁标准厂房）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1775</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4</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耒阳市亚湘电子科技有限公司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年生产网络滤波器200万只（租赁标准厂房）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验收已备案433127-2018-10</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1294</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5</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湘西山水牛郎寨农业科技开发公司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净菜产品及酱菜产品，年产2500吨（租赁标准厂房）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验收已备案433127-2018-12</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废水1798t</w:t>
            </w:r>
          </w:p>
          <w:p>
            <w:pPr>
              <w:pStyle w:val="113"/>
              <w:bidi w:val="0"/>
              <w:jc w:val="both"/>
              <w:rPr>
                <w:rFonts w:hint="default" w:ascii="Times New Roman" w:hAnsi="Times New Roman" w:cs="Times New Roman"/>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6</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湘西吊角楼特色食品有限公司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腊制品、糍粑、酱腌菜等产品，年产量1950吨，年销量2090万元（租赁标准厂房）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验收已备案433127-2018-17</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生产废水经厂内污水预处理设施预处理后接入园区污水处理厂，生活废水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生产废水：</w:t>
            </w:r>
            <w:r>
              <w:rPr>
                <w:rFonts w:hint="default" w:ascii="Times New Roman" w:hAnsi="Times New Roman" w:cs="Times New Roman"/>
                <w:color w:val="auto"/>
                <w:sz w:val="21"/>
                <w:szCs w:val="21"/>
                <w:u w:val="single"/>
                <w:lang w:val="en-US" w:eastAsia="zh-CN"/>
              </w:rPr>
              <w:t>14430t</w:t>
            </w:r>
          </w:p>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1109</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7</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永顺楷瑞钢化玻璃有限公司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中空与钢化玻璃加工</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验收已备案433127-2018-19</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rPr>
              <w:t>磨边水过滤及离心分离净化后回用，</w:t>
            </w: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生活污水372t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8</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永顺县蔚蓝藤家具制造有限公司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竹制品家具制造</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2958</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9</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永顺供销勤方科技有限公司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农产品供应</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185</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10</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永顺县锦鸿服装有限公司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服装加工</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555</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11</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永顺县食佳香粮油有限责任公司</w:t>
            </w:r>
          </w:p>
        </w:tc>
        <w:tc>
          <w:tcPr>
            <w:tcW w:w="1012"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eastAsia="zh-CN"/>
              </w:rPr>
              <w:t>年产米粉</w:t>
            </w:r>
            <w:r>
              <w:rPr>
                <w:rFonts w:hint="default" w:ascii="Times New Roman" w:hAnsi="Times New Roman" w:cs="Times New Roman"/>
                <w:color w:val="auto"/>
                <w:sz w:val="21"/>
                <w:szCs w:val="21"/>
                <w:u w:val="single"/>
                <w:lang w:val="en-US" w:eastAsia="zh-CN"/>
              </w:rPr>
              <w:t>5000t</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废水回用，</w:t>
            </w: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481</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12</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永顺县润民公司有限责任公司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面条生产</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废水回用，</w:t>
            </w: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296</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13</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湖南晋海医药科技有限公司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医药生产</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废水回用，</w:t>
            </w: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813</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14</w:t>
            </w:r>
          </w:p>
        </w:tc>
        <w:tc>
          <w:tcPr>
            <w:tcW w:w="882" w:type="pct"/>
            <w:noWrap w:val="0"/>
            <w:vAlign w:val="center"/>
          </w:tcPr>
          <w:p>
            <w:pPr>
              <w:pStyle w:val="113"/>
              <w:bidi w:val="0"/>
              <w:rPr>
                <w:rFonts w:hint="default" w:ascii="Times New Roman" w:hAnsi="Times New Roman" w:cs="Times New Roman"/>
                <w:color w:val="FF0000"/>
                <w:sz w:val="21"/>
                <w:szCs w:val="21"/>
                <w:u w:val="single"/>
              </w:rPr>
            </w:pPr>
            <w:r>
              <w:rPr>
                <w:rFonts w:hint="default" w:ascii="Times New Roman" w:hAnsi="Times New Roman" w:cs="Times New Roman"/>
                <w:color w:val="FF0000"/>
                <w:sz w:val="21"/>
                <w:szCs w:val="21"/>
                <w:u w:val="single"/>
              </w:rPr>
              <w:t>湖南永顺中远实业有限责任公司</w:t>
            </w:r>
          </w:p>
        </w:tc>
        <w:tc>
          <w:tcPr>
            <w:tcW w:w="1012" w:type="pct"/>
            <w:noWrap w:val="0"/>
            <w:vAlign w:val="center"/>
          </w:tcPr>
          <w:p>
            <w:pPr>
              <w:pStyle w:val="113"/>
              <w:bidi w:val="0"/>
              <w:rPr>
                <w:rFonts w:hint="default" w:ascii="Times New Roman" w:hAnsi="Times New Roman" w:eastAsia="宋体" w:cs="Times New Roman"/>
                <w:color w:val="FF0000"/>
                <w:sz w:val="21"/>
                <w:szCs w:val="21"/>
                <w:u w:val="single"/>
                <w:lang w:val="en-US" w:eastAsia="zh-CN"/>
              </w:rPr>
            </w:pPr>
            <w:r>
              <w:rPr>
                <w:rFonts w:hint="default" w:ascii="Times New Roman" w:hAnsi="Times New Roman" w:cs="Times New Roman"/>
                <w:color w:val="FF0000"/>
                <w:sz w:val="21"/>
                <w:szCs w:val="21"/>
                <w:u w:val="single"/>
                <w:lang w:eastAsia="zh-CN"/>
              </w:rPr>
              <w:t>生猪屠宰加工</w:t>
            </w:r>
            <w:r>
              <w:rPr>
                <w:rFonts w:hint="default" w:ascii="Times New Roman" w:hAnsi="Times New Roman" w:cs="Times New Roman"/>
                <w:color w:val="FF0000"/>
                <w:sz w:val="21"/>
                <w:szCs w:val="21"/>
                <w:u w:val="single"/>
                <w:lang w:val="en-US" w:eastAsia="zh-CN"/>
              </w:rPr>
              <w:t>50万头每年</w:t>
            </w:r>
          </w:p>
        </w:tc>
        <w:tc>
          <w:tcPr>
            <w:tcW w:w="574" w:type="pct"/>
            <w:noWrap w:val="0"/>
            <w:vAlign w:val="center"/>
          </w:tcPr>
          <w:p>
            <w:pPr>
              <w:pStyle w:val="113"/>
              <w:bidi w:val="0"/>
              <w:rPr>
                <w:rFonts w:hint="default" w:ascii="Times New Roman" w:hAnsi="Times New Roman" w:eastAsia="宋体" w:cs="Times New Roman"/>
                <w:color w:val="FF0000"/>
                <w:sz w:val="21"/>
                <w:szCs w:val="21"/>
                <w:u w:val="single"/>
                <w:lang w:val="en-US" w:eastAsia="zh-CN"/>
              </w:rPr>
            </w:pPr>
            <w:r>
              <w:rPr>
                <w:rFonts w:hint="default" w:ascii="Times New Roman" w:hAnsi="Times New Roman" w:cs="Times New Roman"/>
                <w:color w:val="FF0000"/>
                <w:sz w:val="21"/>
                <w:szCs w:val="21"/>
                <w:u w:val="single"/>
                <w:lang w:eastAsia="zh-CN"/>
              </w:rPr>
              <w:t>筹建中</w:t>
            </w:r>
          </w:p>
        </w:tc>
        <w:tc>
          <w:tcPr>
            <w:tcW w:w="1858" w:type="dxa"/>
            <w:noWrap w:val="0"/>
            <w:vAlign w:val="center"/>
          </w:tcPr>
          <w:p>
            <w:pPr>
              <w:pStyle w:val="113"/>
              <w:bidi w:val="0"/>
              <w:ind w:firstLine="0" w:firstLineChars="0"/>
              <w:rPr>
                <w:rFonts w:hint="default" w:ascii="Times New Roman" w:hAnsi="Times New Roman" w:cs="Times New Roman"/>
                <w:color w:val="FF0000"/>
                <w:kern w:val="0"/>
                <w:sz w:val="21"/>
                <w:szCs w:val="21"/>
                <w:u w:val="single"/>
                <w:lang w:val="en-US" w:eastAsia="zh-CN" w:bidi="ar-SA"/>
              </w:rPr>
            </w:pPr>
            <w:r>
              <w:rPr>
                <w:rFonts w:hint="default" w:ascii="Times New Roman" w:hAnsi="Times New Roman" w:cs="Times New Roman"/>
                <w:color w:val="FF0000"/>
                <w:sz w:val="21"/>
                <w:szCs w:val="21"/>
                <w:u w:val="single"/>
                <w:lang w:val="en-US" w:eastAsia="zh-CN"/>
              </w:rPr>
              <w:t>屠宰废水接入园区污水处理厂，</w:t>
            </w:r>
            <w:r>
              <w:rPr>
                <w:rFonts w:hint="default" w:ascii="Times New Roman" w:hAnsi="Times New Roman" w:cs="Times New Roman"/>
                <w:color w:val="FF0000"/>
                <w:sz w:val="21"/>
                <w:szCs w:val="21"/>
                <w:u w:val="single"/>
                <w:lang w:eastAsia="zh-CN"/>
              </w:rPr>
              <w:t>生活废水</w:t>
            </w:r>
            <w:r>
              <w:rPr>
                <w:rFonts w:hint="default" w:ascii="Times New Roman" w:hAnsi="Times New Roman" w:cs="Times New Roman"/>
                <w:color w:val="FF0000"/>
                <w:sz w:val="21"/>
                <w:szCs w:val="21"/>
                <w:u w:val="single"/>
              </w:rPr>
              <w:t>化粪池处理</w:t>
            </w:r>
            <w:r>
              <w:rPr>
                <w:rFonts w:hint="default" w:ascii="Times New Roman" w:hAnsi="Times New Roman" w:cs="Times New Roman"/>
                <w:color w:val="FF0000"/>
                <w:sz w:val="21"/>
                <w:szCs w:val="21"/>
                <w:u w:val="single"/>
                <w:lang w:eastAsia="zh-CN"/>
              </w:rPr>
              <w:t>后接入园区污水处理厂</w:t>
            </w:r>
          </w:p>
        </w:tc>
        <w:tc>
          <w:tcPr>
            <w:tcW w:w="1859" w:type="dxa"/>
            <w:noWrap w:val="0"/>
            <w:vAlign w:val="center"/>
          </w:tcPr>
          <w:p>
            <w:pPr>
              <w:pStyle w:val="113"/>
              <w:bidi w:val="0"/>
              <w:ind w:firstLine="0" w:firstLineChars="0"/>
              <w:rPr>
                <w:rFonts w:hint="default" w:ascii="Times New Roman" w:hAnsi="Times New Roman" w:cs="Times New Roman"/>
                <w:color w:val="FF0000"/>
                <w:sz w:val="21"/>
                <w:szCs w:val="21"/>
                <w:u w:val="single"/>
                <w:lang w:val="en-US" w:eastAsia="zh-CN"/>
              </w:rPr>
            </w:pPr>
            <w:r>
              <w:rPr>
                <w:rFonts w:hint="default" w:ascii="Times New Roman" w:hAnsi="Times New Roman" w:cs="Times New Roman"/>
                <w:color w:val="FF0000"/>
                <w:sz w:val="21"/>
                <w:szCs w:val="21"/>
                <w:u w:val="single"/>
                <w:lang w:eastAsia="zh-CN"/>
              </w:rPr>
              <w:t>生产废水</w:t>
            </w:r>
            <w:r>
              <w:rPr>
                <w:rFonts w:hint="default" w:ascii="Times New Roman" w:hAnsi="Times New Roman" w:cs="Times New Roman"/>
                <w:color w:val="FF0000"/>
                <w:sz w:val="21"/>
                <w:szCs w:val="21"/>
                <w:u w:val="single"/>
                <w:lang w:val="en-US" w:eastAsia="zh-CN"/>
              </w:rPr>
              <w:t>240000t</w:t>
            </w:r>
          </w:p>
          <w:p>
            <w:pPr>
              <w:pStyle w:val="113"/>
              <w:bidi w:val="0"/>
              <w:ind w:firstLine="0" w:firstLineChars="0"/>
              <w:rPr>
                <w:rFonts w:hint="default" w:ascii="Times New Roman" w:hAnsi="Times New Roman" w:eastAsia="宋体" w:cs="Times New Roman"/>
                <w:color w:val="FF0000"/>
                <w:kern w:val="0"/>
                <w:sz w:val="21"/>
                <w:szCs w:val="21"/>
                <w:u w:val="single"/>
                <w:lang w:val="en-US" w:eastAsia="zh-CN" w:bidi="ar-SA"/>
              </w:rPr>
            </w:pPr>
            <w:r>
              <w:rPr>
                <w:rFonts w:hint="default" w:ascii="Times New Roman" w:hAnsi="Times New Roman" w:cs="Times New Roman"/>
                <w:color w:val="FF0000"/>
                <w:sz w:val="21"/>
                <w:szCs w:val="21"/>
                <w:u w:val="single"/>
              </w:rPr>
              <w:t>生活污水</w:t>
            </w:r>
            <w:r>
              <w:rPr>
                <w:rFonts w:hint="default" w:ascii="Times New Roman" w:hAnsi="Times New Roman" w:cs="Times New Roman"/>
                <w:color w:val="FF0000"/>
                <w:sz w:val="21"/>
                <w:szCs w:val="21"/>
                <w:u w:val="single"/>
                <w:lang w:val="en-US" w:eastAsia="zh-CN"/>
              </w:rPr>
              <w:t>740</w:t>
            </w:r>
            <w:r>
              <w:rPr>
                <w:rFonts w:hint="default" w:ascii="Times New Roman" w:hAnsi="Times New Roman" w:cs="Times New Roman"/>
                <w:color w:val="FF0000"/>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15</w:t>
            </w:r>
          </w:p>
        </w:tc>
        <w:tc>
          <w:tcPr>
            <w:tcW w:w="88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兴成建材有限责任公司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年产商品混凝土20万立方米</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已验收</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清洗废水沉淀池、隔油池处理后回用，</w:t>
            </w:r>
          </w:p>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生活污水463t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16</w:t>
            </w:r>
          </w:p>
        </w:tc>
        <w:tc>
          <w:tcPr>
            <w:tcW w:w="882" w:type="pct"/>
            <w:noWrap w:val="0"/>
            <w:vAlign w:val="center"/>
          </w:tcPr>
          <w:p>
            <w:pPr>
              <w:pStyle w:val="113"/>
              <w:bidi w:val="0"/>
              <w:rPr>
                <w:rFonts w:hint="default" w:ascii="Times New Roman" w:hAnsi="Times New Roman" w:cs="Times New Roman"/>
                <w:color w:val="auto"/>
                <w:sz w:val="21"/>
                <w:szCs w:val="21"/>
                <w:u w:val="single"/>
                <w:lang w:eastAsia="zh-CN"/>
              </w:rPr>
            </w:pPr>
            <w:r>
              <w:rPr>
                <w:rFonts w:hint="default" w:ascii="Times New Roman" w:hAnsi="Times New Roman" w:cs="Times New Roman"/>
                <w:sz w:val="21"/>
                <w:szCs w:val="21"/>
                <w:lang w:val="en-US" w:eastAsia="zh-CN"/>
              </w:rPr>
              <w:t>永顺县美天报废汽车回收拆解有限责任公司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none"/>
              </w:rPr>
            </w:pPr>
            <w:r>
              <w:rPr>
                <w:rFonts w:hint="default" w:ascii="Times New Roman" w:hAnsi="Times New Roman" w:cs="Times New Roman"/>
                <w:sz w:val="21"/>
                <w:szCs w:val="21"/>
                <w:highlight w:val="none"/>
                <w:u w:val="single"/>
                <w:lang w:val="en-US" w:eastAsia="zh-CN"/>
              </w:rPr>
              <w:t>年拆解报废车辆5000台</w:t>
            </w:r>
          </w:p>
        </w:tc>
        <w:tc>
          <w:tcPr>
            <w:tcW w:w="574"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已通过环评</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生产废水定期清运，</w:t>
            </w:r>
          </w:p>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生产废水38t</w:t>
            </w:r>
          </w:p>
          <w:p>
            <w:pPr>
              <w:pStyle w:val="113"/>
              <w:bidi w:val="0"/>
              <w:rPr>
                <w:rFonts w:hint="default" w:ascii="Times New Roman" w:hAnsi="Times New Roman" w:cs="Times New Roman"/>
                <w:color w:val="auto"/>
                <w:sz w:val="21"/>
                <w:szCs w:val="21"/>
                <w:u w:val="single"/>
                <w:lang w:val="en-US"/>
              </w:rPr>
            </w:pPr>
            <w:r>
              <w:rPr>
                <w:rFonts w:hint="default" w:ascii="Times New Roman" w:hAnsi="Times New Roman" w:eastAsia="宋体" w:cs="Times New Roman"/>
                <w:color w:val="auto"/>
                <w:sz w:val="21"/>
                <w:szCs w:val="21"/>
                <w:u w:val="single"/>
                <w:lang w:eastAsia="zh-CN"/>
              </w:rPr>
              <w:t>生活污水</w:t>
            </w:r>
            <w:r>
              <w:rPr>
                <w:rFonts w:hint="default" w:ascii="Times New Roman" w:hAnsi="Times New Roman" w:eastAsia="宋体" w:cs="Times New Roman"/>
                <w:sz w:val="21"/>
                <w:szCs w:val="21"/>
                <w:u w:val="single"/>
                <w:lang w:val="en-US" w:eastAsia="zh-CN"/>
              </w:rPr>
              <w:t>1154t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17</w:t>
            </w:r>
          </w:p>
        </w:tc>
        <w:tc>
          <w:tcPr>
            <w:tcW w:w="882" w:type="pct"/>
            <w:noWrap w:val="0"/>
            <w:vAlign w:val="center"/>
          </w:tcPr>
          <w:p>
            <w:pPr>
              <w:pStyle w:val="11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园区管委会</w:t>
            </w:r>
          </w:p>
        </w:tc>
        <w:tc>
          <w:tcPr>
            <w:tcW w:w="1012" w:type="pct"/>
            <w:noWrap w:val="0"/>
            <w:vAlign w:val="center"/>
          </w:tcPr>
          <w:p>
            <w:pPr>
              <w:pStyle w:val="113"/>
              <w:bidi w:val="0"/>
              <w:rPr>
                <w:rFonts w:hint="default" w:ascii="Times New Roman" w:hAnsi="Times New Roman" w:cs="Times New Roman"/>
                <w:sz w:val="21"/>
                <w:szCs w:val="21"/>
                <w:highlight w:val="none"/>
                <w:u w:val="single"/>
                <w:lang w:val="en-US" w:eastAsia="zh-CN"/>
              </w:rPr>
            </w:pPr>
            <w:r>
              <w:rPr>
                <w:rFonts w:hint="default" w:ascii="Times New Roman" w:hAnsi="Times New Roman" w:cs="Times New Roman"/>
                <w:sz w:val="21"/>
                <w:szCs w:val="21"/>
                <w:highlight w:val="none"/>
                <w:u w:val="single"/>
                <w:lang w:val="en-US" w:eastAsia="zh-CN"/>
              </w:rPr>
              <w:t>工作人员20人</w:t>
            </w:r>
          </w:p>
        </w:tc>
        <w:tc>
          <w:tcPr>
            <w:tcW w:w="574" w:type="pct"/>
            <w:noWrap w:val="0"/>
            <w:vAlign w:val="center"/>
          </w:tcPr>
          <w:p>
            <w:pPr>
              <w:pStyle w:val="113"/>
              <w:bidi w:val="0"/>
              <w:rPr>
                <w:rFonts w:hint="default" w:ascii="Times New Roman" w:hAnsi="Times New Roman" w:cs="Times New Roman"/>
                <w:color w:val="auto"/>
                <w:sz w:val="21"/>
                <w:szCs w:val="21"/>
                <w:u w:val="single"/>
                <w:lang w:val="en-US" w:eastAsia="zh-CN"/>
              </w:rPr>
            </w:pP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生活废水</w:t>
            </w:r>
            <w:r>
              <w:rPr>
                <w:rFonts w:hint="default" w:ascii="Times New Roman" w:hAnsi="Times New Roman" w:cs="Times New Roman"/>
                <w:color w:val="auto"/>
                <w:sz w:val="21"/>
                <w:szCs w:val="21"/>
                <w:u w:val="single"/>
              </w:rPr>
              <w:t>化粪池处理</w:t>
            </w:r>
            <w:r>
              <w:rPr>
                <w:rFonts w:hint="default" w:ascii="Times New Roman" w:hAnsi="Times New Roman" w:cs="Times New Roman"/>
                <w:color w:val="auto"/>
                <w:sz w:val="21"/>
                <w:szCs w:val="21"/>
                <w:u w:val="single"/>
                <w:lang w:eastAsia="zh-CN"/>
              </w:rPr>
              <w:t>后接入园区污水处理厂</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生活污水</w:t>
            </w:r>
            <w:r>
              <w:rPr>
                <w:rFonts w:hint="default" w:ascii="Times New Roman" w:hAnsi="Times New Roman" w:eastAsia="宋体" w:cs="Times New Roman"/>
                <w:sz w:val="21"/>
                <w:szCs w:val="21"/>
                <w:u w:val="single"/>
                <w:lang w:val="en-US" w:eastAsia="zh-CN"/>
              </w:rPr>
              <w:t>740t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合计</w:t>
            </w:r>
          </w:p>
        </w:tc>
        <w:tc>
          <w:tcPr>
            <w:tcW w:w="882" w:type="pct"/>
            <w:noWrap w:val="0"/>
            <w:vAlign w:val="center"/>
          </w:tcPr>
          <w:p>
            <w:pPr>
              <w:pStyle w:val="113"/>
              <w:bidi w:val="0"/>
              <w:rPr>
                <w:rFonts w:hint="default" w:ascii="Times New Roman" w:hAnsi="Times New Roman" w:cs="Times New Roman"/>
                <w:sz w:val="21"/>
                <w:szCs w:val="21"/>
                <w:lang w:val="en-US" w:eastAsia="zh-CN"/>
              </w:rPr>
            </w:pPr>
          </w:p>
        </w:tc>
        <w:tc>
          <w:tcPr>
            <w:tcW w:w="1012" w:type="pct"/>
            <w:noWrap w:val="0"/>
            <w:vAlign w:val="center"/>
          </w:tcPr>
          <w:p>
            <w:pPr>
              <w:pStyle w:val="113"/>
              <w:bidi w:val="0"/>
              <w:rPr>
                <w:rFonts w:hint="default" w:ascii="Times New Roman" w:hAnsi="Times New Roman" w:cs="Times New Roman"/>
                <w:sz w:val="21"/>
                <w:szCs w:val="21"/>
                <w:highlight w:val="none"/>
                <w:u w:val="single"/>
                <w:lang w:val="en-US" w:eastAsia="zh-CN"/>
              </w:rPr>
            </w:pPr>
          </w:p>
        </w:tc>
        <w:tc>
          <w:tcPr>
            <w:tcW w:w="574" w:type="pct"/>
            <w:noWrap w:val="0"/>
            <w:vAlign w:val="center"/>
          </w:tcPr>
          <w:p>
            <w:pPr>
              <w:pStyle w:val="113"/>
              <w:bidi w:val="0"/>
              <w:rPr>
                <w:rFonts w:hint="default" w:ascii="Times New Roman" w:hAnsi="Times New Roman" w:cs="Times New Roman"/>
                <w:color w:val="auto"/>
                <w:sz w:val="21"/>
                <w:szCs w:val="21"/>
                <w:u w:val="single"/>
                <w:lang w:val="en-US" w:eastAsia="zh-CN"/>
              </w:rPr>
            </w:pP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270843（902.81t/d）</w:t>
            </w:r>
          </w:p>
        </w:tc>
      </w:tr>
    </w:tbl>
    <w:p>
      <w:pPr>
        <w:ind w:firstLine="480"/>
        <w:jc w:val="both"/>
        <w:rPr>
          <w:rFonts w:hint="eastAsia"/>
          <w:color w:val="auto"/>
          <w:lang w:eastAsia="zh-CN"/>
        </w:rPr>
      </w:pPr>
      <w:r>
        <w:rPr>
          <w:rFonts w:hint="eastAsia"/>
          <w:color w:val="auto"/>
          <w:u w:val="single"/>
          <w:lang w:eastAsia="zh-CN"/>
        </w:rPr>
        <w:t>综上分析，目前猛洞河产业园内企事业排入污水处理厂的废水主要为生活污水，污染因子主要为有机污染物，且污染物单一</w:t>
      </w:r>
      <w:r>
        <w:rPr>
          <w:rFonts w:hint="eastAsia"/>
          <w:color w:val="auto"/>
          <w:u w:val="single"/>
          <w:lang w:val="en-US" w:eastAsia="zh-CN"/>
        </w:rPr>
        <w:t>，</w:t>
      </w:r>
      <w:r>
        <w:rPr>
          <w:rFonts w:hint="eastAsia"/>
          <w:color w:val="auto"/>
          <w:u w:val="single"/>
          <w:lang w:eastAsia="zh-CN"/>
        </w:rPr>
        <w:t>近期日产生污水总量约为252.95</w:t>
      </w:r>
      <w:r>
        <w:rPr>
          <w:rFonts w:hint="eastAsia"/>
          <w:color w:val="auto"/>
          <w:u w:val="single"/>
          <w:lang w:val="en-US" w:eastAsia="zh-CN"/>
        </w:rPr>
        <w:t>t/d，远期</w:t>
      </w:r>
      <w:r>
        <w:rPr>
          <w:rFonts w:hint="eastAsia"/>
          <w:color w:val="auto"/>
          <w:u w:val="single"/>
          <w:lang w:eastAsia="zh-CN"/>
        </w:rPr>
        <w:t>日产生污水总量约为902.81</w:t>
      </w:r>
      <w:r>
        <w:rPr>
          <w:rFonts w:hint="eastAsia"/>
          <w:color w:val="auto"/>
          <w:u w:val="single"/>
          <w:lang w:val="en-US" w:eastAsia="zh-CN"/>
        </w:rPr>
        <w:t>t/d</w:t>
      </w:r>
      <w:r>
        <w:rPr>
          <w:rFonts w:hint="eastAsia"/>
          <w:color w:val="auto"/>
          <w:u w:val="single"/>
          <w:lang w:eastAsia="zh-CN"/>
        </w:rPr>
        <w:t>。因此</w:t>
      </w:r>
      <w:r>
        <w:rPr>
          <w:rFonts w:hint="eastAsia"/>
          <w:color w:val="auto"/>
          <w:kern w:val="0"/>
          <w:u w:val="single"/>
          <w:lang w:eastAsia="zh-CN"/>
        </w:rPr>
        <w:t>湘西猛洞河旅游生态开发区建设公司根据猛洞河产业园现有企业实际建设情况及污水量预测，委托长沙中联重科环境产业有限公司设计了《永顺县经开区污水处理站建设项目技术方案》，设计近期每天污水处理量为</w:t>
      </w:r>
      <w:r>
        <w:rPr>
          <w:rFonts w:hint="eastAsia"/>
          <w:color w:val="auto"/>
          <w:kern w:val="0"/>
          <w:u w:val="single"/>
          <w:lang w:val="en-US" w:eastAsia="zh-CN"/>
        </w:rPr>
        <w:t>400t，远期新增3座MBR一体化污水处理设备，远期</w:t>
      </w:r>
      <w:r>
        <w:rPr>
          <w:rFonts w:hint="eastAsia"/>
          <w:color w:val="auto"/>
          <w:kern w:val="0"/>
          <w:u w:val="single"/>
          <w:lang w:eastAsia="zh-CN"/>
        </w:rPr>
        <w:t>每天污水处理量增加至</w:t>
      </w:r>
      <w:r>
        <w:rPr>
          <w:rFonts w:hint="eastAsia"/>
          <w:color w:val="auto"/>
          <w:kern w:val="0"/>
          <w:u w:val="single"/>
          <w:lang w:val="en-US" w:eastAsia="zh-CN"/>
        </w:rPr>
        <w:t>1000t，能满足近远期园区内的污水处理需求</w:t>
      </w:r>
      <w:r>
        <w:rPr>
          <w:rFonts w:hint="eastAsia"/>
          <w:color w:val="auto"/>
          <w:kern w:val="0"/>
          <w:u w:val="single"/>
          <w:lang w:eastAsia="zh-CN"/>
        </w:rPr>
        <w:t>。</w:t>
      </w:r>
    </w:p>
    <w:p>
      <w:pPr>
        <w:pStyle w:val="69"/>
        <w:rPr>
          <w:color w:val="auto"/>
          <w:u w:val="none"/>
        </w:rPr>
      </w:pPr>
      <w:bookmarkStart w:id="156" w:name="_Toc489350251"/>
      <w:bookmarkStart w:id="157" w:name="_Toc489349990"/>
      <w:bookmarkStart w:id="158" w:name="_Toc489350150"/>
      <w:r>
        <w:rPr>
          <w:rFonts w:hint="eastAsia"/>
          <w:color w:val="auto"/>
          <w:u w:val="none"/>
        </w:rPr>
        <w:t>2.</w:t>
      </w:r>
      <w:r>
        <w:rPr>
          <w:color w:val="auto"/>
          <w:u w:val="none"/>
        </w:rPr>
        <w:t>1</w:t>
      </w:r>
      <w:r>
        <w:rPr>
          <w:rFonts w:hint="eastAsia"/>
          <w:color w:val="auto"/>
          <w:u w:val="none"/>
        </w:rPr>
        <w:t>.6.</w:t>
      </w:r>
      <w:r>
        <w:rPr>
          <w:rFonts w:hint="eastAsia"/>
          <w:color w:val="auto"/>
          <w:u w:val="none"/>
          <w:lang w:val="en-US" w:eastAsia="zh-CN"/>
        </w:rPr>
        <w:t>3</w:t>
      </w:r>
      <w:r>
        <w:rPr>
          <w:rFonts w:hint="eastAsia"/>
          <w:color w:val="auto"/>
          <w:u w:val="none"/>
        </w:rPr>
        <w:t>污水处理厂进水水质确定</w:t>
      </w:r>
    </w:p>
    <w:p>
      <w:pPr>
        <w:widowControl w:val="0"/>
        <w:autoSpaceDE w:val="0"/>
        <w:autoSpaceDN w:val="0"/>
        <w:spacing w:line="388" w:lineRule="auto"/>
        <w:ind w:left="238" w:right="253" w:firstLine="480" w:firstLineChars="0"/>
        <w:jc w:val="both"/>
        <w:rPr>
          <w:rFonts w:hint="default" w:cs="宋体"/>
          <w:color w:val="auto"/>
          <w:spacing w:val="-3"/>
          <w:kern w:val="0"/>
          <w:u w:val="single"/>
          <w:lang w:val="en-US" w:bidi="zh-CN"/>
        </w:rPr>
      </w:pPr>
      <w:r>
        <w:rPr>
          <w:rFonts w:hint="eastAsia" w:cs="宋体"/>
          <w:color w:val="auto"/>
          <w:spacing w:val="-3"/>
          <w:kern w:val="0"/>
          <w:u w:val="single"/>
          <w:lang w:val="en-US" w:bidi="zh-CN"/>
        </w:rPr>
        <w:t>（1）水质调查</w:t>
      </w:r>
    </w:p>
    <w:p>
      <w:pPr>
        <w:widowControl w:val="0"/>
        <w:ind w:firstLine="480"/>
        <w:jc w:val="both"/>
        <w:rPr>
          <w:rFonts w:hint="eastAsia" w:ascii="Calibri" w:hAnsi="Calibri"/>
          <w:color w:val="000000"/>
          <w:kern w:val="0"/>
          <w:u w:val="single"/>
        </w:rPr>
      </w:pPr>
      <w:r>
        <w:rPr>
          <w:rFonts w:hint="eastAsia" w:ascii="Calibri" w:hAnsi="Calibri"/>
          <w:color w:val="000000"/>
          <w:kern w:val="0"/>
          <w:u w:val="single"/>
        </w:rPr>
        <w:t xml:space="preserve">为了了解污水水质对现已入驻的企业进行了水质调查，具体情况见下表： </w:t>
      </w:r>
    </w:p>
    <w:p>
      <w:pPr>
        <w:widowControl w:val="0"/>
        <w:ind w:firstLine="422"/>
        <w:jc w:val="center"/>
        <w:rPr>
          <w:b/>
          <w:color w:val="000000"/>
          <w:kern w:val="0"/>
          <w:sz w:val="21"/>
          <w:szCs w:val="21"/>
          <w:u w:val="single"/>
        </w:rPr>
      </w:pPr>
      <w:r>
        <w:rPr>
          <w:rFonts w:hAnsi="Calibri"/>
          <w:b/>
          <w:color w:val="000000"/>
          <w:kern w:val="0"/>
          <w:sz w:val="21"/>
          <w:szCs w:val="21"/>
          <w:u w:val="single"/>
        </w:rPr>
        <w:t>表</w:t>
      </w:r>
      <w:r>
        <w:rPr>
          <w:rFonts w:hint="eastAsia"/>
          <w:b/>
          <w:color w:val="000000"/>
          <w:kern w:val="0"/>
          <w:sz w:val="21"/>
          <w:szCs w:val="21"/>
          <w:u w:val="single"/>
          <w:lang w:val="en-US" w:eastAsia="zh-CN"/>
        </w:rPr>
        <w:t>2.1-7</w:t>
      </w:r>
      <w:r>
        <w:rPr>
          <w:b/>
          <w:color w:val="000000"/>
          <w:kern w:val="0"/>
          <w:sz w:val="21"/>
          <w:szCs w:val="21"/>
          <w:u w:val="single"/>
        </w:rPr>
        <w:t xml:space="preserve"> </w:t>
      </w:r>
      <w:r>
        <w:rPr>
          <w:rFonts w:hAnsi="Calibri"/>
          <w:b/>
          <w:color w:val="000000"/>
          <w:kern w:val="0"/>
          <w:sz w:val="21"/>
          <w:szCs w:val="21"/>
          <w:u w:val="single"/>
        </w:rPr>
        <w:t>现阶段主要污染企业排污情况</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2323"/>
        <w:gridCol w:w="1524"/>
        <w:gridCol w:w="1331"/>
        <w:gridCol w:w="1005"/>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b/>
                <w:color w:val="000000"/>
                <w:kern w:val="0"/>
                <w:sz w:val="21"/>
                <w:szCs w:val="21"/>
                <w:u w:val="single"/>
              </w:rPr>
            </w:pPr>
            <w:r>
              <w:rPr>
                <w:b/>
                <w:color w:val="000000"/>
                <w:kern w:val="0"/>
                <w:sz w:val="21"/>
                <w:szCs w:val="21"/>
                <w:u w:val="single"/>
              </w:rPr>
              <w:t>序号</w:t>
            </w:r>
          </w:p>
        </w:tc>
        <w:tc>
          <w:tcPr>
            <w:tcW w:w="1433" w:type="pct"/>
            <w:noWrap w:val="0"/>
            <w:vAlign w:val="center"/>
          </w:tcPr>
          <w:p>
            <w:pPr>
              <w:widowControl w:val="0"/>
              <w:spacing w:line="240" w:lineRule="auto"/>
              <w:ind w:firstLine="0" w:firstLineChars="0"/>
              <w:jc w:val="center"/>
              <w:rPr>
                <w:b/>
                <w:color w:val="000000"/>
                <w:kern w:val="0"/>
                <w:sz w:val="21"/>
                <w:szCs w:val="21"/>
                <w:u w:val="single"/>
              </w:rPr>
            </w:pPr>
            <w:r>
              <w:rPr>
                <w:b/>
                <w:color w:val="000000"/>
                <w:kern w:val="0"/>
                <w:sz w:val="21"/>
                <w:szCs w:val="21"/>
                <w:u w:val="single"/>
              </w:rPr>
              <w:t>企业名称</w:t>
            </w:r>
          </w:p>
        </w:tc>
        <w:tc>
          <w:tcPr>
            <w:tcW w:w="959" w:type="pct"/>
            <w:noWrap w:val="0"/>
            <w:vAlign w:val="center"/>
          </w:tcPr>
          <w:p>
            <w:pPr>
              <w:widowControl w:val="0"/>
              <w:spacing w:line="240" w:lineRule="auto"/>
              <w:ind w:firstLine="0" w:firstLineChars="0"/>
              <w:jc w:val="center"/>
              <w:rPr>
                <w:b/>
                <w:color w:val="000000"/>
                <w:kern w:val="0"/>
                <w:sz w:val="21"/>
                <w:szCs w:val="21"/>
                <w:u w:val="single"/>
              </w:rPr>
            </w:pPr>
            <w:r>
              <w:rPr>
                <w:b/>
                <w:color w:val="000000"/>
                <w:kern w:val="0"/>
                <w:sz w:val="21"/>
                <w:szCs w:val="21"/>
                <w:u w:val="single"/>
              </w:rPr>
              <w:t>主要产品</w:t>
            </w:r>
          </w:p>
        </w:tc>
        <w:tc>
          <w:tcPr>
            <w:tcW w:w="480" w:type="pct"/>
            <w:noWrap w:val="0"/>
            <w:vAlign w:val="center"/>
          </w:tcPr>
          <w:p>
            <w:pPr>
              <w:widowControl w:val="0"/>
              <w:spacing w:line="240" w:lineRule="auto"/>
              <w:ind w:firstLine="0" w:firstLineChars="0"/>
              <w:jc w:val="both"/>
              <w:rPr>
                <w:rFonts w:hint="eastAsia" w:eastAsia="宋体"/>
                <w:b/>
                <w:color w:val="000000"/>
                <w:kern w:val="0"/>
                <w:sz w:val="21"/>
                <w:szCs w:val="21"/>
                <w:u w:val="single"/>
                <w:lang w:eastAsia="zh-CN"/>
              </w:rPr>
            </w:pPr>
            <w:r>
              <w:rPr>
                <w:b/>
                <w:color w:val="000000"/>
                <w:kern w:val="0"/>
                <w:sz w:val="21"/>
                <w:szCs w:val="21"/>
                <w:u w:val="single"/>
              </w:rPr>
              <w:t>废水排放量t/</w:t>
            </w:r>
            <w:r>
              <w:rPr>
                <w:rFonts w:hint="eastAsia"/>
                <w:b/>
                <w:color w:val="000000"/>
                <w:kern w:val="0"/>
                <w:sz w:val="21"/>
                <w:szCs w:val="21"/>
                <w:u w:val="single"/>
                <w:lang w:val="en-US" w:eastAsia="zh-CN"/>
              </w:rPr>
              <w:t>a</w:t>
            </w:r>
          </w:p>
        </w:tc>
        <w:tc>
          <w:tcPr>
            <w:tcW w:w="654" w:type="pct"/>
            <w:noWrap w:val="0"/>
            <w:vAlign w:val="center"/>
          </w:tcPr>
          <w:p>
            <w:pPr>
              <w:widowControl w:val="0"/>
              <w:spacing w:line="240" w:lineRule="auto"/>
              <w:ind w:firstLine="0" w:firstLineChars="0"/>
              <w:jc w:val="both"/>
              <w:rPr>
                <w:b/>
                <w:color w:val="000000"/>
                <w:kern w:val="0"/>
                <w:sz w:val="21"/>
                <w:szCs w:val="21"/>
                <w:u w:val="single"/>
              </w:rPr>
            </w:pPr>
            <w:r>
              <w:rPr>
                <w:b/>
                <w:color w:val="000000"/>
                <w:kern w:val="0"/>
                <w:sz w:val="21"/>
                <w:szCs w:val="21"/>
                <w:u w:val="single"/>
              </w:rPr>
              <w:t>污水类型</w:t>
            </w:r>
          </w:p>
        </w:tc>
        <w:tc>
          <w:tcPr>
            <w:tcW w:w="1000" w:type="pct"/>
            <w:noWrap w:val="0"/>
            <w:vAlign w:val="center"/>
          </w:tcPr>
          <w:p>
            <w:pPr>
              <w:widowControl w:val="0"/>
              <w:spacing w:line="240" w:lineRule="auto"/>
              <w:ind w:firstLine="0" w:firstLineChars="0"/>
              <w:jc w:val="center"/>
              <w:rPr>
                <w:b/>
                <w:color w:val="000000"/>
                <w:kern w:val="0"/>
                <w:sz w:val="21"/>
                <w:szCs w:val="21"/>
                <w:u w:val="single"/>
              </w:rPr>
            </w:pPr>
            <w:r>
              <w:rPr>
                <w:rFonts w:hint="eastAsia"/>
                <w:b/>
                <w:color w:val="000000"/>
                <w:kern w:val="0"/>
                <w:sz w:val="21"/>
                <w:szCs w:val="21"/>
                <w:u w:val="single"/>
              </w:rPr>
              <w:t>污水主要污染物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1</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永顺县明强建材有限公司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rPr>
              <w:t>商品混凝土</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1042</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2</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永顺县泰丰建材有限责任公司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rPr>
              <w:t>页岩烧结多孔砖</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600</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3</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鑫新鞋业有限公司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rPr>
              <w:t>鞋底</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1775</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4</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耒阳市亚湘电子科技有限公司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rPr>
              <w:t>网络滤波器</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1294</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5</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湘西山水牛郎寨农业科技开发公司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rPr>
              <w:t>净菜产品及酱菜产品</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1798</w:t>
            </w:r>
          </w:p>
        </w:tc>
        <w:tc>
          <w:tcPr>
            <w:tcW w:w="654" w:type="pct"/>
            <w:noWrap w:val="0"/>
            <w:vAlign w:val="center"/>
          </w:tcPr>
          <w:p>
            <w:pPr>
              <w:widowControl w:val="0"/>
              <w:spacing w:line="240" w:lineRule="auto"/>
              <w:ind w:firstLine="0" w:firstLineChars="0"/>
              <w:jc w:val="center"/>
              <w:rPr>
                <w:rFonts w:hint="eastAsia" w:eastAsia="宋体"/>
                <w:color w:val="000000"/>
                <w:kern w:val="0"/>
                <w:sz w:val="21"/>
                <w:szCs w:val="21"/>
                <w:u w:val="single"/>
                <w:lang w:eastAsia="zh-CN"/>
              </w:rPr>
            </w:pPr>
            <w:r>
              <w:rPr>
                <w:rFonts w:hint="eastAsia"/>
                <w:color w:val="000000"/>
                <w:kern w:val="0"/>
                <w:sz w:val="21"/>
                <w:szCs w:val="21"/>
                <w:u w:val="single"/>
              </w:rPr>
              <w:t>生活废水</w:t>
            </w:r>
            <w:r>
              <w:rPr>
                <w:rFonts w:hint="eastAsia"/>
                <w:color w:val="000000"/>
                <w:kern w:val="0"/>
                <w:sz w:val="21"/>
                <w:szCs w:val="21"/>
                <w:u w:val="single"/>
                <w:lang w:eastAsia="zh-CN"/>
              </w:rPr>
              <w:t>、工业废水</w:t>
            </w:r>
          </w:p>
        </w:tc>
        <w:tc>
          <w:tcPr>
            <w:tcW w:w="1000" w:type="pct"/>
            <w:noWrap w:val="0"/>
            <w:vAlign w:val="center"/>
          </w:tcPr>
          <w:p>
            <w:pPr>
              <w:widowControl w:val="0"/>
              <w:spacing w:line="240" w:lineRule="auto"/>
              <w:ind w:firstLine="0" w:firstLineChars="0"/>
              <w:jc w:val="center"/>
              <w:rPr>
                <w:rFonts w:hint="eastAsia" w:eastAsia="宋体"/>
                <w:color w:val="000000"/>
                <w:kern w:val="0"/>
                <w:sz w:val="21"/>
                <w:szCs w:val="21"/>
                <w:u w:val="single"/>
                <w:lang w:eastAsia="zh-CN"/>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r>
              <w:rPr>
                <w:rFonts w:hint="eastAsia"/>
                <w:color w:val="000000"/>
                <w:kern w:val="0"/>
                <w:sz w:val="21"/>
                <w:szCs w:val="21"/>
                <w:u w:val="single"/>
                <w:lang w:eastAsia="zh-CN"/>
              </w:rPr>
              <w:t>、</w:t>
            </w:r>
            <w:r>
              <w:rPr>
                <w:rFonts w:hint="eastAsia"/>
                <w:color w:val="000000"/>
                <w:kern w:val="0"/>
                <w:sz w:val="21"/>
                <w:szCs w:val="21"/>
                <w:u w:val="single"/>
              </w:rPr>
              <w:t>动植物油</w:t>
            </w:r>
            <w:r>
              <w:rPr>
                <w:color w:val="000000"/>
                <w:kern w:val="0"/>
                <w:sz w:val="21"/>
                <w:szCs w:val="21"/>
                <w:u w:val="single"/>
              </w:rPr>
              <w:t>、</w:t>
            </w:r>
            <w:r>
              <w:rPr>
                <w:rFonts w:hint="eastAsia"/>
                <w:color w:val="000000"/>
                <w:kern w:val="0"/>
                <w:sz w:val="21"/>
                <w:szCs w:val="21"/>
                <w:u w:val="single"/>
                <w:lang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6</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湘西吊角楼特色食品有限公司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rPr>
              <w:t>腊制品、糍粑、酱腌菜等产品</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15539</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r>
              <w:rPr>
                <w:rFonts w:hint="eastAsia"/>
                <w:color w:val="000000"/>
                <w:kern w:val="0"/>
                <w:sz w:val="21"/>
                <w:szCs w:val="21"/>
                <w:u w:val="single"/>
                <w:lang w:eastAsia="zh-CN"/>
              </w:rPr>
              <w:t>、工业废水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r>
              <w:rPr>
                <w:rFonts w:hint="eastAsia"/>
                <w:color w:val="000000"/>
                <w:kern w:val="0"/>
                <w:sz w:val="21"/>
                <w:szCs w:val="21"/>
                <w:u w:val="single"/>
                <w:lang w:eastAsia="zh-CN"/>
              </w:rPr>
              <w:t>、</w:t>
            </w:r>
            <w:r>
              <w:rPr>
                <w:color w:val="000000"/>
                <w:kern w:val="0"/>
                <w:sz w:val="21"/>
                <w:szCs w:val="21"/>
                <w:u w:val="single"/>
              </w:rPr>
              <w:t>、</w:t>
            </w:r>
            <w:r>
              <w:rPr>
                <w:rFonts w:hint="eastAsia"/>
                <w:color w:val="000000"/>
                <w:kern w:val="0"/>
                <w:sz w:val="21"/>
                <w:szCs w:val="21"/>
                <w:u w:val="single"/>
                <w:lang w:eastAsia="zh-CN"/>
              </w:rPr>
              <w:t>总磷</w:t>
            </w:r>
            <w:r>
              <w:rPr>
                <w:color w:val="000000"/>
                <w:kern w:val="0"/>
                <w:sz w:val="21"/>
                <w:szCs w:val="21"/>
                <w:u w:val="single"/>
              </w:rPr>
              <w:t>、</w:t>
            </w:r>
            <w:r>
              <w:rPr>
                <w:rFonts w:hint="eastAsia"/>
                <w:color w:val="000000"/>
                <w:kern w:val="0"/>
                <w:sz w:val="21"/>
                <w:szCs w:val="21"/>
                <w:u w:val="single"/>
              </w:rPr>
              <w:t xml:space="preserve">动植物油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7</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永顺楷瑞钢化玻璃有限公司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中空与钢化玻璃加工</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372</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8</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永顺县蔚蓝藤家具制造有限公司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lang w:eastAsia="zh-CN"/>
              </w:rPr>
              <w:t>竹制品家具制造</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2958</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9</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永顺供销勤方科技有限公司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lang w:val="en-US" w:eastAsia="zh-CN"/>
              </w:rPr>
              <w:t>农产品供应</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185</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10</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永顺县锦鸿服装有限公司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lang w:eastAsia="zh-CN"/>
              </w:rPr>
              <w:t>服装加工</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555</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w:t>
            </w:r>
            <w:r>
              <w:rPr>
                <w:rFonts w:hint="eastAsia"/>
                <w:color w:val="000000"/>
                <w:kern w:val="0"/>
                <w:sz w:val="21"/>
                <w:szCs w:val="21"/>
                <w:u w:val="singl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11</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永顺县食佳香粮油有限责任公司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lang w:eastAsia="zh-CN"/>
              </w:rPr>
              <w:t>米粉</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481</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12</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永顺县润民公司有限责任公司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lang w:eastAsia="zh-CN"/>
              </w:rPr>
              <w:t>面条</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296</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13</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湖南晋海医药科技有限公司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lang w:eastAsia="zh-CN"/>
              </w:rPr>
              <w:t>医药生产</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813</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14</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rPr>
              <w:t>湖南永顺中远实业有限责任公司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auto"/>
                <w:sz w:val="21"/>
                <w:szCs w:val="21"/>
                <w:u w:val="single"/>
                <w:lang w:eastAsia="zh-CN"/>
              </w:rPr>
              <w:t>生猪屠宰加工</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240740</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生活废水、工业废水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r>
              <w:rPr>
                <w:rFonts w:hint="eastAsia"/>
                <w:color w:val="000000"/>
                <w:kern w:val="0"/>
                <w:sz w:val="21"/>
                <w:szCs w:val="21"/>
                <w:u w:val="single"/>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15</w:t>
            </w:r>
          </w:p>
        </w:tc>
        <w:tc>
          <w:tcPr>
            <w:tcW w:w="1433" w:type="pct"/>
            <w:noWrap w:val="0"/>
            <w:vAlign w:val="center"/>
          </w:tcPr>
          <w:p>
            <w:pPr>
              <w:pStyle w:val="113"/>
              <w:bidi w:val="0"/>
              <w:ind w:firstLine="0" w:firstLineChars="0"/>
              <w:rPr>
                <w:color w:val="000000"/>
                <w:kern w:val="0"/>
                <w:sz w:val="21"/>
                <w:szCs w:val="21"/>
                <w:u w:val="single"/>
              </w:rPr>
            </w:pPr>
            <w:r>
              <w:rPr>
                <w:rFonts w:hint="eastAsia"/>
                <w:color w:val="auto"/>
                <w:sz w:val="21"/>
                <w:szCs w:val="21"/>
                <w:u w:val="single"/>
                <w:lang w:eastAsia="zh-CN"/>
              </w:rPr>
              <w:t>兴成建材有限责任公司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eastAsia" w:ascii="Times New Roman" w:hAnsi="Times New Roman" w:eastAsia="宋体" w:cs="Times New Roman"/>
                <w:color w:val="auto"/>
                <w:sz w:val="21"/>
                <w:szCs w:val="21"/>
                <w:u w:val="single"/>
                <w:lang w:eastAsia="zh-CN"/>
              </w:rPr>
              <w:t>商品混凝土</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463</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color w:val="000000"/>
                <w:kern w:val="0"/>
                <w:sz w:val="21"/>
                <w:szCs w:val="21"/>
                <w:u w:val="single"/>
                <w:vertAlign w:val="subscript"/>
              </w:rPr>
              <w:t>5</w:t>
            </w:r>
            <w:r>
              <w:rPr>
                <w:color w:val="000000"/>
                <w:kern w:val="0"/>
                <w:sz w:val="21"/>
                <w:szCs w:val="21"/>
                <w:u w:val="single"/>
              </w:rPr>
              <w:t>、NH3-N、SS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16</w:t>
            </w:r>
          </w:p>
        </w:tc>
        <w:tc>
          <w:tcPr>
            <w:tcW w:w="1433" w:type="pct"/>
            <w:noWrap w:val="0"/>
            <w:vAlign w:val="center"/>
          </w:tcPr>
          <w:p>
            <w:pPr>
              <w:pStyle w:val="113"/>
              <w:bidi w:val="0"/>
              <w:ind w:firstLine="0" w:firstLineChars="0"/>
              <w:rPr>
                <w:color w:val="000000"/>
                <w:kern w:val="0"/>
                <w:sz w:val="21"/>
                <w:szCs w:val="21"/>
                <w:u w:val="single"/>
              </w:rPr>
            </w:pPr>
            <w:r>
              <w:rPr>
                <w:rFonts w:hint="default" w:ascii="Times New Roman" w:hAnsi="Times New Roman" w:cs="Times New Roman"/>
                <w:sz w:val="21"/>
                <w:szCs w:val="21"/>
                <w:lang w:val="en-US" w:eastAsia="zh-CN"/>
              </w:rPr>
              <w:t>永顺县美天报废汽车回收拆解有限责任公司</w:t>
            </w:r>
          </w:p>
        </w:tc>
        <w:tc>
          <w:tcPr>
            <w:tcW w:w="959" w:type="pct"/>
            <w:noWrap w:val="0"/>
            <w:vAlign w:val="center"/>
          </w:tcPr>
          <w:p>
            <w:pPr>
              <w:widowControl w:val="0"/>
              <w:spacing w:line="240" w:lineRule="auto"/>
              <w:ind w:firstLine="0" w:firstLineChars="0"/>
              <w:jc w:val="center"/>
              <w:rPr>
                <w:color w:val="000000"/>
                <w:kern w:val="0"/>
                <w:sz w:val="21"/>
                <w:szCs w:val="21"/>
                <w:u w:val="single"/>
              </w:rPr>
            </w:pPr>
            <w:r>
              <w:rPr>
                <w:rFonts w:hint="default" w:ascii="Times New Roman" w:hAnsi="Times New Roman" w:cs="Times New Roman"/>
                <w:sz w:val="21"/>
                <w:szCs w:val="21"/>
                <w:highlight w:val="none"/>
                <w:u w:val="single"/>
                <w:lang w:val="en-US" w:eastAsia="zh-CN"/>
              </w:rPr>
              <w:t>拆解报废车辆</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1192</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生活废水、工业废水</w:t>
            </w:r>
          </w:p>
        </w:tc>
        <w:tc>
          <w:tcPr>
            <w:tcW w:w="1000" w:type="pct"/>
            <w:noWrap w:val="0"/>
            <w:vAlign w:val="center"/>
          </w:tcPr>
          <w:p>
            <w:pPr>
              <w:widowControl w:val="0"/>
              <w:spacing w:line="240" w:lineRule="auto"/>
              <w:ind w:firstLine="0" w:firstLineChars="0"/>
              <w:jc w:val="center"/>
              <w:rPr>
                <w:rFonts w:hint="eastAsia" w:eastAsia="宋体"/>
                <w:color w:val="000000"/>
                <w:kern w:val="0"/>
                <w:sz w:val="21"/>
                <w:szCs w:val="21"/>
                <w:u w:val="single"/>
                <w:lang w:eastAsia="zh-CN"/>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r>
              <w:rPr>
                <w:rFonts w:hint="eastAsia"/>
                <w:color w:val="000000"/>
                <w:kern w:val="0"/>
                <w:sz w:val="21"/>
                <w:szCs w:val="21"/>
                <w:u w:val="singl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70"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17</w:t>
            </w:r>
          </w:p>
        </w:tc>
        <w:tc>
          <w:tcPr>
            <w:tcW w:w="1433" w:type="pct"/>
            <w:noWrap w:val="0"/>
            <w:vAlign w:val="center"/>
          </w:tcPr>
          <w:p>
            <w:pPr>
              <w:pStyle w:val="113"/>
              <w:bidi w:val="0"/>
              <w:ind w:firstLine="0" w:firstLineChars="0"/>
              <w:rPr>
                <w:color w:val="000000"/>
                <w:kern w:val="0"/>
                <w:sz w:val="21"/>
                <w:szCs w:val="21"/>
                <w:u w:val="single"/>
              </w:rPr>
            </w:pPr>
            <w:r>
              <w:rPr>
                <w:rFonts w:hint="eastAsia" w:ascii="Times New Roman" w:hAnsi="Times New Roman" w:cs="Times New Roman"/>
                <w:sz w:val="21"/>
                <w:szCs w:val="21"/>
                <w:lang w:val="en-US" w:eastAsia="zh-CN"/>
              </w:rPr>
              <w:t>园区管委会</w:t>
            </w:r>
          </w:p>
        </w:tc>
        <w:tc>
          <w:tcPr>
            <w:tcW w:w="959"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20人</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740</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生活废水</w:t>
            </w:r>
          </w:p>
        </w:tc>
        <w:tc>
          <w:tcPr>
            <w:tcW w:w="1000" w:type="pct"/>
            <w:noWrap w:val="0"/>
            <w:vAlign w:val="center"/>
          </w:tcPr>
          <w:p>
            <w:pPr>
              <w:widowControl w:val="0"/>
              <w:spacing w:line="240" w:lineRule="auto"/>
              <w:ind w:firstLine="0" w:firstLineChars="0"/>
              <w:jc w:val="center"/>
              <w:rPr>
                <w:rFonts w:hint="eastAsia"/>
                <w:color w:val="000000"/>
                <w:kern w:val="0"/>
                <w:sz w:val="21"/>
                <w:szCs w:val="21"/>
                <w:u w:val="single"/>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864" w:type="pct"/>
            <w:gridSpan w:val="3"/>
            <w:noWrap w:val="0"/>
            <w:vAlign w:val="center"/>
          </w:tcPr>
          <w:p>
            <w:pPr>
              <w:widowControl w:val="0"/>
              <w:spacing w:line="240" w:lineRule="auto"/>
              <w:ind w:firstLine="0" w:firstLineChars="0"/>
              <w:jc w:val="center"/>
              <w:rPr>
                <w:color w:val="000000"/>
                <w:kern w:val="0"/>
                <w:sz w:val="21"/>
                <w:szCs w:val="21"/>
                <w:u w:val="single"/>
              </w:rPr>
            </w:pPr>
            <w:r>
              <w:rPr>
                <w:color w:val="000000"/>
                <w:kern w:val="0"/>
                <w:sz w:val="21"/>
                <w:szCs w:val="21"/>
                <w:u w:val="single"/>
              </w:rPr>
              <w:t>总计</w:t>
            </w:r>
          </w:p>
        </w:tc>
        <w:tc>
          <w:tcPr>
            <w:tcW w:w="48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rFonts w:hint="eastAsia"/>
                <w:color w:val="000000"/>
                <w:kern w:val="0"/>
                <w:sz w:val="21"/>
                <w:szCs w:val="21"/>
                <w:u w:val="single"/>
                <w:lang w:val="en-US" w:eastAsia="zh-CN"/>
              </w:rPr>
              <w:t>270843（902.8t/d）</w:t>
            </w:r>
          </w:p>
        </w:tc>
        <w:tc>
          <w:tcPr>
            <w:tcW w:w="654" w:type="pct"/>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w:t>
            </w:r>
          </w:p>
        </w:tc>
        <w:tc>
          <w:tcPr>
            <w:tcW w:w="1000" w:type="pct"/>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-N、SS</w:t>
            </w:r>
            <w:r>
              <w:rPr>
                <w:rFonts w:hint="eastAsia"/>
                <w:color w:val="000000"/>
                <w:kern w:val="0"/>
                <w:sz w:val="21"/>
                <w:szCs w:val="21"/>
                <w:u w:val="single"/>
              </w:rPr>
              <w:t>、动植物油</w:t>
            </w:r>
            <w:r>
              <w:rPr>
                <w:rFonts w:hint="eastAsia"/>
                <w:color w:val="000000"/>
                <w:kern w:val="0"/>
                <w:sz w:val="21"/>
                <w:szCs w:val="21"/>
                <w:u w:val="single"/>
                <w:lang w:val="en-US" w:eastAsia="zh-CN"/>
              </w:rPr>
              <w:t>/石油类</w:t>
            </w:r>
          </w:p>
        </w:tc>
      </w:tr>
    </w:tbl>
    <w:p>
      <w:pPr>
        <w:widowControl w:val="0"/>
        <w:suppressAutoHyphens/>
        <w:wordWrap w:val="0"/>
        <w:topLinePunct/>
        <w:ind w:firstLine="480"/>
        <w:jc w:val="both"/>
        <w:rPr>
          <w:rFonts w:ascii="Calibri" w:hAnsi="Calibri"/>
          <w:u w:val="single"/>
        </w:rPr>
      </w:pPr>
      <w:r>
        <w:rPr>
          <w:rFonts w:hint="eastAsia" w:cs="宋体"/>
          <w:color w:val="auto"/>
          <w:spacing w:val="-4"/>
          <w:kern w:val="0"/>
          <w:u w:val="single"/>
          <w:lang w:val="zh-CN" w:bidi="zh-CN"/>
        </w:rPr>
        <w:t>猛洞河产业园规划建设一个</w:t>
      </w:r>
      <w:r>
        <w:rPr>
          <w:rFonts w:hint="eastAsia" w:ascii="宋体" w:hAnsi="宋体" w:eastAsia="宋体" w:cs="宋体"/>
          <w:bCs/>
          <w:color w:val="auto"/>
          <w:kern w:val="44"/>
          <w:u w:val="single"/>
        </w:rPr>
        <w:t>以电子信息、特色食品加工、新型材料产业为主导，配套电子商务、现代物流业</w:t>
      </w:r>
      <w:r>
        <w:rPr>
          <w:rFonts w:hint="eastAsia" w:cs="宋体"/>
          <w:color w:val="auto"/>
          <w:spacing w:val="-4"/>
          <w:kern w:val="0"/>
          <w:u w:val="single"/>
          <w:lang w:val="zh-CN" w:bidi="zh-CN"/>
        </w:rPr>
        <w:t>的湖南现代科技化工业园区</w:t>
      </w:r>
      <w:r>
        <w:rPr>
          <w:rFonts w:hint="eastAsia"/>
          <w:u w:val="single"/>
        </w:rPr>
        <w:t>，</w:t>
      </w:r>
      <w:r>
        <w:rPr>
          <w:rFonts w:hint="eastAsia"/>
          <w:u w:val="single"/>
          <w:lang w:eastAsia="zh-CN"/>
        </w:rPr>
        <w:t>根据企业实际排水情况，生产废水基本回用，本项目接收的废水主要为生活废水，其污染物</w:t>
      </w:r>
      <w:r>
        <w:rPr>
          <w:u w:val="single"/>
        </w:rPr>
        <w:t>主要为有机物的污染。</w:t>
      </w:r>
      <w:r>
        <w:rPr>
          <w:rFonts w:hint="eastAsia"/>
          <w:u w:val="single"/>
        </w:rPr>
        <w:t>结合产业园入驻企业的定位以及结合</w:t>
      </w:r>
      <w:r>
        <w:rPr>
          <w:u w:val="single"/>
        </w:rPr>
        <w:t>上述行业</w:t>
      </w:r>
      <w:r>
        <w:rPr>
          <w:rFonts w:hint="eastAsia"/>
          <w:u w:val="single"/>
        </w:rPr>
        <w:t>污染物排放类型，</w:t>
      </w:r>
      <w:r>
        <w:rPr>
          <w:rFonts w:hint="eastAsia"/>
          <w:u w:val="single"/>
          <w:lang w:eastAsia="zh-CN"/>
        </w:rPr>
        <w:t>猛洞河</w:t>
      </w:r>
      <w:r>
        <w:rPr>
          <w:rFonts w:hint="eastAsia"/>
          <w:u w:val="single"/>
        </w:rPr>
        <w:t>产业园</w:t>
      </w:r>
      <w:r>
        <w:rPr>
          <w:u w:val="single"/>
        </w:rPr>
        <w:t>的特征水污染物见下表。</w:t>
      </w:r>
    </w:p>
    <w:p>
      <w:pPr>
        <w:widowControl w:val="0"/>
        <w:ind w:firstLine="422"/>
        <w:jc w:val="center"/>
        <w:rPr>
          <w:rFonts w:hAnsi="Calibri"/>
          <w:b/>
          <w:color w:val="000000"/>
          <w:kern w:val="0"/>
          <w:sz w:val="21"/>
          <w:szCs w:val="21"/>
          <w:u w:val="single"/>
        </w:rPr>
      </w:pPr>
      <w:r>
        <w:rPr>
          <w:rFonts w:hint="eastAsia" w:hAnsi="Calibri"/>
          <w:b/>
          <w:color w:val="000000"/>
          <w:kern w:val="0"/>
          <w:sz w:val="21"/>
          <w:szCs w:val="21"/>
          <w:u w:val="single"/>
          <w:lang w:val="en-US" w:eastAsia="zh-CN"/>
        </w:rPr>
        <w:t>2.1-8</w:t>
      </w:r>
      <w:r>
        <w:rPr>
          <w:rFonts w:hint="eastAsia" w:hAnsi="Calibri"/>
          <w:b/>
          <w:color w:val="000000"/>
          <w:kern w:val="0"/>
          <w:sz w:val="21"/>
          <w:szCs w:val="21"/>
          <w:u w:val="single"/>
          <w:lang w:eastAsia="zh-CN"/>
        </w:rPr>
        <w:t>猛洞河产业</w:t>
      </w:r>
      <w:r>
        <w:rPr>
          <w:rFonts w:hint="eastAsia" w:hAnsi="Calibri"/>
          <w:b/>
          <w:color w:val="000000"/>
          <w:kern w:val="0"/>
          <w:sz w:val="21"/>
          <w:szCs w:val="21"/>
          <w:u w:val="single"/>
        </w:rPr>
        <w:t>园特征水污染物分析一览表</w:t>
      </w:r>
    </w:p>
    <w:tbl>
      <w:tblPr>
        <w:tblStyle w:val="36"/>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89"/>
        <w:gridCol w:w="2127"/>
        <w:gridCol w:w="5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89" w:type="dxa"/>
            <w:noWrap w:val="0"/>
            <w:vAlign w:val="center"/>
          </w:tcPr>
          <w:p>
            <w:pPr>
              <w:widowControl w:val="0"/>
              <w:spacing w:line="240" w:lineRule="auto"/>
              <w:ind w:firstLine="0" w:firstLineChars="0"/>
              <w:jc w:val="center"/>
              <w:rPr>
                <w:b/>
                <w:color w:val="000000"/>
                <w:kern w:val="0"/>
                <w:sz w:val="21"/>
                <w:szCs w:val="21"/>
                <w:u w:val="single"/>
              </w:rPr>
            </w:pPr>
            <w:r>
              <w:rPr>
                <w:b/>
                <w:color w:val="000000"/>
                <w:kern w:val="0"/>
                <w:sz w:val="21"/>
                <w:szCs w:val="21"/>
                <w:u w:val="single"/>
              </w:rPr>
              <w:t>序号</w:t>
            </w:r>
          </w:p>
        </w:tc>
        <w:tc>
          <w:tcPr>
            <w:tcW w:w="2127" w:type="dxa"/>
            <w:noWrap w:val="0"/>
            <w:vAlign w:val="center"/>
          </w:tcPr>
          <w:p>
            <w:pPr>
              <w:widowControl w:val="0"/>
              <w:spacing w:line="240" w:lineRule="auto"/>
              <w:ind w:firstLine="0" w:firstLineChars="0"/>
              <w:jc w:val="center"/>
              <w:rPr>
                <w:b/>
                <w:color w:val="000000"/>
                <w:kern w:val="0"/>
                <w:sz w:val="21"/>
                <w:szCs w:val="21"/>
                <w:u w:val="single"/>
              </w:rPr>
            </w:pPr>
            <w:r>
              <w:rPr>
                <w:b/>
                <w:color w:val="000000"/>
                <w:kern w:val="0"/>
                <w:sz w:val="21"/>
                <w:szCs w:val="21"/>
                <w:u w:val="single"/>
              </w:rPr>
              <w:t>类别</w:t>
            </w:r>
          </w:p>
        </w:tc>
        <w:tc>
          <w:tcPr>
            <w:tcW w:w="5143" w:type="dxa"/>
            <w:noWrap w:val="0"/>
            <w:vAlign w:val="center"/>
          </w:tcPr>
          <w:p>
            <w:pPr>
              <w:widowControl w:val="0"/>
              <w:spacing w:line="240" w:lineRule="auto"/>
              <w:ind w:firstLine="0" w:firstLineChars="0"/>
              <w:jc w:val="center"/>
              <w:rPr>
                <w:b/>
                <w:color w:val="000000"/>
                <w:kern w:val="0"/>
                <w:sz w:val="21"/>
                <w:szCs w:val="21"/>
                <w:u w:val="single"/>
              </w:rPr>
            </w:pPr>
            <w:r>
              <w:rPr>
                <w:b/>
                <w:color w:val="000000"/>
                <w:kern w:val="0"/>
                <w:sz w:val="21"/>
                <w:szCs w:val="21"/>
                <w:u w:val="single"/>
              </w:rPr>
              <w:t>特征污染物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89" w:type="dxa"/>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1</w:t>
            </w:r>
          </w:p>
        </w:tc>
        <w:tc>
          <w:tcPr>
            <w:tcW w:w="2127" w:type="dxa"/>
            <w:noWrap w:val="0"/>
            <w:vAlign w:val="center"/>
          </w:tcPr>
          <w:p>
            <w:pPr>
              <w:widowControl w:val="0"/>
              <w:spacing w:line="240" w:lineRule="auto"/>
              <w:ind w:firstLine="0" w:firstLineChars="0"/>
              <w:jc w:val="center"/>
              <w:rPr>
                <w:rFonts w:hint="eastAsia" w:eastAsia="宋体"/>
                <w:color w:val="000000"/>
                <w:kern w:val="0"/>
                <w:sz w:val="21"/>
                <w:szCs w:val="21"/>
                <w:u w:val="single"/>
                <w:lang w:eastAsia="zh-CN"/>
              </w:rPr>
            </w:pPr>
            <w:r>
              <w:rPr>
                <w:rFonts w:hint="eastAsia"/>
                <w:color w:val="000000"/>
                <w:kern w:val="0"/>
                <w:sz w:val="21"/>
                <w:szCs w:val="21"/>
                <w:u w:val="single"/>
                <w:lang w:eastAsia="zh-CN"/>
              </w:rPr>
              <w:t>生活污水</w:t>
            </w:r>
          </w:p>
        </w:tc>
        <w:tc>
          <w:tcPr>
            <w:tcW w:w="5143" w:type="dxa"/>
            <w:noWrap w:val="0"/>
            <w:vAlign w:val="center"/>
          </w:tcPr>
          <w:p>
            <w:pPr>
              <w:widowControl w:val="0"/>
              <w:spacing w:line="240" w:lineRule="auto"/>
              <w:ind w:firstLine="0" w:firstLineChars="0"/>
              <w:jc w:val="center"/>
              <w:rPr>
                <w:rFonts w:hint="default" w:eastAsia="宋体"/>
                <w:color w:val="000000"/>
                <w:kern w:val="0"/>
                <w:sz w:val="21"/>
                <w:szCs w:val="21"/>
                <w:u w:val="single"/>
                <w:lang w:val="en-US" w:eastAsia="zh-CN"/>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w:t>
            </w:r>
            <w:r>
              <w:rPr>
                <w:rFonts w:hint="eastAsia"/>
                <w:color w:val="000000"/>
                <w:kern w:val="0"/>
                <w:sz w:val="21"/>
                <w:szCs w:val="21"/>
                <w:u w:val="single"/>
                <w:lang w:eastAsia="zh-CN"/>
              </w:rPr>
              <w:t>、</w:t>
            </w:r>
            <w:r>
              <w:rPr>
                <w:rFonts w:hint="eastAsia"/>
                <w:color w:val="000000"/>
                <w:kern w:val="0"/>
                <w:sz w:val="21"/>
                <w:szCs w:val="21"/>
                <w:u w:val="single"/>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89" w:type="dxa"/>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2</w:t>
            </w:r>
          </w:p>
        </w:tc>
        <w:tc>
          <w:tcPr>
            <w:tcW w:w="2127" w:type="dxa"/>
            <w:noWrap w:val="0"/>
            <w:vAlign w:val="center"/>
          </w:tcPr>
          <w:p>
            <w:pPr>
              <w:widowControl w:val="0"/>
              <w:spacing w:line="240" w:lineRule="auto"/>
              <w:ind w:firstLine="0" w:firstLineChars="0"/>
              <w:jc w:val="center"/>
              <w:rPr>
                <w:rFonts w:hint="eastAsia" w:eastAsia="宋体"/>
                <w:color w:val="000000"/>
                <w:kern w:val="0"/>
                <w:sz w:val="21"/>
                <w:szCs w:val="21"/>
                <w:u w:val="single"/>
                <w:lang w:eastAsia="zh-CN"/>
              </w:rPr>
            </w:pPr>
            <w:r>
              <w:rPr>
                <w:rFonts w:hint="eastAsia"/>
                <w:color w:val="000000"/>
                <w:kern w:val="0"/>
                <w:sz w:val="21"/>
                <w:szCs w:val="21"/>
                <w:u w:val="single"/>
                <w:lang w:eastAsia="zh-CN"/>
              </w:rPr>
              <w:t>屠宰废水</w:t>
            </w:r>
          </w:p>
        </w:tc>
        <w:tc>
          <w:tcPr>
            <w:tcW w:w="5143" w:type="dxa"/>
            <w:noWrap w:val="0"/>
            <w:vAlign w:val="center"/>
          </w:tcPr>
          <w:p>
            <w:pPr>
              <w:widowControl w:val="0"/>
              <w:spacing w:line="240" w:lineRule="auto"/>
              <w:ind w:firstLine="0" w:firstLineChars="0"/>
              <w:jc w:val="center"/>
              <w:rPr>
                <w:rFonts w:hint="default"/>
                <w:color w:val="000000"/>
                <w:kern w:val="0"/>
                <w:sz w:val="21"/>
                <w:szCs w:val="21"/>
                <w:u w:val="single"/>
                <w:lang w:val="en-US"/>
              </w:rPr>
            </w:pPr>
            <w:r>
              <w:rPr>
                <w:color w:val="000000"/>
                <w:kern w:val="0"/>
                <w:sz w:val="21"/>
                <w:szCs w:val="21"/>
                <w:u w:val="single"/>
              </w:rPr>
              <w:t>COD、BOD</w:t>
            </w:r>
            <w:r>
              <w:rPr>
                <w:rFonts w:hint="eastAsia"/>
                <w:color w:val="000000"/>
                <w:kern w:val="0"/>
                <w:sz w:val="21"/>
                <w:szCs w:val="21"/>
                <w:u w:val="single"/>
                <w:vertAlign w:val="subscript"/>
              </w:rPr>
              <w:t>5</w:t>
            </w:r>
            <w:r>
              <w:rPr>
                <w:color w:val="000000"/>
                <w:kern w:val="0"/>
                <w:sz w:val="21"/>
                <w:szCs w:val="21"/>
                <w:u w:val="single"/>
              </w:rPr>
              <w:t>、NH</w:t>
            </w:r>
            <w:r>
              <w:rPr>
                <w:rFonts w:hint="eastAsia"/>
                <w:color w:val="000000"/>
                <w:kern w:val="0"/>
                <w:sz w:val="21"/>
                <w:szCs w:val="21"/>
                <w:u w:val="single"/>
                <w:vertAlign w:val="subscript"/>
              </w:rPr>
              <w:t>3</w:t>
            </w:r>
            <w:r>
              <w:rPr>
                <w:color w:val="000000"/>
                <w:kern w:val="0"/>
                <w:sz w:val="21"/>
                <w:szCs w:val="21"/>
                <w:u w:val="single"/>
              </w:rPr>
              <w:t>-N</w:t>
            </w:r>
            <w:r>
              <w:rPr>
                <w:rFonts w:hint="eastAsia"/>
                <w:color w:val="000000"/>
                <w:kern w:val="0"/>
                <w:sz w:val="21"/>
                <w:szCs w:val="21"/>
                <w:u w:val="single"/>
                <w:lang w:eastAsia="zh-CN"/>
              </w:rPr>
              <w:t>、</w:t>
            </w:r>
            <w:r>
              <w:rPr>
                <w:rFonts w:hint="eastAsia"/>
                <w:color w:val="000000"/>
                <w:kern w:val="0"/>
                <w:sz w:val="21"/>
                <w:szCs w:val="21"/>
                <w:u w:val="single"/>
                <w:lang w:val="en-US" w:eastAsia="zh-CN"/>
              </w:rPr>
              <w:t>SS、动植物油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89" w:type="dxa"/>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3</w:t>
            </w:r>
          </w:p>
        </w:tc>
        <w:tc>
          <w:tcPr>
            <w:tcW w:w="2127" w:type="dxa"/>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金属废料和碎屑加工处理</w:t>
            </w:r>
          </w:p>
        </w:tc>
        <w:tc>
          <w:tcPr>
            <w:tcW w:w="5143" w:type="dxa"/>
            <w:noWrap w:val="0"/>
            <w:vAlign w:val="center"/>
          </w:tcPr>
          <w:p>
            <w:pPr>
              <w:widowControl w:val="0"/>
              <w:spacing w:line="240" w:lineRule="auto"/>
              <w:ind w:firstLine="0" w:firstLineChars="0"/>
              <w:jc w:val="center"/>
              <w:rPr>
                <w:rFonts w:hint="eastAsia" w:eastAsia="宋体"/>
                <w:color w:val="000000"/>
                <w:kern w:val="0"/>
                <w:sz w:val="21"/>
                <w:szCs w:val="21"/>
                <w:u w:val="single"/>
                <w:lang w:eastAsia="zh-CN"/>
              </w:rPr>
            </w:pPr>
            <w:r>
              <w:rPr>
                <w:rFonts w:hint="eastAsia"/>
                <w:color w:val="000000"/>
                <w:kern w:val="0"/>
                <w:sz w:val="21"/>
                <w:szCs w:val="21"/>
                <w:u w:val="singl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89" w:type="dxa"/>
            <w:noWrap w:val="0"/>
            <w:vAlign w:val="center"/>
          </w:tcPr>
          <w:p>
            <w:pPr>
              <w:widowControl w:val="0"/>
              <w:spacing w:line="240" w:lineRule="auto"/>
              <w:ind w:firstLine="0" w:firstLineChars="0"/>
              <w:jc w:val="center"/>
              <w:rPr>
                <w:color w:val="000000"/>
                <w:kern w:val="0"/>
                <w:sz w:val="21"/>
                <w:szCs w:val="21"/>
                <w:u w:val="single"/>
              </w:rPr>
            </w:pPr>
            <w:r>
              <w:rPr>
                <w:rFonts w:hint="eastAsia"/>
                <w:color w:val="000000"/>
                <w:kern w:val="0"/>
                <w:sz w:val="21"/>
                <w:szCs w:val="21"/>
                <w:u w:val="single"/>
              </w:rPr>
              <w:t>4</w:t>
            </w:r>
          </w:p>
        </w:tc>
        <w:tc>
          <w:tcPr>
            <w:tcW w:w="2127" w:type="dxa"/>
            <w:noWrap w:val="0"/>
            <w:vAlign w:val="center"/>
          </w:tcPr>
          <w:p>
            <w:pPr>
              <w:widowControl w:val="0"/>
              <w:spacing w:line="240" w:lineRule="auto"/>
              <w:ind w:firstLine="0" w:firstLineChars="0"/>
              <w:jc w:val="center"/>
              <w:rPr>
                <w:rFonts w:hint="eastAsia" w:eastAsia="宋体"/>
                <w:color w:val="000000"/>
                <w:kern w:val="0"/>
                <w:sz w:val="21"/>
                <w:szCs w:val="21"/>
                <w:u w:val="single"/>
                <w:lang w:eastAsia="zh-CN"/>
              </w:rPr>
            </w:pPr>
            <w:r>
              <w:rPr>
                <w:rFonts w:hint="eastAsia"/>
                <w:color w:val="000000"/>
                <w:kern w:val="0"/>
                <w:sz w:val="21"/>
                <w:szCs w:val="21"/>
                <w:u w:val="single"/>
                <w:lang w:eastAsia="zh-CN"/>
              </w:rPr>
              <w:t>食品制造</w:t>
            </w:r>
          </w:p>
        </w:tc>
        <w:tc>
          <w:tcPr>
            <w:tcW w:w="5143" w:type="dxa"/>
            <w:noWrap w:val="0"/>
            <w:vAlign w:val="center"/>
          </w:tcPr>
          <w:p>
            <w:pPr>
              <w:widowControl w:val="0"/>
              <w:spacing w:line="240" w:lineRule="auto"/>
              <w:ind w:firstLine="0" w:firstLineChars="0"/>
              <w:jc w:val="center"/>
              <w:rPr>
                <w:rFonts w:hint="eastAsia" w:eastAsia="宋体"/>
                <w:color w:val="000000"/>
                <w:kern w:val="0"/>
                <w:sz w:val="21"/>
                <w:szCs w:val="21"/>
                <w:u w:val="single"/>
                <w:lang w:eastAsia="zh-CN"/>
              </w:rPr>
            </w:pPr>
            <w:r>
              <w:rPr>
                <w:color w:val="000000"/>
                <w:kern w:val="0"/>
                <w:sz w:val="21"/>
                <w:szCs w:val="21"/>
                <w:u w:val="single"/>
              </w:rPr>
              <w:t>pH、COD、BOD</w:t>
            </w:r>
            <w:r>
              <w:rPr>
                <w:rFonts w:hint="eastAsia"/>
                <w:color w:val="000000"/>
                <w:kern w:val="0"/>
                <w:sz w:val="21"/>
                <w:szCs w:val="21"/>
                <w:u w:val="single"/>
                <w:vertAlign w:val="subscript"/>
              </w:rPr>
              <w:t>5</w:t>
            </w:r>
            <w:r>
              <w:rPr>
                <w:color w:val="000000"/>
                <w:kern w:val="0"/>
                <w:sz w:val="21"/>
                <w:szCs w:val="21"/>
                <w:u w:val="single"/>
              </w:rPr>
              <w:t>、SS、</w:t>
            </w:r>
            <w:r>
              <w:rPr>
                <w:rFonts w:hint="eastAsia"/>
                <w:color w:val="000000"/>
                <w:kern w:val="0"/>
                <w:sz w:val="21"/>
                <w:szCs w:val="21"/>
                <w:u w:val="single"/>
                <w:lang w:eastAsia="zh-CN"/>
              </w:rPr>
              <w:t>动植物油</w:t>
            </w:r>
            <w:r>
              <w:rPr>
                <w:color w:val="000000"/>
                <w:kern w:val="0"/>
                <w:sz w:val="21"/>
                <w:szCs w:val="21"/>
                <w:u w:val="single"/>
              </w:rPr>
              <w:t>、</w:t>
            </w:r>
            <w:r>
              <w:rPr>
                <w:rFonts w:hint="eastAsia"/>
                <w:color w:val="000000"/>
                <w:kern w:val="0"/>
                <w:sz w:val="21"/>
                <w:szCs w:val="21"/>
                <w:u w:val="single"/>
                <w:lang w:eastAsia="zh-CN"/>
              </w:rPr>
              <w:t>总磷</w:t>
            </w:r>
          </w:p>
        </w:tc>
      </w:tr>
    </w:tbl>
    <w:p>
      <w:pPr>
        <w:widowControl w:val="0"/>
        <w:autoSpaceDE w:val="0"/>
        <w:autoSpaceDN w:val="0"/>
        <w:spacing w:line="388" w:lineRule="auto"/>
        <w:ind w:right="253"/>
        <w:jc w:val="both"/>
        <w:rPr>
          <w:rFonts w:cs="宋体"/>
          <w:color w:val="auto"/>
          <w:spacing w:val="-3"/>
          <w:kern w:val="0"/>
          <w:u w:val="single"/>
          <w:lang w:val="zh-CN" w:bidi="zh-CN"/>
        </w:rPr>
      </w:pPr>
      <w:r>
        <w:rPr>
          <w:rFonts w:hint="eastAsia" w:cs="宋体"/>
          <w:color w:val="auto"/>
          <w:spacing w:val="-3"/>
          <w:kern w:val="0"/>
          <w:u w:val="single"/>
          <w:lang w:val="zh-CN" w:bidi="zh-CN"/>
        </w:rPr>
        <w:t>（</w:t>
      </w:r>
      <w:r>
        <w:rPr>
          <w:rFonts w:hint="eastAsia" w:cs="宋体"/>
          <w:color w:val="auto"/>
          <w:spacing w:val="-3"/>
          <w:kern w:val="0"/>
          <w:u w:val="single"/>
          <w:lang w:val="en-US" w:bidi="zh-CN"/>
        </w:rPr>
        <w:t>2</w:t>
      </w:r>
      <w:r>
        <w:rPr>
          <w:rFonts w:hint="eastAsia" w:cs="宋体"/>
          <w:color w:val="auto"/>
          <w:spacing w:val="-3"/>
          <w:kern w:val="0"/>
          <w:u w:val="single"/>
          <w:lang w:val="zh-CN" w:bidi="zh-CN"/>
        </w:rPr>
        <w:t>）项目进水水质确定</w:t>
      </w:r>
    </w:p>
    <w:p>
      <w:pPr>
        <w:widowControl w:val="0"/>
        <w:suppressAutoHyphens/>
        <w:wordWrap w:val="0"/>
        <w:topLinePunct/>
        <w:ind w:firstLine="480"/>
        <w:rPr>
          <w:rFonts w:hint="eastAsia"/>
          <w:u w:val="single"/>
        </w:rPr>
      </w:pPr>
      <w:r>
        <w:rPr>
          <w:rFonts w:hint="eastAsia"/>
          <w:u w:val="single"/>
        </w:rPr>
        <w:t>1）工业水质预测</w:t>
      </w:r>
    </w:p>
    <w:p>
      <w:pPr>
        <w:widowControl w:val="0"/>
        <w:suppressAutoHyphens/>
        <w:wordWrap w:val="0"/>
        <w:topLinePunct/>
        <w:ind w:firstLine="482" w:firstLineChars="0"/>
        <w:jc w:val="both"/>
        <w:rPr>
          <w:rFonts w:hint="eastAsia"/>
          <w:u w:val="single"/>
        </w:rPr>
      </w:pPr>
      <w:r>
        <w:rPr>
          <w:rFonts w:hint="eastAsia"/>
          <w:u w:val="single"/>
        </w:rPr>
        <w:t>根据产业园已</w:t>
      </w:r>
      <w:r>
        <w:rPr>
          <w:rFonts w:hint="eastAsia"/>
          <w:u w:val="single"/>
          <w:lang w:eastAsia="zh-CN"/>
        </w:rPr>
        <w:t>入驻企业外排废水性质及</w:t>
      </w:r>
      <w:r>
        <w:rPr>
          <w:rFonts w:hint="eastAsia"/>
          <w:u w:val="single"/>
        </w:rPr>
        <w:t>排水量，并考虑远期发展，本报告对</w:t>
      </w:r>
      <w:r>
        <w:rPr>
          <w:rFonts w:hint="eastAsia"/>
          <w:u w:val="single"/>
          <w:lang w:eastAsia="zh-CN"/>
        </w:rPr>
        <w:t>猛洞河</w:t>
      </w:r>
      <w:r>
        <w:rPr>
          <w:rFonts w:hint="eastAsia"/>
          <w:u w:val="single"/>
        </w:rPr>
        <w:t>产业园排水综合水质进行了预测，其水质指标如下表所示。</w:t>
      </w:r>
    </w:p>
    <w:p>
      <w:pPr>
        <w:widowControl w:val="0"/>
        <w:suppressAutoHyphens/>
        <w:wordWrap w:val="0"/>
        <w:topLinePunct/>
        <w:ind w:firstLine="420" w:firstLineChars="0"/>
        <w:jc w:val="center"/>
        <w:rPr>
          <w:rFonts w:hint="eastAsia"/>
          <w:b/>
          <w:sz w:val="21"/>
          <w:szCs w:val="21"/>
          <w:u w:val="single"/>
        </w:rPr>
      </w:pPr>
      <w:r>
        <w:rPr>
          <w:rFonts w:hint="eastAsia"/>
          <w:b/>
          <w:sz w:val="21"/>
          <w:szCs w:val="21"/>
          <w:u w:val="single"/>
          <w:lang w:val="en-US" w:eastAsia="zh-CN"/>
        </w:rPr>
        <w:t>2.1-9</w:t>
      </w:r>
      <w:r>
        <w:rPr>
          <w:rFonts w:hint="eastAsia"/>
          <w:b/>
          <w:sz w:val="21"/>
          <w:szCs w:val="21"/>
          <w:u w:val="single"/>
        </w:rPr>
        <w:t xml:space="preserve">  </w:t>
      </w:r>
      <w:r>
        <w:rPr>
          <w:rFonts w:hint="eastAsia"/>
          <w:b/>
          <w:sz w:val="21"/>
          <w:szCs w:val="21"/>
          <w:u w:val="single"/>
          <w:lang w:eastAsia="zh-CN"/>
        </w:rPr>
        <w:t>猛洞河</w:t>
      </w:r>
      <w:r>
        <w:rPr>
          <w:rFonts w:hint="eastAsia"/>
          <w:b/>
          <w:sz w:val="21"/>
          <w:szCs w:val="21"/>
          <w:u w:val="single"/>
        </w:rPr>
        <w:t>产业园工业企业出厂水污染物排放浓度表</w:t>
      </w:r>
    </w:p>
    <w:tbl>
      <w:tblPr>
        <w:tblStyle w:val="36"/>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733"/>
        <w:gridCol w:w="834"/>
        <w:gridCol w:w="707"/>
        <w:gridCol w:w="935"/>
        <w:gridCol w:w="689"/>
        <w:gridCol w:w="902"/>
        <w:gridCol w:w="72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0" w:type="dxa"/>
            <w:tcBorders>
              <w:tl2br w:val="single" w:color="auto" w:sz="4" w:space="0"/>
            </w:tcBorders>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 xml:space="preserve">     项目</w:t>
            </w:r>
          </w:p>
          <w:p>
            <w:pPr>
              <w:widowControl w:val="0"/>
              <w:suppressAutoHyphens/>
              <w:wordWrap w:val="0"/>
              <w:topLinePunct/>
              <w:spacing w:line="240" w:lineRule="auto"/>
              <w:ind w:firstLine="0" w:firstLineChars="0"/>
              <w:rPr>
                <w:rFonts w:hint="eastAsia"/>
                <w:b/>
                <w:color w:val="000000"/>
                <w:sz w:val="21"/>
                <w:szCs w:val="21"/>
                <w:u w:val="single"/>
              </w:rPr>
            </w:pPr>
            <w:r>
              <w:rPr>
                <w:rFonts w:hint="eastAsia"/>
                <w:b/>
                <w:color w:val="000000"/>
                <w:sz w:val="21"/>
                <w:szCs w:val="21"/>
                <w:u w:val="single"/>
              </w:rPr>
              <w:t>污染物浓度</w:t>
            </w:r>
          </w:p>
        </w:tc>
        <w:tc>
          <w:tcPr>
            <w:tcW w:w="733" w:type="dxa"/>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COD</w:t>
            </w:r>
          </w:p>
        </w:tc>
        <w:tc>
          <w:tcPr>
            <w:tcW w:w="834" w:type="dxa"/>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BOD</w:t>
            </w:r>
          </w:p>
        </w:tc>
        <w:tc>
          <w:tcPr>
            <w:tcW w:w="707" w:type="dxa"/>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SS</w:t>
            </w:r>
          </w:p>
        </w:tc>
        <w:tc>
          <w:tcPr>
            <w:tcW w:w="935" w:type="dxa"/>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TN</w:t>
            </w:r>
          </w:p>
        </w:tc>
        <w:tc>
          <w:tcPr>
            <w:tcW w:w="689" w:type="dxa"/>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 xml:space="preserve"> </w:t>
            </w:r>
            <w:r>
              <w:rPr>
                <w:b/>
                <w:color w:val="000000"/>
                <w:sz w:val="21"/>
                <w:szCs w:val="21"/>
                <w:u w:val="single"/>
              </w:rPr>
              <w:t>TP</w:t>
            </w:r>
          </w:p>
        </w:tc>
        <w:tc>
          <w:tcPr>
            <w:tcW w:w="902" w:type="dxa"/>
            <w:noWrap w:val="0"/>
            <w:vAlign w:val="center"/>
          </w:tcPr>
          <w:p>
            <w:pPr>
              <w:widowControl w:val="0"/>
              <w:suppressAutoHyphens/>
              <w:wordWrap w:val="0"/>
              <w:topLinePunct/>
              <w:spacing w:line="240" w:lineRule="auto"/>
              <w:ind w:firstLine="0" w:firstLineChars="0"/>
              <w:jc w:val="center"/>
              <w:rPr>
                <w:rFonts w:hint="eastAsia" w:eastAsia="宋体"/>
                <w:b/>
                <w:color w:val="000000"/>
                <w:sz w:val="21"/>
                <w:szCs w:val="21"/>
                <w:u w:val="single"/>
                <w:lang w:eastAsia="zh-CN"/>
              </w:rPr>
            </w:pPr>
            <w:r>
              <w:rPr>
                <w:rFonts w:hint="eastAsia"/>
                <w:b/>
                <w:color w:val="000000"/>
                <w:sz w:val="21"/>
                <w:szCs w:val="21"/>
                <w:u w:val="single"/>
              </w:rPr>
              <w:t>pH</w:t>
            </w:r>
            <w:r>
              <w:rPr>
                <w:rFonts w:hint="eastAsia"/>
                <w:b/>
                <w:color w:val="000000"/>
                <w:sz w:val="21"/>
                <w:szCs w:val="21"/>
                <w:u w:val="single"/>
                <w:lang w:eastAsia="zh-CN"/>
              </w:rPr>
              <w:t>（无量纲）</w:t>
            </w:r>
          </w:p>
        </w:tc>
        <w:tc>
          <w:tcPr>
            <w:tcW w:w="720" w:type="dxa"/>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氨氮</w:t>
            </w:r>
          </w:p>
        </w:tc>
        <w:tc>
          <w:tcPr>
            <w:tcW w:w="720" w:type="dxa"/>
            <w:noWrap w:val="0"/>
            <w:vAlign w:val="center"/>
          </w:tcPr>
          <w:p>
            <w:pPr>
              <w:widowControl w:val="0"/>
              <w:suppressAutoHyphens/>
              <w:wordWrap w:val="0"/>
              <w:topLinePunct/>
              <w:spacing w:line="240" w:lineRule="auto"/>
              <w:ind w:firstLine="0" w:firstLineChars="0"/>
              <w:jc w:val="center"/>
              <w:rPr>
                <w:rFonts w:hint="eastAsia" w:eastAsia="宋体"/>
                <w:b/>
                <w:color w:val="000000"/>
                <w:sz w:val="21"/>
                <w:szCs w:val="21"/>
                <w:u w:val="single"/>
                <w:lang w:eastAsia="zh-CN"/>
              </w:rPr>
            </w:pPr>
            <w:r>
              <w:rPr>
                <w:rFonts w:hint="eastAsia"/>
                <w:b/>
                <w:color w:val="000000"/>
                <w:sz w:val="21"/>
                <w:szCs w:val="21"/>
                <w:u w:val="single"/>
                <w:lang w:eastAsia="zh-CN"/>
              </w:rPr>
              <w:t>动植物油</w:t>
            </w:r>
          </w:p>
        </w:tc>
        <w:tc>
          <w:tcPr>
            <w:tcW w:w="720" w:type="dxa"/>
            <w:noWrap w:val="0"/>
            <w:vAlign w:val="center"/>
          </w:tcPr>
          <w:p>
            <w:pPr>
              <w:widowControl w:val="0"/>
              <w:suppressAutoHyphens/>
              <w:wordWrap w:val="0"/>
              <w:topLinePunct/>
              <w:spacing w:line="240" w:lineRule="auto"/>
              <w:ind w:firstLine="0" w:firstLineChars="0"/>
              <w:jc w:val="center"/>
              <w:rPr>
                <w:rFonts w:hint="eastAsia" w:eastAsia="宋体"/>
                <w:b/>
                <w:color w:val="000000"/>
                <w:sz w:val="21"/>
                <w:szCs w:val="21"/>
                <w:u w:val="single"/>
                <w:lang w:eastAsia="zh-CN"/>
              </w:rPr>
            </w:pPr>
            <w:r>
              <w:rPr>
                <w:rFonts w:hint="eastAsia"/>
                <w:b/>
                <w:color w:val="000000"/>
                <w:sz w:val="21"/>
                <w:szCs w:val="21"/>
                <w:u w:val="singl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0"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浓度（mg/L）</w:t>
            </w:r>
          </w:p>
        </w:tc>
        <w:tc>
          <w:tcPr>
            <w:tcW w:w="733"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500</w:t>
            </w:r>
          </w:p>
        </w:tc>
        <w:tc>
          <w:tcPr>
            <w:tcW w:w="834"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300</w:t>
            </w:r>
          </w:p>
        </w:tc>
        <w:tc>
          <w:tcPr>
            <w:tcW w:w="707"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400</w:t>
            </w:r>
          </w:p>
        </w:tc>
        <w:tc>
          <w:tcPr>
            <w:tcW w:w="935"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45</w:t>
            </w:r>
          </w:p>
        </w:tc>
        <w:tc>
          <w:tcPr>
            <w:tcW w:w="689" w:type="dxa"/>
            <w:noWrap w:val="0"/>
            <w:vAlign w:val="center"/>
          </w:tcPr>
          <w:p>
            <w:pPr>
              <w:widowControl w:val="0"/>
              <w:suppressAutoHyphens/>
              <w:wordWrap w:val="0"/>
              <w:topLinePunct/>
              <w:spacing w:line="240" w:lineRule="auto"/>
              <w:ind w:firstLine="0" w:firstLineChars="0"/>
              <w:jc w:val="center"/>
              <w:rPr>
                <w:rFonts w:hint="eastAsia" w:eastAsia="宋体"/>
                <w:color w:val="000000"/>
                <w:sz w:val="21"/>
                <w:szCs w:val="21"/>
                <w:u w:val="single"/>
                <w:lang w:eastAsia="zh-CN"/>
              </w:rPr>
            </w:pPr>
            <w:r>
              <w:rPr>
                <w:rFonts w:hint="eastAsia"/>
                <w:color w:val="000000"/>
                <w:sz w:val="21"/>
                <w:szCs w:val="21"/>
                <w:u w:val="single"/>
                <w:lang w:val="en-US" w:eastAsia="zh-CN"/>
              </w:rPr>
              <w:t>5</w:t>
            </w:r>
          </w:p>
        </w:tc>
        <w:tc>
          <w:tcPr>
            <w:tcW w:w="90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6～9</w:t>
            </w:r>
          </w:p>
        </w:tc>
        <w:tc>
          <w:tcPr>
            <w:tcW w:w="720"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25</w:t>
            </w:r>
          </w:p>
        </w:tc>
        <w:tc>
          <w:tcPr>
            <w:tcW w:w="720"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20</w:t>
            </w:r>
          </w:p>
        </w:tc>
        <w:tc>
          <w:tcPr>
            <w:tcW w:w="720"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100</w:t>
            </w:r>
          </w:p>
        </w:tc>
      </w:tr>
    </w:tbl>
    <w:p>
      <w:pPr>
        <w:widowControl w:val="0"/>
        <w:suppressAutoHyphens/>
        <w:wordWrap w:val="0"/>
        <w:topLinePunct/>
        <w:ind w:firstLine="482" w:firstLineChars="0"/>
        <w:rPr>
          <w:u w:val="single"/>
        </w:rPr>
      </w:pPr>
      <w:r>
        <w:rPr>
          <w:u w:val="single"/>
        </w:rPr>
        <w:t>（2）生活污水排水水质预测</w:t>
      </w:r>
    </w:p>
    <w:p>
      <w:pPr>
        <w:widowControl w:val="0"/>
        <w:suppressAutoHyphens/>
        <w:wordWrap w:val="0"/>
        <w:topLinePunct/>
        <w:ind w:firstLine="482" w:firstLineChars="0"/>
        <w:jc w:val="both"/>
        <w:rPr>
          <w:u w:val="single"/>
        </w:rPr>
      </w:pPr>
      <w:r>
        <w:rPr>
          <w:u w:val="single"/>
        </w:rPr>
        <w:t>生活污水水质中BOD和SS值，根据《室外给排水设计规范》（GB50013-2006），一般BOD为每人每天25～50g，SS为每人每天40～65g，TN为每人每天5～11g，TP为每人每天0.7～1.4g，一般城市污水COD为2～3（BOD），COD可按此估算，预测结果如下表所示。</w:t>
      </w:r>
    </w:p>
    <w:p>
      <w:pPr>
        <w:widowControl w:val="0"/>
        <w:suppressAutoHyphens/>
        <w:wordWrap w:val="0"/>
        <w:topLinePunct/>
        <w:ind w:firstLine="420" w:firstLineChars="0"/>
        <w:jc w:val="center"/>
        <w:rPr>
          <w:b/>
          <w:sz w:val="21"/>
          <w:szCs w:val="21"/>
          <w:u w:val="single"/>
        </w:rPr>
      </w:pPr>
      <w:r>
        <w:rPr>
          <w:b/>
          <w:sz w:val="21"/>
          <w:szCs w:val="21"/>
          <w:u w:val="single"/>
        </w:rPr>
        <w:t>表</w:t>
      </w:r>
      <w:r>
        <w:rPr>
          <w:rFonts w:hint="eastAsia"/>
          <w:b/>
          <w:sz w:val="21"/>
          <w:szCs w:val="21"/>
          <w:u w:val="single"/>
          <w:lang w:val="en-US" w:eastAsia="zh-CN"/>
        </w:rPr>
        <w:t>2.1-10</w:t>
      </w:r>
      <w:r>
        <w:rPr>
          <w:b/>
          <w:sz w:val="21"/>
          <w:szCs w:val="21"/>
          <w:u w:val="single"/>
        </w:rPr>
        <w:t xml:space="preserve"> 居民生活污水污染负荷预测表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2116"/>
        <w:gridCol w:w="2117"/>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6" w:type="dxa"/>
            <w:noWrap w:val="0"/>
            <w:vAlign w:val="center"/>
          </w:tcPr>
          <w:p>
            <w:pPr>
              <w:widowControl w:val="0"/>
              <w:suppressAutoHyphens/>
              <w:wordWrap w:val="0"/>
              <w:topLinePunct/>
              <w:spacing w:line="240" w:lineRule="auto"/>
              <w:ind w:firstLine="0" w:firstLineChars="0"/>
              <w:jc w:val="center"/>
              <w:rPr>
                <w:b/>
                <w:color w:val="000000"/>
                <w:sz w:val="21"/>
                <w:szCs w:val="21"/>
                <w:u w:val="single"/>
              </w:rPr>
            </w:pPr>
            <w:r>
              <w:rPr>
                <w:b/>
                <w:color w:val="000000"/>
                <w:sz w:val="21"/>
                <w:szCs w:val="21"/>
                <w:u w:val="single"/>
              </w:rPr>
              <w:t>项目</w:t>
            </w:r>
          </w:p>
        </w:tc>
        <w:tc>
          <w:tcPr>
            <w:tcW w:w="2116" w:type="dxa"/>
            <w:noWrap w:val="0"/>
            <w:vAlign w:val="center"/>
          </w:tcPr>
          <w:p>
            <w:pPr>
              <w:widowControl w:val="0"/>
              <w:suppressAutoHyphens/>
              <w:wordWrap w:val="0"/>
              <w:topLinePunct/>
              <w:spacing w:line="240" w:lineRule="auto"/>
              <w:ind w:firstLine="0" w:firstLineChars="0"/>
              <w:jc w:val="center"/>
              <w:rPr>
                <w:b/>
                <w:color w:val="000000"/>
                <w:sz w:val="21"/>
                <w:szCs w:val="21"/>
                <w:u w:val="single"/>
              </w:rPr>
            </w:pPr>
            <w:r>
              <w:rPr>
                <w:b/>
                <w:color w:val="000000"/>
                <w:sz w:val="21"/>
                <w:szCs w:val="21"/>
                <w:u w:val="single"/>
              </w:rPr>
              <w:t>规范取值（g/人·d）</w:t>
            </w:r>
          </w:p>
        </w:tc>
        <w:tc>
          <w:tcPr>
            <w:tcW w:w="2117" w:type="dxa"/>
            <w:noWrap w:val="0"/>
            <w:vAlign w:val="center"/>
          </w:tcPr>
          <w:p>
            <w:pPr>
              <w:widowControl w:val="0"/>
              <w:suppressAutoHyphens/>
              <w:wordWrap w:val="0"/>
              <w:topLinePunct/>
              <w:spacing w:line="240" w:lineRule="auto"/>
              <w:ind w:firstLine="0" w:firstLineChars="0"/>
              <w:jc w:val="center"/>
              <w:rPr>
                <w:b/>
                <w:color w:val="000000"/>
                <w:sz w:val="21"/>
                <w:szCs w:val="21"/>
                <w:u w:val="single"/>
              </w:rPr>
            </w:pPr>
            <w:r>
              <w:rPr>
                <w:b/>
                <w:color w:val="000000"/>
                <w:sz w:val="21"/>
                <w:szCs w:val="21"/>
                <w:u w:val="single"/>
              </w:rPr>
              <w:t>中间值（g/人·d）</w:t>
            </w:r>
          </w:p>
        </w:tc>
        <w:tc>
          <w:tcPr>
            <w:tcW w:w="2117" w:type="dxa"/>
            <w:noWrap w:val="0"/>
            <w:vAlign w:val="center"/>
          </w:tcPr>
          <w:p>
            <w:pPr>
              <w:widowControl w:val="0"/>
              <w:suppressAutoHyphens/>
              <w:wordWrap w:val="0"/>
              <w:topLinePunct/>
              <w:spacing w:line="240" w:lineRule="auto"/>
              <w:ind w:firstLine="0" w:firstLineChars="0"/>
              <w:jc w:val="center"/>
              <w:rPr>
                <w:b/>
                <w:color w:val="000000"/>
                <w:sz w:val="21"/>
                <w:szCs w:val="21"/>
                <w:u w:val="single"/>
              </w:rPr>
            </w:pPr>
            <w:r>
              <w:rPr>
                <w:b/>
                <w:color w:val="000000"/>
                <w:sz w:val="21"/>
                <w:szCs w:val="21"/>
                <w:u w:val="single"/>
              </w:rPr>
              <w:t>本工程取值（g/人·d）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6"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COD</w:t>
            </w:r>
          </w:p>
        </w:tc>
        <w:tc>
          <w:tcPr>
            <w:tcW w:w="2116"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w:t>
            </w:r>
          </w:p>
        </w:tc>
        <w:tc>
          <w:tcPr>
            <w:tcW w:w="2117"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w:t>
            </w:r>
          </w:p>
        </w:tc>
        <w:tc>
          <w:tcPr>
            <w:tcW w:w="2117"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6"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BOD</w:t>
            </w:r>
          </w:p>
        </w:tc>
        <w:tc>
          <w:tcPr>
            <w:tcW w:w="2116"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25～50</w:t>
            </w:r>
          </w:p>
        </w:tc>
        <w:tc>
          <w:tcPr>
            <w:tcW w:w="2117"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37.5</w:t>
            </w:r>
          </w:p>
        </w:tc>
        <w:tc>
          <w:tcPr>
            <w:tcW w:w="2117"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6"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SS</w:t>
            </w:r>
          </w:p>
        </w:tc>
        <w:tc>
          <w:tcPr>
            <w:tcW w:w="2116"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40～65</w:t>
            </w:r>
          </w:p>
        </w:tc>
        <w:tc>
          <w:tcPr>
            <w:tcW w:w="2117"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52.5</w:t>
            </w:r>
          </w:p>
        </w:tc>
        <w:tc>
          <w:tcPr>
            <w:tcW w:w="2117"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6"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TN</w:t>
            </w:r>
          </w:p>
        </w:tc>
        <w:tc>
          <w:tcPr>
            <w:tcW w:w="2116"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5～11</w:t>
            </w:r>
          </w:p>
        </w:tc>
        <w:tc>
          <w:tcPr>
            <w:tcW w:w="2117"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8</w:t>
            </w:r>
          </w:p>
        </w:tc>
        <w:tc>
          <w:tcPr>
            <w:tcW w:w="2117"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6"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TP</w:t>
            </w:r>
          </w:p>
        </w:tc>
        <w:tc>
          <w:tcPr>
            <w:tcW w:w="2116"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0.7～1.4</w:t>
            </w:r>
          </w:p>
        </w:tc>
        <w:tc>
          <w:tcPr>
            <w:tcW w:w="2117"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1.05</w:t>
            </w:r>
          </w:p>
        </w:tc>
        <w:tc>
          <w:tcPr>
            <w:tcW w:w="2117"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0.70</w:t>
            </w:r>
          </w:p>
        </w:tc>
      </w:tr>
    </w:tbl>
    <w:p>
      <w:pPr>
        <w:widowControl w:val="0"/>
        <w:suppressAutoHyphens/>
        <w:wordWrap w:val="0"/>
        <w:topLinePunct/>
        <w:ind w:firstLine="420" w:firstLineChars="0"/>
        <w:jc w:val="center"/>
        <w:rPr>
          <w:b/>
          <w:sz w:val="21"/>
          <w:szCs w:val="21"/>
          <w:u w:val="single"/>
        </w:rPr>
      </w:pPr>
      <w:r>
        <w:rPr>
          <w:b/>
          <w:sz w:val="21"/>
          <w:szCs w:val="21"/>
          <w:u w:val="single"/>
        </w:rPr>
        <w:t>表</w:t>
      </w:r>
      <w:r>
        <w:rPr>
          <w:rFonts w:hint="eastAsia"/>
          <w:b/>
          <w:sz w:val="21"/>
          <w:szCs w:val="21"/>
          <w:u w:val="single"/>
          <w:lang w:val="en-US" w:eastAsia="zh-CN"/>
        </w:rPr>
        <w:t>2.1-11</w:t>
      </w:r>
      <w:r>
        <w:rPr>
          <w:b/>
          <w:sz w:val="21"/>
          <w:szCs w:val="21"/>
          <w:u w:val="single"/>
        </w:rPr>
        <w:t xml:space="preserve">  生活污水排放水质预测表 单位：mg/L</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2822"/>
        <w:gridCol w:w="2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2" w:type="dxa"/>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污染物</w:t>
            </w:r>
          </w:p>
        </w:tc>
        <w:tc>
          <w:tcPr>
            <w:tcW w:w="2822" w:type="dxa"/>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预测值</w:t>
            </w:r>
          </w:p>
        </w:tc>
        <w:tc>
          <w:tcPr>
            <w:tcW w:w="2822" w:type="dxa"/>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设计取值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COD</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280 mg/L</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320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BOD</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160 mg/L</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160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SS</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250 mg/L</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250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TN</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42.5 mg/L</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42.5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TP</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3.5 mg/L</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3.5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氨氮</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41.5mg/L</w:t>
            </w:r>
          </w:p>
        </w:tc>
        <w:tc>
          <w:tcPr>
            <w:tcW w:w="2822" w:type="dxa"/>
            <w:noWrap w:val="0"/>
            <w:vAlign w:val="center"/>
          </w:tcPr>
          <w:p>
            <w:pPr>
              <w:widowControl w:val="0"/>
              <w:suppressAutoHyphens/>
              <w:wordWrap w:val="0"/>
              <w:topLinePunct/>
              <w:spacing w:line="240" w:lineRule="auto"/>
              <w:ind w:firstLine="0" w:firstLineChars="0"/>
              <w:jc w:val="center"/>
              <w:rPr>
                <w:rFonts w:hint="eastAsia"/>
                <w:color w:val="000000"/>
                <w:sz w:val="21"/>
                <w:szCs w:val="21"/>
                <w:u w:val="single"/>
              </w:rPr>
            </w:pPr>
            <w:r>
              <w:rPr>
                <w:rFonts w:hint="eastAsia"/>
                <w:color w:val="000000"/>
                <w:sz w:val="21"/>
                <w:szCs w:val="21"/>
                <w:u w:val="single"/>
              </w:rPr>
              <w:t>41.5mg/L</w:t>
            </w:r>
          </w:p>
        </w:tc>
      </w:tr>
    </w:tbl>
    <w:p>
      <w:pPr>
        <w:widowControl w:val="0"/>
        <w:suppressAutoHyphens/>
        <w:wordWrap w:val="0"/>
        <w:topLinePunct/>
        <w:ind w:firstLine="482" w:firstLineChars="0"/>
        <w:jc w:val="both"/>
        <w:rPr>
          <w:u w:val="single"/>
        </w:rPr>
      </w:pPr>
      <w:r>
        <w:rPr>
          <w:rFonts w:hint="eastAsia"/>
          <w:u w:val="single"/>
          <w:lang w:eastAsia="zh-CN"/>
        </w:rPr>
        <w:t>猛洞河产业园</w:t>
      </w:r>
      <w:r>
        <w:rPr>
          <w:u w:val="single"/>
        </w:rPr>
        <w:t>进入污水处理厂的混合污水中，按</w:t>
      </w:r>
      <w:r>
        <w:rPr>
          <w:rFonts w:hint="eastAsia"/>
          <w:u w:val="single"/>
          <w:lang w:eastAsia="zh-CN"/>
        </w:rPr>
        <w:t>生活</w:t>
      </w:r>
      <w:r>
        <w:rPr>
          <w:u w:val="single"/>
        </w:rPr>
        <w:t>废水占总污水量的</w:t>
      </w:r>
      <w:r>
        <w:rPr>
          <w:rFonts w:hint="eastAsia"/>
          <w:u w:val="single"/>
          <w:lang w:val="en-US" w:eastAsia="zh-CN"/>
        </w:rPr>
        <w:t>10</w:t>
      </w:r>
      <w:r>
        <w:rPr>
          <w:u w:val="single"/>
        </w:rPr>
        <w:t>％，经加权平均计算，预测出进入污水处理厂的混合污水的水质，结果见下表</w:t>
      </w:r>
      <w:r>
        <w:rPr>
          <w:rFonts w:hint="eastAsia"/>
          <w:u w:val="single"/>
          <w:lang w:val="en-US" w:eastAsia="zh-CN"/>
        </w:rPr>
        <w:t>2.1-12</w:t>
      </w:r>
      <w:r>
        <w:rPr>
          <w:u w:val="single"/>
        </w:rPr>
        <w:t>：</w:t>
      </w:r>
    </w:p>
    <w:p>
      <w:pPr>
        <w:widowControl w:val="0"/>
        <w:suppressAutoHyphens/>
        <w:wordWrap w:val="0"/>
        <w:topLinePunct/>
        <w:ind w:firstLine="420" w:firstLineChars="0"/>
        <w:jc w:val="center"/>
        <w:rPr>
          <w:b/>
          <w:sz w:val="21"/>
          <w:szCs w:val="21"/>
          <w:u w:val="single"/>
        </w:rPr>
      </w:pPr>
      <w:r>
        <w:rPr>
          <w:b/>
          <w:sz w:val="21"/>
          <w:szCs w:val="21"/>
          <w:u w:val="single"/>
        </w:rPr>
        <w:t>表</w:t>
      </w:r>
      <w:r>
        <w:rPr>
          <w:rFonts w:hint="eastAsia"/>
          <w:b/>
          <w:sz w:val="21"/>
          <w:szCs w:val="21"/>
          <w:u w:val="single"/>
          <w:lang w:val="en-US" w:eastAsia="zh-CN"/>
        </w:rPr>
        <w:t>2.1-12</w:t>
      </w:r>
      <w:r>
        <w:rPr>
          <w:b/>
          <w:sz w:val="21"/>
          <w:szCs w:val="21"/>
          <w:u w:val="single"/>
        </w:rPr>
        <w:t xml:space="preserve">  </w:t>
      </w:r>
      <w:r>
        <w:rPr>
          <w:rFonts w:hint="eastAsia"/>
          <w:b/>
          <w:sz w:val="21"/>
          <w:szCs w:val="21"/>
          <w:u w:val="single"/>
          <w:lang w:eastAsia="zh-CN"/>
        </w:rPr>
        <w:t>猛洞河</w:t>
      </w:r>
      <w:r>
        <w:rPr>
          <w:b/>
          <w:sz w:val="21"/>
          <w:szCs w:val="21"/>
          <w:u w:val="single"/>
        </w:rPr>
        <w:t>产业园混合污水水质预测表（单位mg/L）</w:t>
      </w:r>
    </w:p>
    <w:tbl>
      <w:tblPr>
        <w:tblStyle w:val="36"/>
        <w:tblW w:w="8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18"/>
        <w:gridCol w:w="1037"/>
        <w:gridCol w:w="763"/>
        <w:gridCol w:w="679"/>
        <w:gridCol w:w="691"/>
        <w:gridCol w:w="762"/>
        <w:gridCol w:w="1170"/>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01" w:type="dxa"/>
            <w:noWrap w:val="0"/>
            <w:vAlign w:val="center"/>
          </w:tcPr>
          <w:p>
            <w:pPr>
              <w:widowControl w:val="0"/>
              <w:suppressAutoHyphens/>
              <w:wordWrap w:val="0"/>
              <w:topLinePunct/>
              <w:spacing w:line="240" w:lineRule="auto"/>
              <w:ind w:firstLine="0" w:firstLineChars="0"/>
              <w:jc w:val="center"/>
              <w:rPr>
                <w:b/>
                <w:color w:val="000000"/>
                <w:sz w:val="21"/>
                <w:szCs w:val="21"/>
                <w:u w:val="single"/>
              </w:rPr>
            </w:pPr>
            <w:r>
              <w:rPr>
                <w:b/>
                <w:color w:val="000000"/>
                <w:sz w:val="21"/>
                <w:szCs w:val="21"/>
                <w:u w:val="single"/>
              </w:rPr>
              <w:t>项目</w:t>
            </w:r>
          </w:p>
        </w:tc>
        <w:tc>
          <w:tcPr>
            <w:tcW w:w="918" w:type="dxa"/>
            <w:noWrap w:val="0"/>
            <w:vAlign w:val="center"/>
          </w:tcPr>
          <w:p>
            <w:pPr>
              <w:widowControl w:val="0"/>
              <w:suppressAutoHyphens/>
              <w:wordWrap w:val="0"/>
              <w:topLinePunct/>
              <w:spacing w:line="240" w:lineRule="auto"/>
              <w:ind w:firstLine="0" w:firstLineChars="0"/>
              <w:jc w:val="center"/>
              <w:rPr>
                <w:b/>
                <w:color w:val="000000"/>
                <w:sz w:val="21"/>
                <w:szCs w:val="21"/>
                <w:u w:val="single"/>
              </w:rPr>
            </w:pPr>
            <w:r>
              <w:rPr>
                <w:b/>
                <w:color w:val="000000"/>
                <w:sz w:val="21"/>
                <w:szCs w:val="21"/>
                <w:u w:val="single"/>
              </w:rPr>
              <w:t>CODcr</w:t>
            </w:r>
          </w:p>
        </w:tc>
        <w:tc>
          <w:tcPr>
            <w:tcW w:w="1037" w:type="dxa"/>
            <w:noWrap w:val="0"/>
            <w:vAlign w:val="center"/>
          </w:tcPr>
          <w:p>
            <w:pPr>
              <w:widowControl w:val="0"/>
              <w:suppressAutoHyphens/>
              <w:wordWrap w:val="0"/>
              <w:topLinePunct/>
              <w:spacing w:line="240" w:lineRule="auto"/>
              <w:ind w:firstLine="0" w:firstLineChars="0"/>
              <w:jc w:val="center"/>
              <w:rPr>
                <w:b/>
                <w:color w:val="000000"/>
                <w:sz w:val="21"/>
                <w:szCs w:val="21"/>
                <w:u w:val="single"/>
                <w:vertAlign w:val="subscript"/>
              </w:rPr>
            </w:pPr>
            <w:r>
              <w:rPr>
                <w:b/>
                <w:color w:val="000000"/>
                <w:sz w:val="21"/>
                <w:szCs w:val="21"/>
                <w:u w:val="single"/>
              </w:rPr>
              <w:t>BOD</w:t>
            </w:r>
            <w:r>
              <w:rPr>
                <w:rFonts w:hint="eastAsia"/>
                <w:b/>
                <w:color w:val="000000"/>
                <w:sz w:val="21"/>
                <w:szCs w:val="21"/>
                <w:u w:val="single"/>
                <w:vertAlign w:val="subscript"/>
              </w:rPr>
              <w:t>5</w:t>
            </w:r>
          </w:p>
        </w:tc>
        <w:tc>
          <w:tcPr>
            <w:tcW w:w="763" w:type="dxa"/>
            <w:noWrap w:val="0"/>
            <w:vAlign w:val="center"/>
          </w:tcPr>
          <w:p>
            <w:pPr>
              <w:widowControl w:val="0"/>
              <w:suppressAutoHyphens/>
              <w:wordWrap w:val="0"/>
              <w:topLinePunct/>
              <w:spacing w:line="240" w:lineRule="auto"/>
              <w:ind w:firstLine="0" w:firstLineChars="0"/>
              <w:jc w:val="center"/>
              <w:rPr>
                <w:b/>
                <w:color w:val="000000"/>
                <w:sz w:val="21"/>
                <w:szCs w:val="21"/>
                <w:u w:val="single"/>
              </w:rPr>
            </w:pPr>
            <w:r>
              <w:rPr>
                <w:b/>
                <w:color w:val="000000"/>
                <w:sz w:val="21"/>
                <w:szCs w:val="21"/>
                <w:u w:val="single"/>
              </w:rPr>
              <w:t>SS</w:t>
            </w:r>
          </w:p>
        </w:tc>
        <w:tc>
          <w:tcPr>
            <w:tcW w:w="679" w:type="dxa"/>
            <w:noWrap w:val="0"/>
            <w:vAlign w:val="center"/>
          </w:tcPr>
          <w:p>
            <w:pPr>
              <w:widowControl w:val="0"/>
              <w:suppressAutoHyphens/>
              <w:wordWrap w:val="0"/>
              <w:topLinePunct/>
              <w:spacing w:line="240" w:lineRule="auto"/>
              <w:ind w:firstLine="0" w:firstLineChars="0"/>
              <w:jc w:val="center"/>
              <w:rPr>
                <w:b/>
                <w:color w:val="000000"/>
                <w:sz w:val="21"/>
                <w:szCs w:val="21"/>
                <w:u w:val="single"/>
              </w:rPr>
            </w:pPr>
            <w:r>
              <w:rPr>
                <w:b/>
                <w:color w:val="000000"/>
                <w:sz w:val="21"/>
                <w:szCs w:val="21"/>
                <w:u w:val="single"/>
              </w:rPr>
              <w:t>TN</w:t>
            </w:r>
          </w:p>
        </w:tc>
        <w:tc>
          <w:tcPr>
            <w:tcW w:w="691" w:type="dxa"/>
            <w:noWrap w:val="0"/>
            <w:vAlign w:val="center"/>
          </w:tcPr>
          <w:p>
            <w:pPr>
              <w:widowControl w:val="0"/>
              <w:suppressAutoHyphens/>
              <w:wordWrap w:val="0"/>
              <w:topLinePunct/>
              <w:spacing w:line="240" w:lineRule="auto"/>
              <w:ind w:firstLine="0" w:firstLineChars="0"/>
              <w:jc w:val="center"/>
              <w:rPr>
                <w:b/>
                <w:color w:val="000000"/>
                <w:sz w:val="21"/>
                <w:szCs w:val="21"/>
                <w:u w:val="single"/>
              </w:rPr>
            </w:pPr>
            <w:r>
              <w:rPr>
                <w:b/>
                <w:color w:val="000000"/>
                <w:sz w:val="21"/>
                <w:szCs w:val="21"/>
                <w:u w:val="single"/>
              </w:rPr>
              <w:t>TP</w:t>
            </w:r>
          </w:p>
        </w:tc>
        <w:tc>
          <w:tcPr>
            <w:tcW w:w="762" w:type="dxa"/>
            <w:noWrap w:val="0"/>
            <w:vAlign w:val="center"/>
          </w:tcPr>
          <w:p>
            <w:pPr>
              <w:widowControl w:val="0"/>
              <w:suppressAutoHyphens/>
              <w:wordWrap w:val="0"/>
              <w:topLinePunct/>
              <w:spacing w:line="240" w:lineRule="auto"/>
              <w:ind w:firstLine="0" w:firstLineChars="0"/>
              <w:jc w:val="center"/>
              <w:rPr>
                <w:rFonts w:hint="eastAsia"/>
                <w:b/>
                <w:color w:val="000000"/>
                <w:sz w:val="21"/>
                <w:szCs w:val="21"/>
                <w:u w:val="single"/>
              </w:rPr>
            </w:pPr>
            <w:r>
              <w:rPr>
                <w:rFonts w:hint="eastAsia"/>
                <w:b/>
                <w:color w:val="000000"/>
                <w:sz w:val="21"/>
                <w:szCs w:val="21"/>
                <w:u w:val="single"/>
              </w:rPr>
              <w:t>氨氮</w:t>
            </w:r>
          </w:p>
        </w:tc>
        <w:tc>
          <w:tcPr>
            <w:tcW w:w="1170" w:type="dxa"/>
            <w:noWrap w:val="0"/>
            <w:vAlign w:val="center"/>
          </w:tcPr>
          <w:p>
            <w:pPr>
              <w:widowControl w:val="0"/>
              <w:suppressAutoHyphens/>
              <w:wordWrap w:val="0"/>
              <w:topLinePunct/>
              <w:spacing w:line="240" w:lineRule="auto"/>
              <w:ind w:firstLine="0" w:firstLineChars="0"/>
              <w:jc w:val="center"/>
              <w:rPr>
                <w:rFonts w:hint="eastAsia" w:eastAsia="宋体"/>
                <w:b/>
                <w:color w:val="000000"/>
                <w:sz w:val="21"/>
                <w:szCs w:val="21"/>
                <w:u w:val="single"/>
                <w:lang w:eastAsia="zh-CN"/>
              </w:rPr>
            </w:pPr>
            <w:r>
              <w:rPr>
                <w:rFonts w:hint="eastAsia"/>
                <w:b/>
                <w:color w:val="000000"/>
                <w:sz w:val="21"/>
                <w:szCs w:val="21"/>
                <w:u w:val="single"/>
                <w:lang w:eastAsia="zh-CN"/>
              </w:rPr>
              <w:t>动植物油</w:t>
            </w:r>
          </w:p>
        </w:tc>
        <w:tc>
          <w:tcPr>
            <w:tcW w:w="1017" w:type="dxa"/>
            <w:noWrap w:val="0"/>
            <w:vAlign w:val="center"/>
          </w:tcPr>
          <w:p>
            <w:pPr>
              <w:widowControl w:val="0"/>
              <w:suppressAutoHyphens/>
              <w:wordWrap w:val="0"/>
              <w:topLinePunct/>
              <w:spacing w:line="240" w:lineRule="auto"/>
              <w:ind w:firstLine="0" w:firstLineChars="0"/>
              <w:jc w:val="center"/>
              <w:rPr>
                <w:rFonts w:hint="eastAsia" w:eastAsia="宋体"/>
                <w:b/>
                <w:color w:val="000000"/>
                <w:sz w:val="21"/>
                <w:szCs w:val="21"/>
                <w:u w:val="single"/>
                <w:lang w:eastAsia="zh-CN"/>
              </w:rPr>
            </w:pPr>
            <w:r>
              <w:rPr>
                <w:rFonts w:hint="eastAsia"/>
                <w:b/>
                <w:color w:val="000000"/>
                <w:sz w:val="21"/>
                <w:szCs w:val="21"/>
                <w:u w:val="singl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01" w:type="dxa"/>
            <w:noWrap w:val="0"/>
            <w:vAlign w:val="center"/>
          </w:tcPr>
          <w:p>
            <w:pPr>
              <w:widowControl w:val="0"/>
              <w:suppressAutoHyphens/>
              <w:wordWrap w:val="0"/>
              <w:topLinePunct/>
              <w:spacing w:line="240" w:lineRule="auto"/>
              <w:ind w:firstLine="0" w:firstLineChars="0"/>
              <w:jc w:val="center"/>
              <w:rPr>
                <w:color w:val="000000"/>
                <w:sz w:val="21"/>
                <w:szCs w:val="21"/>
                <w:u w:val="single"/>
              </w:rPr>
            </w:pPr>
            <w:r>
              <w:rPr>
                <w:color w:val="000000"/>
                <w:sz w:val="21"/>
                <w:szCs w:val="21"/>
                <w:u w:val="single"/>
              </w:rPr>
              <w:t>进水水质</w:t>
            </w:r>
          </w:p>
        </w:tc>
        <w:tc>
          <w:tcPr>
            <w:tcW w:w="918"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482</w:t>
            </w:r>
          </w:p>
        </w:tc>
        <w:tc>
          <w:tcPr>
            <w:tcW w:w="1037"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286</w:t>
            </w:r>
          </w:p>
        </w:tc>
        <w:tc>
          <w:tcPr>
            <w:tcW w:w="763"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385</w:t>
            </w:r>
          </w:p>
        </w:tc>
        <w:tc>
          <w:tcPr>
            <w:tcW w:w="679"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44.75</w:t>
            </w:r>
          </w:p>
        </w:tc>
        <w:tc>
          <w:tcPr>
            <w:tcW w:w="691"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4.85</w:t>
            </w:r>
          </w:p>
        </w:tc>
        <w:tc>
          <w:tcPr>
            <w:tcW w:w="762"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26.65</w:t>
            </w:r>
          </w:p>
        </w:tc>
        <w:tc>
          <w:tcPr>
            <w:tcW w:w="1170"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20</w:t>
            </w:r>
          </w:p>
        </w:tc>
        <w:tc>
          <w:tcPr>
            <w:tcW w:w="1017" w:type="dxa"/>
            <w:noWrap w:val="0"/>
            <w:vAlign w:val="center"/>
          </w:tcPr>
          <w:p>
            <w:pPr>
              <w:widowControl w:val="0"/>
              <w:suppressAutoHyphens/>
              <w:wordWrap w:val="0"/>
              <w:topLinePunct/>
              <w:spacing w:line="240" w:lineRule="auto"/>
              <w:ind w:firstLine="0" w:firstLineChars="0"/>
              <w:jc w:val="center"/>
              <w:rPr>
                <w:rFonts w:hint="default" w:eastAsia="宋体"/>
                <w:color w:val="000000"/>
                <w:sz w:val="21"/>
                <w:szCs w:val="21"/>
                <w:u w:val="single"/>
                <w:lang w:val="en-US" w:eastAsia="zh-CN"/>
              </w:rPr>
            </w:pPr>
            <w:r>
              <w:rPr>
                <w:rFonts w:hint="eastAsia"/>
                <w:color w:val="000000"/>
                <w:sz w:val="21"/>
                <w:szCs w:val="21"/>
                <w:u w:val="single"/>
                <w:lang w:val="en-US" w:eastAsia="zh-CN"/>
              </w:rPr>
              <w:t>100</w:t>
            </w:r>
          </w:p>
        </w:tc>
      </w:tr>
    </w:tbl>
    <w:p>
      <w:pPr>
        <w:bidi w:val="0"/>
        <w:jc w:val="both"/>
        <w:rPr>
          <w:u w:val="single"/>
          <w:lang w:val="zh-CN"/>
        </w:rPr>
      </w:pPr>
      <w:r>
        <w:rPr>
          <w:u w:val="single"/>
        </w:rPr>
        <w:t>为了保障本项目的正常运行和达标排放，保护污水处理厂及其收集系统设施的完整良好，充分发挥其功能和效益。按照国家环保政策相关规定，</w:t>
      </w:r>
      <w:r>
        <w:rPr>
          <w:rFonts w:hint="eastAsia"/>
          <w:u w:val="single"/>
          <w:lang w:eastAsia="zh-CN"/>
        </w:rPr>
        <w:t>猛洞河产业园</w:t>
      </w:r>
      <w:r>
        <w:rPr>
          <w:u w:val="single"/>
        </w:rPr>
        <w:t>入驻企业生产废水在厂区进行预处理，</w:t>
      </w:r>
      <w:r>
        <w:rPr>
          <w:rFonts w:hint="eastAsia"/>
          <w:u w:val="single"/>
          <w:lang w:eastAsia="zh-CN"/>
        </w:rPr>
        <w:t>外排</w:t>
      </w:r>
      <w:r>
        <w:rPr>
          <w:u w:val="single"/>
        </w:rPr>
        <w:t>废水自行处理达到</w:t>
      </w:r>
      <w:r>
        <w:rPr>
          <w:rFonts w:hint="eastAsia"/>
          <w:u w:val="single"/>
          <w:lang w:val="en-US" w:eastAsia="zh-CN"/>
        </w:rPr>
        <w:t>《污水综合排放标准</w:t>
      </w:r>
      <w:r>
        <w:rPr>
          <w:rFonts w:hint="default"/>
          <w:u w:val="single"/>
          <w:lang w:val="en-US" w:eastAsia="zh-CN"/>
        </w:rPr>
        <w:t>》（GB8978-1996）中</w:t>
      </w:r>
      <w:r>
        <w:rPr>
          <w:rFonts w:hint="eastAsia"/>
          <w:u w:val="single"/>
          <w:lang w:val="en-US" w:eastAsia="zh-CN"/>
        </w:rPr>
        <w:t>的</w:t>
      </w:r>
      <w:r>
        <w:rPr>
          <w:rFonts w:hint="default"/>
          <w:u w:val="single"/>
          <w:lang w:val="en-US" w:eastAsia="zh-CN"/>
        </w:rPr>
        <w:t>三级标准浓度</w:t>
      </w:r>
      <w:r>
        <w:rPr>
          <w:rFonts w:hint="eastAsia"/>
          <w:u w:val="single"/>
          <w:lang w:val="en-US" w:eastAsia="zh-CN"/>
        </w:rPr>
        <w:t>及《污水排入城镇下水道水质标准》（GB/T31962-2015）中C级标准</w:t>
      </w:r>
      <w:r>
        <w:rPr>
          <w:u w:val="single"/>
        </w:rPr>
        <w:t>后排至</w:t>
      </w:r>
      <w:r>
        <w:rPr>
          <w:rFonts w:hint="eastAsia"/>
          <w:u w:val="single"/>
          <w:lang w:eastAsia="zh-CN"/>
        </w:rPr>
        <w:t>本项目纳污管道，严禁重金属污染物的排放，</w:t>
      </w:r>
      <w:r>
        <w:rPr>
          <w:rFonts w:hint="eastAsia"/>
          <w:color w:val="000000"/>
          <w:kern w:val="0"/>
          <w:u w:val="single"/>
        </w:rPr>
        <w:t>同时考虑</w:t>
      </w:r>
      <w:r>
        <w:rPr>
          <w:rFonts w:hint="eastAsia"/>
          <w:color w:val="000000"/>
          <w:kern w:val="0"/>
          <w:u w:val="single"/>
          <w:lang w:eastAsia="zh-CN"/>
        </w:rPr>
        <w:t>产业园内有酱腌菜等企业，其废水中</w:t>
      </w:r>
      <w:r>
        <w:rPr>
          <w:rFonts w:hint="eastAsia"/>
          <w:color w:val="000000"/>
          <w:szCs w:val="22"/>
          <w:u w:val="single"/>
        </w:rPr>
        <w:t>可能含有大量盐分，</w:t>
      </w:r>
      <w:r>
        <w:rPr>
          <w:color w:val="000000"/>
          <w:szCs w:val="22"/>
          <w:u w:val="single"/>
        </w:rPr>
        <w:t>如果含盐量过高，对微生物具有抑制甚至毒害作用</w:t>
      </w:r>
      <w:r>
        <w:rPr>
          <w:rFonts w:hint="eastAsia"/>
          <w:color w:val="000000"/>
          <w:szCs w:val="22"/>
          <w:u w:val="single"/>
        </w:rPr>
        <w:t>，故本项目接收的</w:t>
      </w:r>
      <w:r>
        <w:rPr>
          <w:color w:val="000000"/>
          <w:szCs w:val="22"/>
          <w:u w:val="single"/>
        </w:rPr>
        <w:t>废水盐分不超过5000 mg/L</w:t>
      </w:r>
      <w:r>
        <w:rPr>
          <w:rFonts w:hint="eastAsia"/>
          <w:color w:val="000000"/>
          <w:szCs w:val="22"/>
          <w:u w:val="single"/>
          <w:lang w:eastAsia="zh-CN"/>
        </w:rPr>
        <w:t>。</w:t>
      </w:r>
    </w:p>
    <w:p>
      <w:pPr>
        <w:pStyle w:val="69"/>
        <w:rPr>
          <w:color w:val="auto"/>
          <w:u w:val="single"/>
        </w:rPr>
      </w:pPr>
      <w:r>
        <w:rPr>
          <w:rFonts w:hint="eastAsia"/>
          <w:color w:val="auto"/>
          <w:u w:val="single"/>
        </w:rPr>
        <w:t>2.</w:t>
      </w:r>
      <w:r>
        <w:rPr>
          <w:color w:val="auto"/>
          <w:u w:val="single"/>
        </w:rPr>
        <w:t>1</w:t>
      </w:r>
      <w:r>
        <w:rPr>
          <w:rFonts w:hint="eastAsia"/>
          <w:color w:val="auto"/>
          <w:u w:val="single"/>
        </w:rPr>
        <w:t>.6.</w:t>
      </w:r>
      <w:r>
        <w:rPr>
          <w:rFonts w:hint="eastAsia"/>
          <w:color w:val="auto"/>
          <w:u w:val="single"/>
          <w:lang w:val="en-US" w:eastAsia="zh-CN"/>
        </w:rPr>
        <w:t>4</w:t>
      </w:r>
      <w:r>
        <w:rPr>
          <w:rFonts w:hint="eastAsia"/>
          <w:color w:val="auto"/>
          <w:u w:val="single"/>
        </w:rPr>
        <w:t>污水处理厂出水水质确定</w:t>
      </w:r>
    </w:p>
    <w:p>
      <w:pPr>
        <w:pStyle w:val="103"/>
        <w:rPr>
          <w:color w:val="auto"/>
          <w:u w:val="single"/>
        </w:rPr>
      </w:pPr>
      <w:r>
        <w:rPr>
          <w:rFonts w:hint="eastAsia"/>
          <w:color w:val="auto"/>
          <w:spacing w:val="-4"/>
          <w:u w:val="single"/>
          <w:lang w:val="en-US" w:bidi="zh-CN"/>
        </w:rPr>
        <w:t xml:space="preserve"> </w:t>
      </w:r>
      <w:r>
        <w:rPr>
          <w:rFonts w:hint="eastAsia"/>
          <w:color w:val="auto"/>
          <w:u w:val="single"/>
        </w:rPr>
        <w:t>表</w:t>
      </w:r>
      <w:r>
        <w:rPr>
          <w:rFonts w:eastAsia="Times New Roman"/>
          <w:color w:val="auto"/>
          <w:u w:val="single"/>
        </w:rPr>
        <w:t>2.1-</w:t>
      </w:r>
      <w:r>
        <w:rPr>
          <w:rFonts w:hint="eastAsia" w:eastAsia="宋体"/>
          <w:color w:val="auto"/>
          <w:u w:val="single"/>
          <w:lang w:val="en-US" w:eastAsia="zh-CN"/>
        </w:rPr>
        <w:t>13</w:t>
      </w:r>
      <w:r>
        <w:rPr>
          <w:rFonts w:eastAsia="Times New Roman"/>
          <w:color w:val="auto"/>
          <w:u w:val="single"/>
        </w:rPr>
        <w:t xml:space="preserve"> </w:t>
      </w:r>
      <w:r>
        <w:rPr>
          <w:rFonts w:hint="eastAsia"/>
          <w:color w:val="auto"/>
          <w:u w:val="single"/>
        </w:rPr>
        <w:t xml:space="preserve"> 废水排放标准 单位：mg/L</w:t>
      </w:r>
    </w:p>
    <w:tbl>
      <w:tblPr>
        <w:tblStyle w:val="36"/>
        <w:tblW w:w="90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733"/>
        <w:gridCol w:w="783"/>
        <w:gridCol w:w="872"/>
        <w:gridCol w:w="783"/>
        <w:gridCol w:w="657"/>
        <w:gridCol w:w="1515"/>
        <w:gridCol w:w="695"/>
        <w:gridCol w:w="859"/>
        <w:gridCol w:w="10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184" w:type="dxa"/>
            <w:tcBorders>
              <w:top w:val="single" w:color="auto" w:sz="4" w:space="0"/>
              <w:left w:val="single" w:color="auto" w:sz="4" w:space="0"/>
              <w:bottom w:val="single" w:color="auto" w:sz="4" w:space="0"/>
              <w:tl2br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 xml:space="preserve">    </w:t>
            </w:r>
            <w:r>
              <w:rPr>
                <w:rFonts w:hint="default" w:ascii="Times New Roman" w:hAnsi="Times New Roman" w:cs="Times New Roman"/>
                <w:color w:val="auto"/>
                <w:u w:val="single"/>
                <w:lang w:val="en-US" w:eastAsia="zh-CN"/>
              </w:rPr>
              <w:t xml:space="preserve"> </w:t>
            </w:r>
            <w:r>
              <w:rPr>
                <w:rFonts w:hint="default" w:ascii="Times New Roman" w:hAnsi="Times New Roman" w:cs="Times New Roman"/>
                <w:color w:val="auto"/>
                <w:u w:val="single"/>
              </w:rPr>
              <w:t>因子</w:t>
            </w:r>
          </w:p>
          <w:p>
            <w:pPr>
              <w:pStyle w:val="73"/>
              <w:jc w:val="left"/>
              <w:rPr>
                <w:rFonts w:hint="default" w:ascii="Times New Roman" w:hAnsi="Times New Roman" w:cs="Times New Roman"/>
                <w:color w:val="auto"/>
                <w:u w:val="single"/>
              </w:rPr>
            </w:pPr>
            <w:r>
              <w:rPr>
                <w:rFonts w:hint="default" w:ascii="Times New Roman" w:hAnsi="Times New Roman" w:cs="Times New Roman"/>
                <w:color w:val="auto"/>
                <w:u w:val="single"/>
              </w:rPr>
              <w:t>标准值</w:t>
            </w:r>
          </w:p>
        </w:tc>
        <w:tc>
          <w:tcPr>
            <w:tcW w:w="733"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COD</w:t>
            </w:r>
          </w:p>
        </w:tc>
        <w:tc>
          <w:tcPr>
            <w:tcW w:w="783"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BOD</w:t>
            </w:r>
            <w:r>
              <w:rPr>
                <w:rFonts w:hint="default" w:ascii="Times New Roman" w:hAnsi="Times New Roman" w:cs="Times New Roman"/>
                <w:color w:val="auto"/>
                <w:u w:val="single"/>
                <w:vertAlign w:val="subscript"/>
              </w:rPr>
              <w:t>5</w:t>
            </w:r>
          </w:p>
        </w:tc>
        <w:tc>
          <w:tcPr>
            <w:tcW w:w="872"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r>
              <w:rPr>
                <w:rFonts w:hint="default" w:ascii="Times New Roman" w:hAnsi="Times New Roman" w:cs="Times New Roman"/>
                <w:color w:val="auto"/>
                <w:u w:val="single"/>
              </w:rPr>
              <w:t>-N</w:t>
            </w:r>
          </w:p>
        </w:tc>
        <w:tc>
          <w:tcPr>
            <w:tcW w:w="783"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TP</w:t>
            </w:r>
          </w:p>
        </w:tc>
        <w:tc>
          <w:tcPr>
            <w:tcW w:w="657"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SS</w:t>
            </w:r>
          </w:p>
        </w:tc>
        <w:tc>
          <w:tcPr>
            <w:tcW w:w="1515"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粪大肠菌群数（个/100mL）</w:t>
            </w:r>
          </w:p>
        </w:tc>
        <w:tc>
          <w:tcPr>
            <w:tcW w:w="695" w:type="dxa"/>
            <w:tcBorders>
              <w:top w:val="single" w:color="auto" w:sz="4" w:space="0"/>
              <w:bottom w:val="single" w:color="auto" w:sz="4" w:space="0"/>
              <w:right w:val="single" w:color="auto" w:sz="4" w:space="0"/>
            </w:tcBorders>
            <w:noWrap w:val="0"/>
            <w:vAlign w:val="center"/>
          </w:tcPr>
          <w:p>
            <w:pPr>
              <w:pStyle w:val="73"/>
              <w:rPr>
                <w:rFonts w:hint="default" w:ascii="Times New Roman" w:hAnsi="Times New Roman" w:eastAsia="宋体" w:cs="Times New Roman"/>
                <w:b w:val="0"/>
                <w:bCs/>
                <w:color w:val="auto"/>
                <w:u w:val="single"/>
                <w:lang w:val="en-US" w:eastAsia="zh-CN"/>
              </w:rPr>
            </w:pPr>
            <w:r>
              <w:rPr>
                <w:rFonts w:hint="default" w:ascii="Times New Roman" w:hAnsi="Times New Roman" w:cs="Times New Roman"/>
                <w:b w:val="0"/>
                <w:bCs/>
                <w:color w:val="auto"/>
                <w:u w:val="single"/>
                <w:lang w:val="en-US" w:eastAsia="zh-CN"/>
              </w:rPr>
              <w:t>TN</w:t>
            </w:r>
          </w:p>
        </w:tc>
        <w:tc>
          <w:tcPr>
            <w:tcW w:w="859" w:type="dxa"/>
            <w:tcBorders>
              <w:top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b w:val="0"/>
                <w:bCs/>
                <w:color w:val="auto"/>
                <w:u w:val="single"/>
                <w:lang w:val="en-US" w:eastAsia="zh-CN"/>
              </w:rPr>
            </w:pPr>
            <w:r>
              <w:rPr>
                <w:rFonts w:hint="eastAsia" w:ascii="Times New Roman" w:cs="Times New Roman"/>
                <w:b w:val="0"/>
                <w:bCs/>
                <w:color w:val="auto"/>
                <w:u w:val="single"/>
                <w:lang w:val="en-US" w:eastAsia="zh-CN"/>
              </w:rPr>
              <w:t>石油类</w:t>
            </w:r>
          </w:p>
        </w:tc>
        <w:tc>
          <w:tcPr>
            <w:tcW w:w="1005" w:type="dxa"/>
            <w:tcBorders>
              <w:top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b w:val="0"/>
                <w:bCs/>
                <w:color w:val="auto"/>
                <w:u w:val="single"/>
                <w:lang w:val="en-US" w:eastAsia="zh-CN"/>
              </w:rPr>
            </w:pPr>
            <w:r>
              <w:rPr>
                <w:rFonts w:hint="eastAsia" w:ascii="Times New Roman" w:cs="Times New Roman"/>
                <w:b w:val="0"/>
                <w:bCs/>
                <w:color w:val="auto"/>
                <w:u w:val="single"/>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tcBorders>
              <w:top w:val="single" w:color="auto" w:sz="4" w:space="0"/>
              <w:left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GB18918-2002，一级A标准</w:t>
            </w:r>
          </w:p>
        </w:tc>
        <w:tc>
          <w:tcPr>
            <w:tcW w:w="733"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≤50</w:t>
            </w:r>
          </w:p>
        </w:tc>
        <w:tc>
          <w:tcPr>
            <w:tcW w:w="783"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≤10</w:t>
            </w:r>
          </w:p>
        </w:tc>
        <w:tc>
          <w:tcPr>
            <w:tcW w:w="872"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≤5（8）</w:t>
            </w:r>
          </w:p>
        </w:tc>
        <w:tc>
          <w:tcPr>
            <w:tcW w:w="783"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≤0.5</w:t>
            </w:r>
          </w:p>
        </w:tc>
        <w:tc>
          <w:tcPr>
            <w:tcW w:w="657"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≤10</w:t>
            </w:r>
          </w:p>
        </w:tc>
        <w:tc>
          <w:tcPr>
            <w:tcW w:w="1515" w:type="dxa"/>
            <w:tcBorders>
              <w:top w:val="single" w:color="auto" w:sz="4" w:space="0"/>
              <w:bottom w:val="single" w:color="auto" w:sz="4" w:space="0"/>
            </w:tcBorders>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≤1000</w:t>
            </w:r>
          </w:p>
        </w:tc>
        <w:tc>
          <w:tcPr>
            <w:tcW w:w="695" w:type="dxa"/>
            <w:tcBorders>
              <w:top w:val="single" w:color="auto" w:sz="4" w:space="0"/>
              <w:bottom w:val="single" w:color="auto" w:sz="4" w:space="0"/>
              <w:right w:val="single" w:color="auto" w:sz="4" w:space="0"/>
            </w:tcBorders>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≤15</w:t>
            </w:r>
          </w:p>
        </w:tc>
        <w:tc>
          <w:tcPr>
            <w:tcW w:w="859" w:type="dxa"/>
            <w:tcBorders>
              <w:top w:val="single" w:color="auto" w:sz="4" w:space="0"/>
              <w:bottom w:val="single" w:color="auto" w:sz="4" w:space="0"/>
              <w:right w:val="single" w:color="auto" w:sz="4" w:space="0"/>
            </w:tcBorders>
            <w:noWrap w:val="0"/>
            <w:vAlign w:val="center"/>
          </w:tcPr>
          <w:p>
            <w:pPr>
              <w:pStyle w:val="73"/>
              <w:rPr>
                <w:rFonts w:hint="eastAsia" w:ascii="Times New Roman" w:hAnsi="Times New Roman" w:eastAsia="宋体" w:cs="Times New Roman"/>
                <w:b w:val="0"/>
                <w:bCs/>
                <w:color w:val="auto"/>
                <w:u w:val="single"/>
                <w:lang w:val="en-US" w:eastAsia="zh-CN"/>
              </w:rPr>
            </w:pPr>
            <w:r>
              <w:rPr>
                <w:rFonts w:hint="eastAsia" w:ascii="Times New Roman" w:cs="Times New Roman"/>
                <w:b w:val="0"/>
                <w:bCs/>
                <w:color w:val="auto"/>
                <w:u w:val="single"/>
                <w:lang w:val="en-US" w:eastAsia="zh-CN"/>
              </w:rPr>
              <w:t>1</w:t>
            </w:r>
          </w:p>
        </w:tc>
        <w:tc>
          <w:tcPr>
            <w:tcW w:w="1005" w:type="dxa"/>
            <w:tcBorders>
              <w:top w:val="single" w:color="auto" w:sz="4" w:space="0"/>
              <w:bottom w:val="single" w:color="auto" w:sz="4" w:space="0"/>
              <w:right w:val="single" w:color="auto" w:sz="4" w:space="0"/>
            </w:tcBorders>
            <w:noWrap w:val="0"/>
            <w:vAlign w:val="center"/>
          </w:tcPr>
          <w:p>
            <w:pPr>
              <w:pStyle w:val="73"/>
              <w:rPr>
                <w:rFonts w:hint="eastAsia" w:ascii="Times New Roman" w:hAnsi="Times New Roman" w:eastAsia="宋体" w:cs="Times New Roman"/>
                <w:b w:val="0"/>
                <w:bCs/>
                <w:color w:val="auto"/>
                <w:u w:val="single"/>
                <w:lang w:val="en-US" w:eastAsia="zh-CN"/>
              </w:rPr>
            </w:pPr>
            <w:r>
              <w:rPr>
                <w:rFonts w:hint="eastAsia" w:ascii="Times New Roman" w:cs="Times New Roman"/>
                <w:b w:val="0"/>
                <w:bCs/>
                <w:color w:val="auto"/>
                <w:u w:val="single"/>
                <w:lang w:val="en-US" w:eastAsia="zh-CN"/>
              </w:rPr>
              <w:t>1</w:t>
            </w:r>
          </w:p>
        </w:tc>
      </w:tr>
    </w:tbl>
    <w:p>
      <w:pPr>
        <w:ind w:firstLine="420"/>
        <w:rPr>
          <w:rFonts w:hint="eastAsia"/>
          <w:color w:val="auto"/>
          <w:kern w:val="0"/>
          <w:sz w:val="21"/>
          <w:szCs w:val="21"/>
          <w:u w:val="none"/>
        </w:rPr>
      </w:pPr>
      <w:r>
        <w:rPr>
          <w:rFonts w:hint="eastAsia"/>
          <w:color w:val="auto"/>
          <w:kern w:val="0"/>
          <w:sz w:val="21"/>
          <w:szCs w:val="21"/>
          <w:u w:val="single"/>
        </w:rPr>
        <w:t>注：括号外数值为水温＞12℃时的控制指标，括号外数值为水温≤12℃时的控制指标。</w:t>
      </w:r>
    </w:p>
    <w:p>
      <w:pPr>
        <w:pStyle w:val="69"/>
        <w:rPr>
          <w:color w:val="auto"/>
          <w:u w:val="single"/>
        </w:rPr>
      </w:pPr>
      <w:r>
        <w:rPr>
          <w:rFonts w:hint="eastAsia"/>
          <w:color w:val="auto"/>
          <w:u w:val="single"/>
        </w:rPr>
        <w:t>2.</w:t>
      </w:r>
      <w:r>
        <w:rPr>
          <w:color w:val="auto"/>
          <w:u w:val="single"/>
        </w:rPr>
        <w:t>1</w:t>
      </w:r>
      <w:r>
        <w:rPr>
          <w:rFonts w:hint="eastAsia"/>
          <w:color w:val="auto"/>
          <w:u w:val="single"/>
        </w:rPr>
        <w:t>.6.</w:t>
      </w:r>
      <w:r>
        <w:rPr>
          <w:rFonts w:hint="eastAsia"/>
          <w:color w:val="auto"/>
          <w:u w:val="single"/>
          <w:lang w:val="en-US" w:eastAsia="zh-CN"/>
        </w:rPr>
        <w:t>5</w:t>
      </w:r>
      <w:r>
        <w:rPr>
          <w:rFonts w:hint="eastAsia"/>
          <w:color w:val="auto"/>
          <w:u w:val="single"/>
        </w:rPr>
        <w:t>水质处理程度</w:t>
      </w:r>
    </w:p>
    <w:p>
      <w:pPr>
        <w:ind w:firstLine="480"/>
        <w:jc w:val="both"/>
        <w:rPr>
          <w:color w:val="auto"/>
          <w:szCs w:val="22"/>
          <w:u w:val="single"/>
        </w:rPr>
      </w:pPr>
      <w:r>
        <w:rPr>
          <w:rFonts w:hint="eastAsia"/>
          <w:color w:val="auto"/>
          <w:kern w:val="0"/>
          <w:u w:val="single"/>
        </w:rPr>
        <w:t>根据污水处理厂的设计进出水水质，确定污水处理厂水质处理程度如下表，同时考虑本项目</w:t>
      </w:r>
      <w:r>
        <w:rPr>
          <w:rFonts w:hint="eastAsia"/>
          <w:color w:val="auto"/>
          <w:szCs w:val="22"/>
          <w:u w:val="single"/>
          <w:lang w:eastAsia="zh-CN"/>
        </w:rPr>
        <w:t>处理废水</w:t>
      </w:r>
      <w:r>
        <w:rPr>
          <w:color w:val="auto"/>
          <w:szCs w:val="22"/>
          <w:u w:val="single"/>
        </w:rPr>
        <w:t>以</w:t>
      </w:r>
      <w:r>
        <w:rPr>
          <w:rFonts w:hint="eastAsia"/>
          <w:color w:val="auto"/>
          <w:szCs w:val="22"/>
          <w:u w:val="single"/>
          <w:lang w:eastAsia="zh-CN"/>
        </w:rPr>
        <w:t>生活废水</w:t>
      </w:r>
      <w:r>
        <w:rPr>
          <w:color w:val="auto"/>
          <w:szCs w:val="22"/>
          <w:u w:val="single"/>
        </w:rPr>
        <w:t>为主，</w:t>
      </w:r>
      <w:r>
        <w:rPr>
          <w:rFonts w:hint="eastAsia"/>
          <w:color w:val="auto"/>
          <w:szCs w:val="22"/>
          <w:u w:val="single"/>
          <w:lang w:val="en-US" w:eastAsia="zh-CN"/>
        </w:rPr>
        <w:t>污染因子主要以有机污染物为主，且污染物单一</w:t>
      </w:r>
      <w:r>
        <w:rPr>
          <w:color w:val="auto"/>
          <w:szCs w:val="22"/>
          <w:u w:val="single"/>
        </w:rPr>
        <w:t>。</w:t>
      </w:r>
      <w:r>
        <w:rPr>
          <w:rFonts w:hint="eastAsia"/>
          <w:color w:val="auto"/>
          <w:szCs w:val="22"/>
          <w:u w:val="single"/>
          <w:lang w:eastAsia="zh-CN"/>
        </w:rPr>
        <w:t>由于猛洞河产业园内有酱腌菜产业，其产生的</w:t>
      </w:r>
      <w:r>
        <w:rPr>
          <w:rFonts w:hint="eastAsia"/>
          <w:color w:val="000000"/>
          <w:szCs w:val="22"/>
          <w:u w:val="single"/>
        </w:rPr>
        <w:t>废水中可能含有大量盐分，</w:t>
      </w:r>
      <w:r>
        <w:rPr>
          <w:color w:val="000000"/>
          <w:szCs w:val="22"/>
          <w:u w:val="single"/>
        </w:rPr>
        <w:t>如果含盐量过高，对微生物具有抑制甚至毒害作用</w:t>
      </w:r>
      <w:r>
        <w:rPr>
          <w:rFonts w:hint="eastAsia"/>
          <w:color w:val="000000"/>
          <w:szCs w:val="22"/>
          <w:u w:val="single"/>
        </w:rPr>
        <w:t>，故本项目接收的</w:t>
      </w:r>
      <w:r>
        <w:rPr>
          <w:color w:val="000000"/>
          <w:szCs w:val="22"/>
          <w:u w:val="single"/>
        </w:rPr>
        <w:t>废水盐分不超过5000 mg/L。</w:t>
      </w:r>
    </w:p>
    <w:p>
      <w:pPr>
        <w:pStyle w:val="103"/>
        <w:rPr>
          <w:rFonts w:eastAsia="Times New Roman"/>
          <w:color w:val="auto"/>
          <w:u w:val="single"/>
        </w:rPr>
      </w:pPr>
      <w:r>
        <w:rPr>
          <w:rFonts w:hint="eastAsia"/>
          <w:color w:val="auto"/>
          <w:u w:val="single"/>
        </w:rPr>
        <w:t>表</w:t>
      </w:r>
      <w:r>
        <w:rPr>
          <w:rFonts w:eastAsia="Times New Roman"/>
          <w:color w:val="auto"/>
          <w:u w:val="single"/>
        </w:rPr>
        <w:t>2.1-</w:t>
      </w:r>
      <w:r>
        <w:rPr>
          <w:rFonts w:hint="eastAsia" w:eastAsia="宋体"/>
          <w:color w:val="auto"/>
          <w:u w:val="single"/>
          <w:lang w:val="en-US" w:eastAsia="zh-CN"/>
        </w:rPr>
        <w:t>14</w:t>
      </w:r>
      <w:r>
        <w:rPr>
          <w:rFonts w:eastAsia="Times New Roman"/>
          <w:color w:val="auto"/>
          <w:u w:val="single"/>
        </w:rPr>
        <w:t xml:space="preserve">  </w:t>
      </w:r>
      <w:r>
        <w:rPr>
          <w:rFonts w:hint="eastAsia"/>
          <w:color w:val="auto"/>
          <w:u w:val="single"/>
        </w:rPr>
        <w:t>设计进出水水质及处理程度</w:t>
      </w:r>
      <w:r>
        <w:rPr>
          <w:rFonts w:hint="eastAsia"/>
          <w:color w:val="auto"/>
          <w:u w:val="single"/>
        </w:rPr>
        <w:tab/>
      </w:r>
      <w:r>
        <w:rPr>
          <w:rFonts w:hint="eastAsia"/>
          <w:color w:val="auto"/>
          <w:u w:val="single"/>
        </w:rPr>
        <w:t>单位：</w:t>
      </w:r>
      <w:r>
        <w:rPr>
          <w:rFonts w:eastAsia="Times New Roman"/>
          <w:color w:val="auto"/>
          <w:u w:val="single"/>
        </w:rPr>
        <w:t>mg/L</w:t>
      </w:r>
    </w:p>
    <w:tbl>
      <w:tblPr>
        <w:tblStyle w:val="36"/>
        <w:tblW w:w="484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1"/>
        <w:gridCol w:w="801"/>
        <w:gridCol w:w="806"/>
        <w:gridCol w:w="804"/>
        <w:gridCol w:w="804"/>
        <w:gridCol w:w="806"/>
        <w:gridCol w:w="801"/>
        <w:gridCol w:w="801"/>
        <w:gridCol w:w="801"/>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482" w:type="pct"/>
            <w:noWrap w:val="0"/>
            <w:vAlign w:val="center"/>
          </w:tcPr>
          <w:p>
            <w:pPr>
              <w:pStyle w:val="120"/>
              <w:bidi w:val="0"/>
              <w:rPr>
                <w:u w:val="single"/>
              </w:rPr>
            </w:pPr>
            <w:r>
              <w:rPr>
                <w:u w:val="single"/>
              </w:rPr>
              <w:t>项目</w:t>
            </w:r>
          </w:p>
        </w:tc>
        <w:tc>
          <w:tcPr>
            <w:tcW w:w="501" w:type="pct"/>
            <w:noWrap w:val="0"/>
            <w:vAlign w:val="center"/>
          </w:tcPr>
          <w:p>
            <w:pPr>
              <w:pStyle w:val="120"/>
              <w:bidi w:val="0"/>
              <w:rPr>
                <w:u w:val="single"/>
              </w:rPr>
            </w:pPr>
            <w:r>
              <w:rPr>
                <w:u w:val="single"/>
              </w:rPr>
              <w:t>CODCr</w:t>
            </w:r>
          </w:p>
        </w:tc>
        <w:tc>
          <w:tcPr>
            <w:tcW w:w="503" w:type="pct"/>
            <w:noWrap w:val="0"/>
            <w:vAlign w:val="center"/>
          </w:tcPr>
          <w:p>
            <w:pPr>
              <w:pStyle w:val="120"/>
              <w:bidi w:val="0"/>
              <w:rPr>
                <w:u w:val="single"/>
              </w:rPr>
            </w:pPr>
            <w:r>
              <w:rPr>
                <w:u w:val="single"/>
              </w:rPr>
              <w:t>BOD5</w:t>
            </w:r>
          </w:p>
        </w:tc>
        <w:tc>
          <w:tcPr>
            <w:tcW w:w="502" w:type="pct"/>
            <w:noWrap w:val="0"/>
            <w:vAlign w:val="center"/>
          </w:tcPr>
          <w:p>
            <w:pPr>
              <w:pStyle w:val="120"/>
              <w:bidi w:val="0"/>
              <w:rPr>
                <w:u w:val="single"/>
              </w:rPr>
            </w:pPr>
            <w:r>
              <w:rPr>
                <w:u w:val="single"/>
              </w:rPr>
              <w:t>SS</w:t>
            </w:r>
          </w:p>
        </w:tc>
        <w:tc>
          <w:tcPr>
            <w:tcW w:w="502" w:type="pct"/>
            <w:noWrap w:val="0"/>
            <w:vAlign w:val="center"/>
          </w:tcPr>
          <w:p>
            <w:pPr>
              <w:pStyle w:val="120"/>
              <w:bidi w:val="0"/>
              <w:rPr>
                <w:u w:val="single"/>
              </w:rPr>
            </w:pPr>
            <w:r>
              <w:rPr>
                <w:u w:val="single"/>
              </w:rPr>
              <w:t>TN</w:t>
            </w:r>
          </w:p>
        </w:tc>
        <w:tc>
          <w:tcPr>
            <w:tcW w:w="503" w:type="pct"/>
            <w:noWrap w:val="0"/>
            <w:vAlign w:val="center"/>
          </w:tcPr>
          <w:p>
            <w:pPr>
              <w:pStyle w:val="120"/>
              <w:bidi w:val="0"/>
              <w:rPr>
                <w:u w:val="single"/>
              </w:rPr>
            </w:pPr>
            <w:r>
              <w:rPr>
                <w:u w:val="single"/>
              </w:rPr>
              <w:t>NH3-N</w:t>
            </w:r>
          </w:p>
        </w:tc>
        <w:tc>
          <w:tcPr>
            <w:tcW w:w="500" w:type="pct"/>
            <w:noWrap w:val="0"/>
            <w:vAlign w:val="center"/>
          </w:tcPr>
          <w:p>
            <w:pPr>
              <w:pStyle w:val="120"/>
              <w:bidi w:val="0"/>
              <w:rPr>
                <w:u w:val="single"/>
              </w:rPr>
            </w:pPr>
            <w:r>
              <w:rPr>
                <w:u w:val="single"/>
              </w:rPr>
              <w:t>TP</w:t>
            </w:r>
          </w:p>
        </w:tc>
        <w:tc>
          <w:tcPr>
            <w:tcW w:w="500" w:type="pct"/>
            <w:noWrap w:val="0"/>
            <w:vAlign w:val="center"/>
          </w:tcPr>
          <w:p>
            <w:pPr>
              <w:pStyle w:val="120"/>
              <w:bidi w:val="0"/>
              <w:rPr>
                <w:rFonts w:hint="eastAsia"/>
                <w:u w:val="single"/>
              </w:rPr>
            </w:pPr>
            <w:r>
              <w:rPr>
                <w:rFonts w:hint="eastAsia"/>
                <w:u w:val="single"/>
              </w:rPr>
              <w:t>粪大肠菌</w:t>
            </w:r>
          </w:p>
          <w:p>
            <w:pPr>
              <w:pStyle w:val="120"/>
              <w:bidi w:val="0"/>
              <w:rPr>
                <w:rFonts w:hint="eastAsia"/>
                <w:u w:val="single"/>
              </w:rPr>
            </w:pPr>
            <w:r>
              <w:rPr>
                <w:rFonts w:hint="eastAsia"/>
                <w:u w:val="single"/>
              </w:rPr>
              <w:t>群（个/L）</w:t>
            </w:r>
          </w:p>
        </w:tc>
        <w:tc>
          <w:tcPr>
            <w:tcW w:w="500" w:type="pct"/>
            <w:noWrap w:val="0"/>
            <w:vAlign w:val="center"/>
          </w:tcPr>
          <w:p>
            <w:pPr>
              <w:pStyle w:val="120"/>
              <w:bidi w:val="0"/>
              <w:rPr>
                <w:rFonts w:hint="eastAsia" w:eastAsia="宋体"/>
                <w:u w:val="single"/>
                <w:lang w:eastAsia="zh-CN"/>
              </w:rPr>
            </w:pPr>
            <w:r>
              <w:rPr>
                <w:rFonts w:hint="eastAsia"/>
                <w:u w:val="single"/>
                <w:lang w:eastAsia="zh-CN"/>
              </w:rPr>
              <w:t>动植物油</w:t>
            </w:r>
          </w:p>
        </w:tc>
        <w:tc>
          <w:tcPr>
            <w:tcW w:w="500" w:type="pct"/>
            <w:noWrap w:val="0"/>
            <w:vAlign w:val="center"/>
          </w:tcPr>
          <w:p>
            <w:pPr>
              <w:pStyle w:val="120"/>
              <w:bidi w:val="0"/>
              <w:rPr>
                <w:rFonts w:hint="eastAsia" w:eastAsia="宋体"/>
                <w:u w:val="single"/>
                <w:lang w:eastAsia="zh-CN"/>
              </w:rPr>
            </w:pPr>
            <w:r>
              <w:rPr>
                <w:rFonts w:hint="eastAsia"/>
                <w:u w:val="single"/>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482" w:type="pct"/>
            <w:noWrap w:val="0"/>
            <w:vAlign w:val="center"/>
          </w:tcPr>
          <w:p>
            <w:pPr>
              <w:pStyle w:val="120"/>
              <w:bidi w:val="0"/>
              <w:rPr>
                <w:u w:val="single"/>
              </w:rPr>
            </w:pPr>
            <w:r>
              <w:rPr>
                <w:u w:val="single"/>
              </w:rPr>
              <w:t>进水水质</w:t>
            </w:r>
          </w:p>
        </w:tc>
        <w:tc>
          <w:tcPr>
            <w:tcW w:w="501" w:type="pct"/>
            <w:noWrap w:val="0"/>
            <w:vAlign w:val="center"/>
          </w:tcPr>
          <w:p>
            <w:pPr>
              <w:pStyle w:val="120"/>
              <w:bidi w:val="0"/>
              <w:rPr>
                <w:u w:val="single"/>
              </w:rPr>
            </w:pPr>
            <w:r>
              <w:rPr>
                <w:u w:val="single"/>
              </w:rPr>
              <w:t>≤</w:t>
            </w:r>
            <w:r>
              <w:rPr>
                <w:rFonts w:hint="eastAsia"/>
                <w:u w:val="single"/>
                <w:lang w:val="en-US"/>
              </w:rPr>
              <w:t>500</w:t>
            </w:r>
          </w:p>
        </w:tc>
        <w:tc>
          <w:tcPr>
            <w:tcW w:w="503" w:type="pct"/>
            <w:noWrap w:val="0"/>
            <w:vAlign w:val="center"/>
          </w:tcPr>
          <w:p>
            <w:pPr>
              <w:pStyle w:val="120"/>
              <w:bidi w:val="0"/>
              <w:rPr>
                <w:rFonts w:hint="default"/>
                <w:u w:val="single"/>
                <w:lang w:val="en-US"/>
              </w:rPr>
            </w:pPr>
            <w:r>
              <w:rPr>
                <w:u w:val="single"/>
              </w:rPr>
              <w:t>≤</w:t>
            </w:r>
            <w:r>
              <w:rPr>
                <w:rFonts w:hint="eastAsia"/>
                <w:u w:val="single"/>
                <w:lang w:val="en-US"/>
              </w:rPr>
              <w:t>300</w:t>
            </w:r>
          </w:p>
        </w:tc>
        <w:tc>
          <w:tcPr>
            <w:tcW w:w="502" w:type="pct"/>
            <w:noWrap w:val="0"/>
            <w:vAlign w:val="center"/>
          </w:tcPr>
          <w:p>
            <w:pPr>
              <w:pStyle w:val="120"/>
              <w:bidi w:val="0"/>
              <w:rPr>
                <w:rFonts w:hint="default"/>
                <w:u w:val="single"/>
                <w:lang w:val="en-US"/>
              </w:rPr>
            </w:pPr>
            <w:r>
              <w:rPr>
                <w:u w:val="single"/>
              </w:rPr>
              <w:t>≤</w:t>
            </w:r>
            <w:r>
              <w:rPr>
                <w:rFonts w:hint="eastAsia"/>
                <w:u w:val="single"/>
                <w:lang w:val="en-US"/>
              </w:rPr>
              <w:t>400</w:t>
            </w:r>
          </w:p>
        </w:tc>
        <w:tc>
          <w:tcPr>
            <w:tcW w:w="502" w:type="pct"/>
            <w:noWrap w:val="0"/>
            <w:vAlign w:val="center"/>
          </w:tcPr>
          <w:p>
            <w:pPr>
              <w:pStyle w:val="120"/>
              <w:bidi w:val="0"/>
              <w:rPr>
                <w:rFonts w:hint="default"/>
                <w:u w:val="single"/>
                <w:lang w:val="en-US"/>
              </w:rPr>
            </w:pPr>
            <w:r>
              <w:rPr>
                <w:u w:val="single"/>
              </w:rPr>
              <w:t>≤</w:t>
            </w:r>
            <w:r>
              <w:rPr>
                <w:rFonts w:hint="eastAsia"/>
                <w:u w:val="single"/>
                <w:lang w:val="en-US"/>
              </w:rPr>
              <w:t>45</w:t>
            </w:r>
          </w:p>
        </w:tc>
        <w:tc>
          <w:tcPr>
            <w:tcW w:w="503" w:type="pct"/>
            <w:noWrap w:val="0"/>
            <w:vAlign w:val="center"/>
          </w:tcPr>
          <w:p>
            <w:pPr>
              <w:pStyle w:val="120"/>
              <w:bidi w:val="0"/>
              <w:rPr>
                <w:u w:val="single"/>
              </w:rPr>
            </w:pPr>
            <w:r>
              <w:rPr>
                <w:u w:val="single"/>
              </w:rPr>
              <w:t>≤</w:t>
            </w:r>
            <w:r>
              <w:rPr>
                <w:rFonts w:hint="eastAsia"/>
                <w:u w:val="single"/>
                <w:lang w:val="en-US"/>
              </w:rPr>
              <w:t>25</w:t>
            </w:r>
          </w:p>
        </w:tc>
        <w:tc>
          <w:tcPr>
            <w:tcW w:w="500" w:type="pct"/>
            <w:noWrap w:val="0"/>
            <w:vAlign w:val="center"/>
          </w:tcPr>
          <w:p>
            <w:pPr>
              <w:pStyle w:val="120"/>
              <w:bidi w:val="0"/>
              <w:rPr>
                <w:u w:val="single"/>
              </w:rPr>
            </w:pPr>
            <w:r>
              <w:rPr>
                <w:u w:val="single"/>
              </w:rPr>
              <w:t>≤</w:t>
            </w:r>
            <w:r>
              <w:rPr>
                <w:rFonts w:hint="eastAsia"/>
                <w:u w:val="single"/>
                <w:lang w:val="en-US"/>
              </w:rPr>
              <w:t>5</w:t>
            </w:r>
          </w:p>
        </w:tc>
        <w:tc>
          <w:tcPr>
            <w:tcW w:w="500" w:type="pct"/>
            <w:noWrap w:val="0"/>
            <w:vAlign w:val="center"/>
          </w:tcPr>
          <w:p>
            <w:pPr>
              <w:pStyle w:val="120"/>
              <w:bidi w:val="0"/>
              <w:rPr>
                <w:u w:val="single"/>
              </w:rPr>
            </w:pPr>
            <w:r>
              <w:rPr>
                <w:rFonts w:hint="eastAsia"/>
                <w:u w:val="single"/>
                <w:lang w:val="en-US"/>
              </w:rPr>
              <w:t>-</w:t>
            </w:r>
          </w:p>
        </w:tc>
        <w:tc>
          <w:tcPr>
            <w:tcW w:w="500" w:type="pct"/>
            <w:noWrap w:val="0"/>
            <w:vAlign w:val="center"/>
          </w:tcPr>
          <w:p>
            <w:pPr>
              <w:pStyle w:val="120"/>
              <w:bidi w:val="0"/>
              <w:rPr>
                <w:rFonts w:hint="default" w:eastAsia="宋体"/>
                <w:u w:val="single"/>
                <w:lang w:val="en-US" w:eastAsia="zh-CN"/>
              </w:rPr>
            </w:pPr>
            <w:r>
              <w:rPr>
                <w:u w:val="single"/>
              </w:rPr>
              <w:t>≤</w:t>
            </w:r>
            <w:r>
              <w:rPr>
                <w:rFonts w:hint="eastAsia"/>
                <w:u w:val="single"/>
                <w:lang w:val="en-US" w:eastAsia="zh-CN"/>
              </w:rPr>
              <w:t>100</w:t>
            </w:r>
          </w:p>
        </w:tc>
        <w:tc>
          <w:tcPr>
            <w:tcW w:w="500" w:type="pct"/>
            <w:noWrap w:val="0"/>
            <w:vAlign w:val="center"/>
          </w:tcPr>
          <w:p>
            <w:pPr>
              <w:pStyle w:val="120"/>
              <w:bidi w:val="0"/>
              <w:rPr>
                <w:rFonts w:hint="default" w:eastAsia="宋体"/>
                <w:u w:val="single"/>
                <w:lang w:val="en-US" w:eastAsia="zh-CN"/>
              </w:rPr>
            </w:pPr>
            <w:r>
              <w:rPr>
                <w:u w:val="single"/>
              </w:rPr>
              <w:t>≤</w:t>
            </w:r>
            <w:r>
              <w:rPr>
                <w:rFonts w:hint="eastAsia"/>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482" w:type="pct"/>
            <w:noWrap w:val="0"/>
            <w:vAlign w:val="center"/>
          </w:tcPr>
          <w:p>
            <w:pPr>
              <w:pStyle w:val="120"/>
              <w:bidi w:val="0"/>
              <w:rPr>
                <w:u w:val="single"/>
              </w:rPr>
            </w:pPr>
            <w:r>
              <w:rPr>
                <w:u w:val="single"/>
              </w:rPr>
              <w:t>出水水质</w:t>
            </w:r>
          </w:p>
        </w:tc>
        <w:tc>
          <w:tcPr>
            <w:tcW w:w="501" w:type="pct"/>
            <w:noWrap w:val="0"/>
            <w:vAlign w:val="center"/>
          </w:tcPr>
          <w:p>
            <w:pPr>
              <w:pStyle w:val="120"/>
              <w:bidi w:val="0"/>
              <w:rPr>
                <w:rFonts w:hint="default"/>
                <w:u w:val="single"/>
                <w:lang w:val="en-US"/>
              </w:rPr>
            </w:pPr>
            <w:r>
              <w:rPr>
                <w:u w:val="single"/>
              </w:rPr>
              <w:t>≤</w:t>
            </w:r>
            <w:r>
              <w:rPr>
                <w:rFonts w:hint="eastAsia"/>
                <w:u w:val="single"/>
                <w:lang w:val="en-US"/>
              </w:rPr>
              <w:t>50</w:t>
            </w:r>
          </w:p>
        </w:tc>
        <w:tc>
          <w:tcPr>
            <w:tcW w:w="503" w:type="pct"/>
            <w:noWrap w:val="0"/>
            <w:vAlign w:val="center"/>
          </w:tcPr>
          <w:p>
            <w:pPr>
              <w:pStyle w:val="120"/>
              <w:bidi w:val="0"/>
              <w:rPr>
                <w:u w:val="single"/>
              </w:rPr>
            </w:pPr>
            <w:r>
              <w:rPr>
                <w:u w:val="single"/>
              </w:rPr>
              <w:t>≤10</w:t>
            </w:r>
          </w:p>
        </w:tc>
        <w:tc>
          <w:tcPr>
            <w:tcW w:w="502" w:type="pct"/>
            <w:noWrap w:val="0"/>
            <w:vAlign w:val="center"/>
          </w:tcPr>
          <w:p>
            <w:pPr>
              <w:pStyle w:val="120"/>
              <w:bidi w:val="0"/>
              <w:rPr>
                <w:u w:val="single"/>
              </w:rPr>
            </w:pPr>
            <w:r>
              <w:rPr>
                <w:u w:val="single"/>
              </w:rPr>
              <w:t>≤10</w:t>
            </w:r>
          </w:p>
        </w:tc>
        <w:tc>
          <w:tcPr>
            <w:tcW w:w="502" w:type="pct"/>
            <w:noWrap w:val="0"/>
            <w:vAlign w:val="center"/>
          </w:tcPr>
          <w:p>
            <w:pPr>
              <w:pStyle w:val="120"/>
              <w:bidi w:val="0"/>
              <w:rPr>
                <w:u w:val="single"/>
              </w:rPr>
            </w:pPr>
            <w:r>
              <w:rPr>
                <w:u w:val="single"/>
              </w:rPr>
              <w:t>≤15</w:t>
            </w:r>
          </w:p>
        </w:tc>
        <w:tc>
          <w:tcPr>
            <w:tcW w:w="503" w:type="pct"/>
            <w:noWrap w:val="0"/>
            <w:vAlign w:val="center"/>
          </w:tcPr>
          <w:p>
            <w:pPr>
              <w:pStyle w:val="120"/>
              <w:bidi w:val="0"/>
              <w:rPr>
                <w:u w:val="single"/>
              </w:rPr>
            </w:pPr>
            <w:r>
              <w:rPr>
                <w:u w:val="single"/>
              </w:rPr>
              <w:t>≤</w:t>
            </w:r>
            <w:r>
              <w:rPr>
                <w:rFonts w:hint="eastAsia"/>
                <w:u w:val="single"/>
                <w:lang w:val="en-US"/>
              </w:rPr>
              <w:t>5</w:t>
            </w:r>
          </w:p>
        </w:tc>
        <w:tc>
          <w:tcPr>
            <w:tcW w:w="500" w:type="pct"/>
            <w:noWrap w:val="0"/>
            <w:vAlign w:val="center"/>
          </w:tcPr>
          <w:p>
            <w:pPr>
              <w:pStyle w:val="120"/>
              <w:bidi w:val="0"/>
              <w:rPr>
                <w:u w:val="single"/>
              </w:rPr>
            </w:pPr>
            <w:r>
              <w:rPr>
                <w:u w:val="single"/>
              </w:rPr>
              <w:t>≤0.5</w:t>
            </w:r>
          </w:p>
        </w:tc>
        <w:tc>
          <w:tcPr>
            <w:tcW w:w="500" w:type="pct"/>
            <w:noWrap w:val="0"/>
            <w:vAlign w:val="center"/>
          </w:tcPr>
          <w:p>
            <w:pPr>
              <w:pStyle w:val="120"/>
              <w:bidi w:val="0"/>
              <w:rPr>
                <w:rFonts w:hint="default"/>
                <w:u w:val="single"/>
                <w:lang w:val="en-US"/>
              </w:rPr>
            </w:pPr>
            <w:r>
              <w:rPr>
                <w:u w:val="single"/>
              </w:rPr>
              <w:t>≤</w:t>
            </w:r>
            <w:r>
              <w:rPr>
                <w:rFonts w:hint="eastAsia"/>
                <w:u w:val="single"/>
                <w:lang w:val="en-US"/>
              </w:rPr>
              <w:t>1000</w:t>
            </w:r>
          </w:p>
        </w:tc>
        <w:tc>
          <w:tcPr>
            <w:tcW w:w="500" w:type="pct"/>
            <w:noWrap w:val="0"/>
            <w:vAlign w:val="center"/>
          </w:tcPr>
          <w:p>
            <w:pPr>
              <w:pStyle w:val="120"/>
              <w:bidi w:val="0"/>
              <w:rPr>
                <w:rFonts w:hint="eastAsia" w:eastAsia="宋体"/>
                <w:u w:val="single"/>
                <w:lang w:val="en-US" w:eastAsia="zh-CN"/>
              </w:rPr>
            </w:pPr>
            <w:r>
              <w:rPr>
                <w:u w:val="single"/>
              </w:rPr>
              <w:t>≤</w:t>
            </w:r>
            <w:r>
              <w:rPr>
                <w:rFonts w:hint="eastAsia"/>
                <w:u w:val="single"/>
                <w:lang w:val="en-US" w:eastAsia="zh-CN"/>
              </w:rPr>
              <w:t>1</w:t>
            </w:r>
          </w:p>
        </w:tc>
        <w:tc>
          <w:tcPr>
            <w:tcW w:w="500" w:type="pct"/>
            <w:noWrap w:val="0"/>
            <w:vAlign w:val="center"/>
          </w:tcPr>
          <w:p>
            <w:pPr>
              <w:pStyle w:val="120"/>
              <w:bidi w:val="0"/>
              <w:rPr>
                <w:rFonts w:hint="eastAsia" w:eastAsia="宋体"/>
                <w:u w:val="single"/>
                <w:lang w:val="en-US" w:eastAsia="zh-CN"/>
              </w:rPr>
            </w:pPr>
            <w:r>
              <w:rPr>
                <w:u w:val="single"/>
              </w:rPr>
              <w:t>≤</w:t>
            </w:r>
            <w:r>
              <w:rPr>
                <w:rFonts w:hint="eastAsia"/>
                <w:u w:val="singl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482" w:type="pct"/>
            <w:noWrap w:val="0"/>
            <w:vAlign w:val="center"/>
          </w:tcPr>
          <w:p>
            <w:pPr>
              <w:pStyle w:val="120"/>
              <w:bidi w:val="0"/>
              <w:rPr>
                <w:u w:val="single"/>
              </w:rPr>
            </w:pPr>
            <w:r>
              <w:rPr>
                <w:u w:val="single"/>
              </w:rPr>
              <w:t>去除率</w:t>
            </w:r>
          </w:p>
        </w:tc>
        <w:tc>
          <w:tcPr>
            <w:tcW w:w="501" w:type="pct"/>
            <w:noWrap w:val="0"/>
            <w:vAlign w:val="center"/>
          </w:tcPr>
          <w:p>
            <w:pPr>
              <w:pStyle w:val="120"/>
              <w:bidi w:val="0"/>
              <w:rPr>
                <w:u w:val="single"/>
              </w:rPr>
            </w:pPr>
            <w:r>
              <w:rPr>
                <w:u w:val="single"/>
              </w:rPr>
              <w:t>≥</w:t>
            </w:r>
            <w:r>
              <w:rPr>
                <w:rFonts w:hint="eastAsia"/>
                <w:u w:val="single"/>
                <w:lang w:val="en-US"/>
              </w:rPr>
              <w:t>90</w:t>
            </w:r>
            <w:r>
              <w:rPr>
                <w:u w:val="single"/>
              </w:rPr>
              <w:t>%</w:t>
            </w:r>
          </w:p>
        </w:tc>
        <w:tc>
          <w:tcPr>
            <w:tcW w:w="503" w:type="pct"/>
            <w:noWrap w:val="0"/>
            <w:vAlign w:val="center"/>
          </w:tcPr>
          <w:p>
            <w:pPr>
              <w:pStyle w:val="120"/>
              <w:bidi w:val="0"/>
              <w:rPr>
                <w:u w:val="single"/>
              </w:rPr>
            </w:pPr>
            <w:r>
              <w:rPr>
                <w:u w:val="single"/>
              </w:rPr>
              <w:t>≥</w:t>
            </w:r>
            <w:r>
              <w:rPr>
                <w:rFonts w:hint="eastAsia"/>
                <w:u w:val="single"/>
                <w:lang w:val="en-US"/>
              </w:rPr>
              <w:t>96.67</w:t>
            </w:r>
            <w:r>
              <w:rPr>
                <w:u w:val="single"/>
              </w:rPr>
              <w:t>%</w:t>
            </w:r>
          </w:p>
        </w:tc>
        <w:tc>
          <w:tcPr>
            <w:tcW w:w="502" w:type="pct"/>
            <w:noWrap w:val="0"/>
            <w:vAlign w:val="center"/>
          </w:tcPr>
          <w:p>
            <w:pPr>
              <w:pStyle w:val="120"/>
              <w:bidi w:val="0"/>
              <w:rPr>
                <w:u w:val="single"/>
              </w:rPr>
            </w:pPr>
            <w:r>
              <w:rPr>
                <w:u w:val="single"/>
              </w:rPr>
              <w:t>≥</w:t>
            </w:r>
            <w:r>
              <w:rPr>
                <w:rFonts w:hint="eastAsia"/>
                <w:u w:val="single"/>
                <w:lang w:val="en-US"/>
              </w:rPr>
              <w:t>97.53</w:t>
            </w:r>
            <w:r>
              <w:rPr>
                <w:u w:val="single"/>
              </w:rPr>
              <w:t>%</w:t>
            </w:r>
          </w:p>
        </w:tc>
        <w:tc>
          <w:tcPr>
            <w:tcW w:w="502" w:type="pct"/>
            <w:noWrap w:val="0"/>
            <w:vAlign w:val="center"/>
          </w:tcPr>
          <w:p>
            <w:pPr>
              <w:pStyle w:val="120"/>
              <w:bidi w:val="0"/>
              <w:rPr>
                <w:u w:val="single"/>
              </w:rPr>
            </w:pPr>
            <w:r>
              <w:rPr>
                <w:u w:val="single"/>
              </w:rPr>
              <w:t>≥</w:t>
            </w:r>
            <w:r>
              <w:rPr>
                <w:rFonts w:hint="eastAsia"/>
                <w:u w:val="single"/>
                <w:lang w:val="en-US"/>
              </w:rPr>
              <w:t>66.67</w:t>
            </w:r>
            <w:r>
              <w:rPr>
                <w:u w:val="single"/>
              </w:rPr>
              <w:t>%</w:t>
            </w:r>
          </w:p>
        </w:tc>
        <w:tc>
          <w:tcPr>
            <w:tcW w:w="503" w:type="pct"/>
            <w:noWrap w:val="0"/>
            <w:vAlign w:val="center"/>
          </w:tcPr>
          <w:p>
            <w:pPr>
              <w:pStyle w:val="120"/>
              <w:bidi w:val="0"/>
              <w:rPr>
                <w:rFonts w:hint="default"/>
                <w:u w:val="single"/>
                <w:lang w:val="en-US"/>
              </w:rPr>
            </w:pPr>
            <w:r>
              <w:rPr>
                <w:u w:val="single"/>
              </w:rPr>
              <w:t>≥</w:t>
            </w:r>
            <w:r>
              <w:rPr>
                <w:rFonts w:hint="eastAsia"/>
                <w:u w:val="single"/>
                <w:lang w:val="en-US"/>
              </w:rPr>
              <w:t>80</w:t>
            </w:r>
            <w:r>
              <w:rPr>
                <w:u w:val="single"/>
              </w:rPr>
              <w:t>%</w:t>
            </w:r>
          </w:p>
        </w:tc>
        <w:tc>
          <w:tcPr>
            <w:tcW w:w="500" w:type="pct"/>
            <w:noWrap w:val="0"/>
            <w:vAlign w:val="center"/>
          </w:tcPr>
          <w:p>
            <w:pPr>
              <w:pStyle w:val="120"/>
              <w:bidi w:val="0"/>
              <w:rPr>
                <w:u w:val="single"/>
              </w:rPr>
            </w:pPr>
            <w:r>
              <w:rPr>
                <w:u w:val="single"/>
              </w:rPr>
              <w:t>≥</w:t>
            </w:r>
            <w:r>
              <w:rPr>
                <w:rFonts w:hint="eastAsia"/>
                <w:u w:val="single"/>
                <w:lang w:val="en-US"/>
              </w:rPr>
              <w:t>90</w:t>
            </w:r>
            <w:r>
              <w:rPr>
                <w:u w:val="single"/>
              </w:rPr>
              <w:t>%</w:t>
            </w:r>
          </w:p>
        </w:tc>
        <w:tc>
          <w:tcPr>
            <w:tcW w:w="500" w:type="pct"/>
            <w:noWrap w:val="0"/>
            <w:vAlign w:val="center"/>
          </w:tcPr>
          <w:p>
            <w:pPr>
              <w:pStyle w:val="120"/>
              <w:bidi w:val="0"/>
              <w:rPr>
                <w:u w:val="single"/>
              </w:rPr>
            </w:pPr>
            <w:r>
              <w:rPr>
                <w:rFonts w:hint="eastAsia"/>
                <w:u w:val="single"/>
                <w:lang w:val="en-US"/>
              </w:rPr>
              <w:t>-</w:t>
            </w:r>
          </w:p>
        </w:tc>
        <w:tc>
          <w:tcPr>
            <w:tcW w:w="500" w:type="pct"/>
            <w:noWrap w:val="0"/>
            <w:vAlign w:val="center"/>
          </w:tcPr>
          <w:p>
            <w:pPr>
              <w:pStyle w:val="120"/>
              <w:bidi w:val="0"/>
              <w:rPr>
                <w:rFonts w:hint="default" w:eastAsia="宋体"/>
                <w:u w:val="single"/>
                <w:lang w:val="en-US" w:eastAsia="zh-CN"/>
              </w:rPr>
            </w:pPr>
            <w:r>
              <w:rPr>
                <w:u w:val="single"/>
              </w:rPr>
              <w:t>≤</w:t>
            </w:r>
            <w:r>
              <w:rPr>
                <w:rFonts w:hint="eastAsia"/>
                <w:u w:val="single"/>
                <w:lang w:val="en-US" w:eastAsia="zh-CN"/>
              </w:rPr>
              <w:t>99</w:t>
            </w:r>
            <w:r>
              <w:rPr>
                <w:u w:val="single"/>
              </w:rPr>
              <w:t>%</w:t>
            </w:r>
          </w:p>
        </w:tc>
        <w:tc>
          <w:tcPr>
            <w:tcW w:w="500" w:type="pct"/>
            <w:noWrap w:val="0"/>
            <w:vAlign w:val="center"/>
          </w:tcPr>
          <w:p>
            <w:pPr>
              <w:pStyle w:val="120"/>
              <w:bidi w:val="0"/>
              <w:rPr>
                <w:rFonts w:hint="default" w:eastAsia="宋体"/>
                <w:u w:val="single"/>
                <w:lang w:val="en-US" w:eastAsia="zh-CN"/>
              </w:rPr>
            </w:pPr>
            <w:r>
              <w:rPr>
                <w:u w:val="single"/>
              </w:rPr>
              <w:t>≤</w:t>
            </w:r>
            <w:r>
              <w:rPr>
                <w:rFonts w:hint="eastAsia"/>
                <w:u w:val="single"/>
                <w:lang w:val="en-US" w:eastAsia="zh-CN"/>
              </w:rPr>
              <w:t>95</w:t>
            </w:r>
            <w:r>
              <w:rPr>
                <w:u w:val="single"/>
              </w:rPr>
              <w:t>%</w:t>
            </w:r>
          </w:p>
        </w:tc>
      </w:tr>
    </w:tbl>
    <w:p>
      <w:pPr>
        <w:pStyle w:val="6"/>
        <w:bidi w:val="0"/>
        <w:rPr>
          <w:rFonts w:hint="eastAsia"/>
          <w:u w:val="single"/>
        </w:rPr>
      </w:pPr>
      <w:r>
        <w:rPr>
          <w:rFonts w:hint="eastAsia"/>
          <w:u w:val="single"/>
        </w:rPr>
        <w:t>2.</w:t>
      </w:r>
      <w:r>
        <w:rPr>
          <w:u w:val="single"/>
        </w:rPr>
        <w:t>1</w:t>
      </w:r>
      <w:r>
        <w:rPr>
          <w:rFonts w:hint="eastAsia"/>
          <w:u w:val="single"/>
        </w:rPr>
        <w:t>.7配套管网</w:t>
      </w:r>
      <w:bookmarkEnd w:id="156"/>
      <w:bookmarkEnd w:id="157"/>
      <w:bookmarkEnd w:id="158"/>
    </w:p>
    <w:p>
      <w:pPr>
        <w:pStyle w:val="69"/>
        <w:rPr>
          <w:color w:val="auto"/>
          <w:u w:val="single"/>
        </w:rPr>
      </w:pPr>
      <w:r>
        <w:rPr>
          <w:rFonts w:hint="eastAsia"/>
          <w:color w:val="auto"/>
          <w:u w:val="single"/>
        </w:rPr>
        <w:t>2</w:t>
      </w:r>
      <w:r>
        <w:rPr>
          <w:color w:val="auto"/>
          <w:u w:val="single"/>
        </w:rPr>
        <w:t>.1.7.1管道基础结构设计</w:t>
      </w:r>
    </w:p>
    <w:p>
      <w:pPr>
        <w:ind w:firstLine="480"/>
        <w:rPr>
          <w:color w:val="auto"/>
          <w:u w:val="single"/>
        </w:rPr>
      </w:pPr>
      <w:r>
        <w:rPr>
          <w:rFonts w:hint="eastAsia"/>
          <w:color w:val="auto"/>
          <w:u w:val="single"/>
          <w:lang w:val="zh-CN" w:bidi="zh-CN"/>
        </w:rPr>
        <w:t>（1）</w:t>
      </w:r>
      <w:r>
        <w:rPr>
          <w:rFonts w:hint="eastAsia"/>
          <w:color w:val="auto"/>
          <w:u w:val="single"/>
        </w:rPr>
        <w:t>排水制度</w:t>
      </w:r>
    </w:p>
    <w:p>
      <w:pPr>
        <w:ind w:firstLine="480"/>
        <w:jc w:val="both"/>
        <w:rPr>
          <w:color w:val="auto"/>
          <w:u w:val="single"/>
          <w:lang w:val="zh-CN" w:bidi="zh-CN"/>
        </w:rPr>
      </w:pPr>
      <w:r>
        <w:rPr>
          <w:rFonts w:hint="eastAsia"/>
          <w:color w:val="auto"/>
          <w:u w:val="single"/>
          <w:lang w:eastAsia="zh-CN"/>
        </w:rPr>
        <w:t>永顺经济开发区猛洞河产业园</w:t>
      </w:r>
      <w:r>
        <w:rPr>
          <w:rFonts w:hint="eastAsia"/>
          <w:color w:val="auto"/>
          <w:u w:val="single"/>
        </w:rPr>
        <w:t>采用</w:t>
      </w:r>
      <w:r>
        <w:rPr>
          <w:color w:val="auto"/>
          <w:u w:val="single"/>
        </w:rPr>
        <w:t>雨污分流</w:t>
      </w:r>
      <w:r>
        <w:rPr>
          <w:rFonts w:hint="eastAsia"/>
          <w:color w:val="auto"/>
          <w:u w:val="single"/>
        </w:rPr>
        <w:t>制度。</w:t>
      </w:r>
    </w:p>
    <w:p>
      <w:pPr>
        <w:ind w:firstLine="480"/>
        <w:jc w:val="both"/>
        <w:rPr>
          <w:color w:val="auto"/>
          <w:u w:val="single"/>
          <w:lang w:val="zh-CN" w:bidi="zh-CN"/>
        </w:rPr>
      </w:pPr>
      <w:r>
        <w:rPr>
          <w:rFonts w:hint="eastAsia"/>
          <w:color w:val="auto"/>
          <w:u w:val="single"/>
          <w:lang w:val="zh-CN" w:bidi="zh-CN"/>
        </w:rPr>
        <w:t>（2）</w:t>
      </w:r>
      <w:r>
        <w:rPr>
          <w:color w:val="auto"/>
          <w:u w:val="single"/>
          <w:lang w:val="zh-CN" w:bidi="zh-CN"/>
        </w:rPr>
        <w:t>管道工程材料</w:t>
      </w:r>
    </w:p>
    <w:p>
      <w:pPr>
        <w:ind w:firstLine="480"/>
        <w:jc w:val="both"/>
        <w:rPr>
          <w:color w:val="auto"/>
          <w:u w:val="single"/>
          <w:lang w:val="zh-CN" w:bidi="zh-CN"/>
        </w:rPr>
      </w:pPr>
      <w:r>
        <w:rPr>
          <w:rFonts w:hint="eastAsia"/>
          <w:color w:val="auto"/>
          <w:u w:val="single"/>
          <w:lang w:val="zh-CN" w:bidi="zh-CN"/>
        </w:rPr>
        <w:t>室外排水管采用</w:t>
      </w:r>
      <w:r>
        <w:rPr>
          <w:rFonts w:hint="eastAsia"/>
          <w:color w:val="auto"/>
          <w:u w:val="single"/>
          <w:lang w:val="en-US" w:bidi="zh-CN"/>
        </w:rPr>
        <w:t>HDPE双壁波纹管</w:t>
      </w:r>
      <w:r>
        <w:rPr>
          <w:color w:val="auto"/>
          <w:u w:val="single"/>
          <w:lang w:val="zh-CN" w:bidi="zh-CN"/>
        </w:rPr>
        <w:t>。</w:t>
      </w:r>
    </w:p>
    <w:p>
      <w:pPr>
        <w:ind w:firstLine="480"/>
        <w:jc w:val="both"/>
        <w:rPr>
          <w:color w:val="auto"/>
          <w:u w:val="single"/>
          <w:lang w:val="zh-CN" w:bidi="zh-CN"/>
        </w:rPr>
      </w:pPr>
      <w:r>
        <w:rPr>
          <w:rFonts w:hint="eastAsia"/>
          <w:color w:val="auto"/>
          <w:u w:val="single"/>
          <w:lang w:val="zh-CN" w:bidi="zh-CN"/>
        </w:rPr>
        <w:t>（</w:t>
      </w:r>
      <w:r>
        <w:rPr>
          <w:color w:val="auto"/>
          <w:u w:val="single"/>
          <w:lang w:val="zh-CN" w:bidi="zh-CN"/>
        </w:rPr>
        <w:t>3</w:t>
      </w:r>
      <w:r>
        <w:rPr>
          <w:rFonts w:hint="eastAsia"/>
          <w:color w:val="auto"/>
          <w:u w:val="single"/>
          <w:lang w:val="zh-CN" w:bidi="zh-CN"/>
        </w:rPr>
        <w:t>）</w:t>
      </w:r>
      <w:r>
        <w:rPr>
          <w:color w:val="auto"/>
          <w:u w:val="single"/>
          <w:lang w:val="zh-CN" w:bidi="zh-CN"/>
        </w:rPr>
        <w:t>开挖沟槽</w:t>
      </w:r>
    </w:p>
    <w:p>
      <w:pPr>
        <w:ind w:firstLine="480"/>
        <w:jc w:val="both"/>
        <w:rPr>
          <w:color w:val="auto"/>
          <w:u w:val="single"/>
          <w:lang w:val="zh-CN" w:bidi="zh-CN"/>
        </w:rPr>
      </w:pPr>
      <w:r>
        <w:rPr>
          <w:rFonts w:hint="eastAsia" w:cs="宋体"/>
          <w:color w:val="auto"/>
          <w:u w:val="single"/>
          <w:lang w:val="zh-CN" w:bidi="zh-CN"/>
        </w:rPr>
        <w:t>①</w:t>
      </w:r>
      <w:r>
        <w:rPr>
          <w:rFonts w:hint="eastAsia"/>
          <w:color w:val="auto"/>
          <w:u w:val="single"/>
          <w:lang w:val="zh-CN" w:bidi="zh-CN"/>
        </w:rPr>
        <w:t>根据《永顺县猛洞河污水处理厂排水设计说明》</w:t>
      </w:r>
      <w:r>
        <w:rPr>
          <w:color w:val="auto"/>
          <w:u w:val="single"/>
          <w:lang w:val="zh-CN" w:bidi="zh-CN"/>
        </w:rPr>
        <w:t>。</w:t>
      </w:r>
      <w:r>
        <w:rPr>
          <w:rFonts w:hint="eastAsia"/>
          <w:color w:val="auto"/>
          <w:u w:val="single"/>
          <w:lang w:val="zh-CN" w:bidi="zh-CN"/>
        </w:rPr>
        <w:t>本项目管道开挖选择</w:t>
      </w:r>
      <w:r>
        <w:rPr>
          <w:color w:val="auto"/>
          <w:u w:val="single"/>
          <w:lang w:val="zh-CN" w:bidi="zh-CN"/>
        </w:rPr>
        <w:t>大开槽式</w:t>
      </w:r>
      <w:r>
        <w:rPr>
          <w:rFonts w:hint="eastAsia"/>
          <w:color w:val="auto"/>
          <w:u w:val="single"/>
          <w:lang w:val="zh-CN" w:bidi="zh-CN"/>
        </w:rPr>
        <w:t>，如下图</w:t>
      </w:r>
      <w:r>
        <w:rPr>
          <w:color w:val="auto"/>
          <w:u w:val="single"/>
          <w:lang w:val="zh-CN" w:bidi="zh-CN"/>
        </w:rPr>
        <w:t>。</w:t>
      </w:r>
    </w:p>
    <w:p>
      <w:pPr>
        <w:ind w:firstLine="480"/>
        <w:jc w:val="center"/>
        <w:rPr>
          <w:rFonts w:cs="宋体"/>
          <w:color w:val="auto"/>
          <w:kern w:val="0"/>
          <w:sz w:val="8"/>
          <w:u w:val="single"/>
          <w:lang w:val="zh-CN" w:bidi="zh-CN"/>
        </w:rPr>
      </w:pPr>
      <w:r>
        <w:rPr>
          <w:rFonts w:cs="宋体"/>
          <w:color w:val="auto"/>
          <w:kern w:val="0"/>
          <w:sz w:val="20"/>
          <w:u w:val="single"/>
          <w:lang w:val="zh-CN" w:bidi="zh-CN"/>
        </w:rPr>
        <w:drawing>
          <wp:inline distT="0" distB="0" distL="114300" distR="114300">
            <wp:extent cx="2383790" cy="782955"/>
            <wp:effectExtent l="0" t="0" r="8890" b="9525"/>
            <wp:docPr id="1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a:picLocks noChangeAspect="1"/>
                    </pic:cNvPicPr>
                  </pic:nvPicPr>
                  <pic:blipFill>
                    <a:blip r:embed="rId28"/>
                    <a:srcRect l="27774" r="29318"/>
                    <a:stretch>
                      <a:fillRect/>
                    </a:stretch>
                  </pic:blipFill>
                  <pic:spPr>
                    <a:xfrm>
                      <a:off x="0" y="0"/>
                      <a:ext cx="2383790" cy="782955"/>
                    </a:xfrm>
                    <a:prstGeom prst="rect">
                      <a:avLst/>
                    </a:prstGeom>
                    <a:noFill/>
                    <a:ln>
                      <a:noFill/>
                    </a:ln>
                  </pic:spPr>
                </pic:pic>
              </a:graphicData>
            </a:graphic>
          </wp:inline>
        </w:drawing>
      </w:r>
    </w:p>
    <w:p>
      <w:pPr>
        <w:pStyle w:val="103"/>
        <w:rPr>
          <w:color w:val="auto"/>
          <w:u w:val="single"/>
          <w:lang w:val="zh-CN" w:bidi="zh-CN"/>
        </w:rPr>
      </w:pPr>
      <w:r>
        <w:rPr>
          <w:color w:val="auto"/>
          <w:u w:val="single"/>
          <w:lang w:val="zh-CN" w:bidi="zh-CN"/>
        </w:rPr>
        <w:t>图</w:t>
      </w:r>
      <w:r>
        <w:rPr>
          <w:rFonts w:eastAsia="等线"/>
          <w:color w:val="auto"/>
          <w:u w:val="single"/>
          <w:lang w:val="zh-CN" w:bidi="zh-CN"/>
        </w:rPr>
        <w:t>2.1-1</w:t>
      </w:r>
      <w:r>
        <w:rPr>
          <w:rFonts w:eastAsia="Arial"/>
          <w:color w:val="auto"/>
          <w:u w:val="single"/>
          <w:lang w:val="zh-CN" w:bidi="zh-CN"/>
        </w:rPr>
        <w:t xml:space="preserve"> </w:t>
      </w:r>
      <w:r>
        <w:rPr>
          <w:color w:val="auto"/>
          <w:u w:val="single"/>
          <w:lang w:val="zh-CN" w:bidi="zh-CN"/>
        </w:rPr>
        <w:t>大开槽式</w:t>
      </w:r>
    </w:p>
    <w:p>
      <w:pPr>
        <w:ind w:firstLine="468"/>
        <w:jc w:val="both"/>
        <w:rPr>
          <w:color w:val="auto"/>
          <w:u w:val="single"/>
          <w:lang w:val="zh-CN" w:bidi="zh-CN"/>
        </w:rPr>
      </w:pPr>
      <w:r>
        <w:rPr>
          <w:rFonts w:hint="eastAsia" w:cs="宋体"/>
          <w:color w:val="auto"/>
          <w:spacing w:val="-3"/>
          <w:u w:val="single"/>
          <w:lang w:val="zh-CN" w:bidi="zh-CN"/>
        </w:rPr>
        <w:t>②</w:t>
      </w:r>
      <w:r>
        <w:rPr>
          <w:color w:val="auto"/>
          <w:spacing w:val="-3"/>
          <w:u w:val="single"/>
          <w:lang w:val="zh-CN" w:bidi="zh-CN"/>
        </w:rPr>
        <w:t xml:space="preserve">沟槽开挖可以用机械或人工开挖，挖土方时槽底需留 </w:t>
      </w:r>
      <w:r>
        <w:rPr>
          <w:rFonts w:eastAsia="Arial"/>
          <w:color w:val="auto"/>
          <w:u w:val="single"/>
          <w:lang w:val="zh-CN" w:bidi="zh-CN"/>
        </w:rPr>
        <w:t xml:space="preserve">200 </w:t>
      </w:r>
      <w:r>
        <w:rPr>
          <w:color w:val="auto"/>
          <w:spacing w:val="-2"/>
          <w:u w:val="single"/>
          <w:lang w:val="zh-CN" w:bidi="zh-CN"/>
        </w:rPr>
        <w:t>厚的土层，在铺管子</w:t>
      </w:r>
      <w:r>
        <w:rPr>
          <w:color w:val="auto"/>
          <w:u w:val="single"/>
          <w:lang w:val="zh-CN" w:bidi="zh-CN"/>
        </w:rPr>
        <w:t>或铺筑管基前，由人工清除整平。严禁扰动槽底土壤，如发生超挖，严禁用土回填，可采用天然级配的砂石或卵石回填。</w:t>
      </w:r>
    </w:p>
    <w:p>
      <w:pPr>
        <w:ind w:firstLine="480"/>
        <w:jc w:val="both"/>
        <w:rPr>
          <w:color w:val="auto"/>
          <w:u w:val="single"/>
          <w:lang w:val="zh-CN" w:bidi="zh-CN"/>
        </w:rPr>
      </w:pPr>
      <w:r>
        <w:rPr>
          <w:rFonts w:hint="eastAsia" w:cs="宋体"/>
          <w:color w:val="auto"/>
          <w:u w:val="single"/>
          <w:lang w:val="zh-CN" w:bidi="zh-CN"/>
        </w:rPr>
        <w:t>③</w:t>
      </w:r>
      <w:r>
        <w:rPr>
          <w:color w:val="auto"/>
          <w:u w:val="single"/>
          <w:lang w:val="zh-CN" w:bidi="zh-CN"/>
        </w:rPr>
        <w:t>槽底不得受水浸泡，当沟槽位于地下水位以下时，要做好井点排水工作。</w:t>
      </w:r>
    </w:p>
    <w:p>
      <w:pPr>
        <w:ind w:firstLine="480"/>
        <w:rPr>
          <w:color w:val="auto"/>
          <w:u w:val="single"/>
          <w:lang w:val="zh-CN" w:bidi="zh-CN"/>
        </w:rPr>
      </w:pPr>
      <w:r>
        <w:rPr>
          <w:rFonts w:hint="eastAsia"/>
          <w:color w:val="auto"/>
          <w:u w:val="single"/>
          <w:lang w:val="zh-CN" w:bidi="zh-CN"/>
        </w:rPr>
        <w:t>（</w:t>
      </w:r>
      <w:r>
        <w:rPr>
          <w:color w:val="auto"/>
          <w:u w:val="single"/>
          <w:lang w:val="zh-CN" w:bidi="zh-CN"/>
        </w:rPr>
        <w:t>4</w:t>
      </w:r>
      <w:r>
        <w:rPr>
          <w:rFonts w:hint="eastAsia"/>
          <w:color w:val="auto"/>
          <w:u w:val="single"/>
          <w:lang w:val="zh-CN" w:bidi="zh-CN"/>
        </w:rPr>
        <w:t>）</w:t>
      </w:r>
      <w:r>
        <w:rPr>
          <w:color w:val="auto"/>
          <w:u w:val="single"/>
          <w:lang w:val="zh-CN" w:bidi="zh-CN"/>
        </w:rPr>
        <w:t>管道基础（</w:t>
      </w:r>
      <w:r>
        <w:rPr>
          <w:rFonts w:eastAsia="Arial"/>
          <w:color w:val="auto"/>
          <w:u w:val="single"/>
          <w:lang w:val="zh-CN" w:bidi="zh-CN"/>
        </w:rPr>
        <w:t xml:space="preserve">HDPE </w:t>
      </w:r>
      <w:r>
        <w:rPr>
          <w:color w:val="auto"/>
          <w:u w:val="single"/>
          <w:lang w:val="zh-CN" w:bidi="zh-CN"/>
        </w:rPr>
        <w:t>管）</w:t>
      </w:r>
    </w:p>
    <w:p>
      <w:pPr>
        <w:ind w:firstLine="444"/>
        <w:jc w:val="both"/>
        <w:rPr>
          <w:color w:val="auto"/>
          <w:u w:val="single"/>
          <w:lang w:val="zh-CN" w:bidi="zh-CN"/>
        </w:rPr>
      </w:pPr>
      <w:r>
        <w:rPr>
          <w:rFonts w:hint="eastAsia"/>
          <w:color w:val="auto"/>
          <w:spacing w:val="-9"/>
          <w:u w:val="single"/>
          <w:lang w:val="zh-CN" w:bidi="zh-CN"/>
        </w:rPr>
        <w:t>①</w:t>
      </w:r>
      <w:r>
        <w:rPr>
          <w:color w:val="auto"/>
          <w:spacing w:val="-9"/>
          <w:u w:val="single"/>
          <w:lang w:val="zh-CN" w:bidi="zh-CN"/>
        </w:rPr>
        <w:t>当管基的持力层为粉质粘土层，粉土层及粉砂土层或卵石土层时，铺</w:t>
      </w:r>
      <w:r>
        <w:rPr>
          <w:rFonts w:eastAsia="Arial"/>
          <w:color w:val="auto"/>
          <w:u w:val="single"/>
          <w:lang w:val="zh-CN" w:bidi="zh-CN"/>
        </w:rPr>
        <w:t>200mm</w:t>
      </w:r>
      <w:r>
        <w:rPr>
          <w:color w:val="auto"/>
          <w:spacing w:val="-12"/>
          <w:u w:val="single"/>
          <w:lang w:val="zh-CN" w:bidi="zh-CN"/>
        </w:rPr>
        <w:t>厚</w:t>
      </w:r>
      <w:r>
        <w:rPr>
          <w:color w:val="auto"/>
          <w:u w:val="single"/>
          <w:lang w:val="zh-CN" w:bidi="zh-CN"/>
        </w:rPr>
        <w:t>中砂</w:t>
      </w:r>
      <w:r>
        <w:rPr>
          <w:rFonts w:hint="eastAsia" w:eastAsia="Arial"/>
          <w:color w:val="auto"/>
          <w:u w:val="single"/>
          <w:lang w:val="zh-CN" w:bidi="zh-CN"/>
        </w:rPr>
        <w:t>，</w:t>
      </w:r>
      <w:r>
        <w:rPr>
          <w:color w:val="auto"/>
          <w:u w:val="single"/>
          <w:lang w:val="zh-CN" w:bidi="zh-CN"/>
        </w:rPr>
        <w:t>管周按土回填要求进行分区回填。</w:t>
      </w:r>
    </w:p>
    <w:p>
      <w:pPr>
        <w:ind w:firstLine="480"/>
        <w:jc w:val="both"/>
        <w:rPr>
          <w:color w:val="auto"/>
          <w:u w:val="single"/>
          <w:lang w:val="zh-CN" w:bidi="zh-CN"/>
        </w:rPr>
      </w:pPr>
      <w:r>
        <w:rPr>
          <w:rFonts w:hint="eastAsia"/>
          <w:color w:val="auto"/>
          <w:u w:val="single"/>
          <w:lang w:val="zh-CN" w:bidi="zh-CN"/>
        </w:rPr>
        <w:t>②</w:t>
      </w:r>
      <w:r>
        <w:rPr>
          <w:color w:val="auto"/>
          <w:u w:val="single"/>
          <w:lang w:val="zh-CN" w:bidi="zh-CN"/>
        </w:rPr>
        <w:t>当管基的持力层为基岩层时，采用砂石基础，</w:t>
      </w:r>
      <w:r>
        <w:rPr>
          <w:color w:val="auto"/>
          <w:spacing w:val="-2"/>
          <w:u w:val="single"/>
          <w:lang w:val="zh-CN" w:bidi="zh-CN"/>
        </w:rPr>
        <w:t>要求将岩基基槽挖深</w:t>
      </w:r>
      <w:r>
        <w:rPr>
          <w:color w:val="auto"/>
          <w:u w:val="single"/>
          <w:lang w:val="zh-CN" w:bidi="zh-CN"/>
        </w:rPr>
        <w:t xml:space="preserve">最小 </w:t>
      </w:r>
      <w:r>
        <w:rPr>
          <w:rFonts w:eastAsia="Arial"/>
          <w:color w:val="auto"/>
          <w:u w:val="single"/>
          <w:lang w:val="zh-CN" w:bidi="zh-CN"/>
        </w:rPr>
        <w:t>200mm</w:t>
      </w:r>
      <w:r>
        <w:rPr>
          <w:color w:val="auto"/>
          <w:spacing w:val="-1"/>
          <w:u w:val="single"/>
          <w:lang w:val="zh-CN" w:bidi="zh-CN"/>
        </w:rPr>
        <w:t>，然后在槽内回填中、粗砂垫层</w:t>
      </w:r>
      <w:r>
        <w:rPr>
          <w:rFonts w:eastAsia="Arial"/>
          <w:color w:val="auto"/>
          <w:u w:val="single"/>
          <w:lang w:val="zh-CN" w:bidi="zh-CN"/>
        </w:rPr>
        <w:t>(</w:t>
      </w:r>
      <w:r>
        <w:rPr>
          <w:color w:val="auto"/>
          <w:spacing w:val="-2"/>
          <w:u w:val="single"/>
          <w:lang w:val="zh-CN" w:bidi="zh-CN"/>
        </w:rPr>
        <w:t xml:space="preserve">中、粗砂压实系数不小于 </w:t>
      </w:r>
      <w:r>
        <w:rPr>
          <w:rFonts w:eastAsia="Arial"/>
          <w:color w:val="auto"/>
          <w:u w:val="single"/>
          <w:lang w:val="zh-CN" w:bidi="zh-CN"/>
        </w:rPr>
        <w:t>0.95)</w:t>
      </w:r>
      <w:r>
        <w:rPr>
          <w:color w:val="auto"/>
          <w:spacing w:val="-3"/>
          <w:u w:val="single"/>
          <w:lang w:val="zh-CN" w:bidi="zh-CN"/>
        </w:rPr>
        <w:t>，回填砂</w:t>
      </w:r>
      <w:r>
        <w:rPr>
          <w:color w:val="auto"/>
          <w:u w:val="single"/>
          <w:lang w:val="zh-CN" w:bidi="zh-CN"/>
        </w:rPr>
        <w:t>石要求最终满足砂石基础要求。</w:t>
      </w:r>
    </w:p>
    <w:p>
      <w:pPr>
        <w:ind w:firstLine="480"/>
        <w:jc w:val="both"/>
        <w:rPr>
          <w:color w:val="auto"/>
          <w:u w:val="single"/>
          <w:lang w:val="zh-CN" w:bidi="zh-CN"/>
        </w:rPr>
      </w:pPr>
      <w:r>
        <w:rPr>
          <w:rFonts w:hint="eastAsia" w:cs="宋体"/>
          <w:color w:val="auto"/>
          <w:u w:val="single"/>
          <w:lang w:val="zh-CN" w:bidi="zh-CN"/>
        </w:rPr>
        <w:t>③</w:t>
      </w:r>
      <w:r>
        <w:rPr>
          <w:color w:val="auto"/>
          <w:u w:val="single"/>
          <w:lang w:val="zh-CN" w:bidi="zh-CN"/>
        </w:rPr>
        <w:t>当管基的持力层为人工杂填土层或人工素填土层时，要求基槽开挖到基槽以下</w:t>
      </w:r>
      <w:r>
        <w:rPr>
          <w:rFonts w:eastAsia="Arial"/>
          <w:color w:val="auto"/>
          <w:u w:val="single"/>
          <w:lang w:val="zh-CN" w:bidi="zh-CN"/>
        </w:rPr>
        <w:t xml:space="preserve">1000 </w:t>
      </w:r>
      <w:r>
        <w:rPr>
          <w:color w:val="auto"/>
          <w:u w:val="single"/>
          <w:lang w:val="zh-CN" w:bidi="zh-CN"/>
        </w:rPr>
        <w:t xml:space="preserve">后，采用砂石分层回填夯实至管底，压实系数不小于 </w:t>
      </w:r>
      <w:r>
        <w:rPr>
          <w:rFonts w:eastAsia="Arial"/>
          <w:color w:val="auto"/>
          <w:u w:val="single"/>
          <w:lang w:val="zh-CN" w:bidi="zh-CN"/>
        </w:rPr>
        <w:t>0.95</w:t>
      </w:r>
      <w:r>
        <w:rPr>
          <w:color w:val="auto"/>
          <w:u w:val="single"/>
          <w:lang w:val="zh-CN" w:bidi="zh-CN"/>
        </w:rPr>
        <w:t>。</w:t>
      </w:r>
    </w:p>
    <w:p>
      <w:pPr>
        <w:ind w:firstLine="480"/>
        <w:jc w:val="both"/>
        <w:rPr>
          <w:color w:val="auto"/>
          <w:u w:val="single"/>
          <w:lang w:val="zh-CN" w:bidi="zh-CN"/>
        </w:rPr>
      </w:pPr>
      <w:r>
        <w:rPr>
          <w:rFonts w:hint="eastAsia" w:cs="宋体"/>
          <w:color w:val="auto"/>
          <w:u w:val="single"/>
          <w:lang w:val="zh-CN" w:bidi="zh-CN"/>
        </w:rPr>
        <w:t>④</w:t>
      </w:r>
      <w:r>
        <w:rPr>
          <w:color w:val="auto"/>
          <w:u w:val="single"/>
          <w:lang w:val="zh-CN" w:bidi="zh-CN"/>
        </w:rPr>
        <w:t>当管基局部遇有软弱土层，流砂性土壤，有机土或体积含湿量变化的土壤时，应进一步深挖</w:t>
      </w:r>
      <w:r>
        <w:rPr>
          <w:rFonts w:hint="eastAsia" w:cs="宋体"/>
          <w:color w:val="auto"/>
          <w:u w:val="single"/>
          <w:lang w:val="zh-CN" w:bidi="zh-CN"/>
        </w:rPr>
        <w:t>，</w:t>
      </w:r>
      <w:r>
        <w:rPr>
          <w:color w:val="auto"/>
          <w:spacing w:val="-7"/>
          <w:u w:val="single"/>
          <w:lang w:val="zh-CN" w:bidi="zh-CN"/>
        </w:rPr>
        <w:t>以便能提供足够的稳固基础垫层。在施工中如已超挖，包括偶尔进行的必要超挖</w:t>
      </w:r>
      <w:r>
        <w:rPr>
          <w:rFonts w:hint="eastAsia" w:cs="宋体"/>
          <w:color w:val="auto"/>
          <w:spacing w:val="-7"/>
          <w:u w:val="single"/>
          <w:lang w:val="zh-CN" w:bidi="zh-CN"/>
        </w:rPr>
        <w:t>，</w:t>
      </w:r>
      <w:r>
        <w:rPr>
          <w:color w:val="auto"/>
          <w:spacing w:val="-9"/>
          <w:u w:val="single"/>
          <w:lang w:val="zh-CN" w:bidi="zh-CN"/>
        </w:rPr>
        <w:t xml:space="preserve">均采用砂卵石回填至管基底，回填砂卵石的压实系数要求不小于 </w:t>
      </w:r>
      <w:r>
        <w:rPr>
          <w:rFonts w:eastAsia="Arial"/>
          <w:color w:val="auto"/>
          <w:u w:val="single"/>
          <w:lang w:val="zh-CN" w:bidi="zh-CN"/>
        </w:rPr>
        <w:t>0.95</w:t>
      </w:r>
      <w:r>
        <w:rPr>
          <w:color w:val="auto"/>
          <w:u w:val="single"/>
          <w:lang w:val="zh-CN" w:bidi="zh-CN"/>
        </w:rPr>
        <w:t>。</w:t>
      </w:r>
    </w:p>
    <w:p>
      <w:pPr>
        <w:ind w:firstLine="480"/>
        <w:jc w:val="both"/>
        <w:rPr>
          <w:color w:val="auto"/>
          <w:u w:val="single"/>
          <w:lang w:val="zh-CN" w:bidi="zh-CN"/>
        </w:rPr>
      </w:pPr>
      <w:r>
        <w:rPr>
          <w:rFonts w:hint="eastAsia" w:cs="宋体"/>
          <w:color w:val="auto"/>
          <w:u w:val="single"/>
          <w:lang w:val="zh-CN" w:bidi="zh-CN"/>
        </w:rPr>
        <w:t>⑤</w:t>
      </w:r>
      <w:r>
        <w:rPr>
          <w:color w:val="auto"/>
          <w:u w:val="single"/>
          <w:lang w:val="zh-CN" w:bidi="zh-CN"/>
        </w:rPr>
        <w:t>在管沟底部有地下水或沟底土壤有流砂趋势时，要用适当的方法进行排水，直到管道安装完后，应及时检查验收并回填至设计的地面标高。</w:t>
      </w:r>
    </w:p>
    <w:p>
      <w:pPr>
        <w:ind w:firstLine="480"/>
        <w:jc w:val="both"/>
        <w:rPr>
          <w:color w:val="auto"/>
          <w:u w:val="single"/>
          <w:lang w:val="zh-CN" w:bidi="zh-CN"/>
        </w:rPr>
      </w:pPr>
      <w:r>
        <w:rPr>
          <w:rFonts w:hint="eastAsia"/>
          <w:color w:val="auto"/>
          <w:u w:val="single"/>
          <w:lang w:val="zh-CN" w:bidi="zh-CN"/>
        </w:rPr>
        <w:t>（</w:t>
      </w:r>
      <w:r>
        <w:rPr>
          <w:color w:val="auto"/>
          <w:u w:val="single"/>
          <w:lang w:val="zh-CN" w:bidi="zh-CN"/>
        </w:rPr>
        <w:t>5</w:t>
      </w:r>
      <w:r>
        <w:rPr>
          <w:rFonts w:hint="eastAsia"/>
          <w:color w:val="auto"/>
          <w:u w:val="single"/>
          <w:lang w:val="zh-CN" w:bidi="zh-CN"/>
        </w:rPr>
        <w:t>）</w:t>
      </w:r>
      <w:r>
        <w:rPr>
          <w:color w:val="auto"/>
          <w:u w:val="single"/>
          <w:lang w:val="zh-CN" w:bidi="zh-CN"/>
        </w:rPr>
        <w:t>回填</w:t>
      </w:r>
    </w:p>
    <w:p>
      <w:pPr>
        <w:tabs>
          <w:tab w:val="left" w:pos="7513"/>
        </w:tabs>
        <w:ind w:firstLine="464"/>
        <w:jc w:val="both"/>
        <w:rPr>
          <w:color w:val="auto"/>
          <w:u w:val="single"/>
          <w:lang w:val="zh-CN" w:bidi="zh-CN"/>
        </w:rPr>
      </w:pPr>
      <w:r>
        <w:rPr>
          <w:color w:val="auto"/>
          <w:spacing w:val="-4"/>
          <w:u w:val="single"/>
          <w:lang w:val="zh-CN" w:bidi="zh-CN"/>
        </w:rPr>
        <w:t>回填材料从管底基础面至管顶以上</w:t>
      </w:r>
      <w:r>
        <w:rPr>
          <w:rFonts w:eastAsia="Arial"/>
          <w:color w:val="auto"/>
          <w:u w:val="single"/>
          <w:lang w:val="zh-CN" w:bidi="zh-CN"/>
        </w:rPr>
        <w:t xml:space="preserve">0.5m </w:t>
      </w:r>
      <w:r>
        <w:rPr>
          <w:color w:val="auto"/>
          <w:spacing w:val="-2"/>
          <w:u w:val="single"/>
          <w:lang w:val="zh-CN" w:bidi="zh-CN"/>
        </w:rPr>
        <w:t>范围内的沟槽回填材料可用碎石屑、粒径</w:t>
      </w:r>
      <w:r>
        <w:rPr>
          <w:color w:val="auto"/>
          <w:spacing w:val="-22"/>
          <w:u w:val="single"/>
          <w:lang w:val="zh-CN" w:bidi="zh-CN"/>
        </w:rPr>
        <w:t>小于</w:t>
      </w:r>
      <w:r>
        <w:rPr>
          <w:rFonts w:eastAsia="Arial"/>
          <w:color w:val="auto"/>
          <w:u w:val="single"/>
          <w:lang w:val="zh-CN" w:bidi="zh-CN"/>
        </w:rPr>
        <w:t>40mm</w:t>
      </w:r>
      <w:r>
        <w:rPr>
          <w:color w:val="auto"/>
          <w:spacing w:val="-6"/>
          <w:u w:val="single"/>
          <w:lang w:val="zh-CN" w:bidi="zh-CN"/>
        </w:rPr>
        <w:t>的砂砾、高</w:t>
      </w:r>
      <w:r>
        <w:rPr>
          <w:color w:val="auto"/>
          <w:u w:val="single"/>
          <w:lang w:val="zh-CN" w:bidi="zh-CN"/>
        </w:rPr>
        <w:t>（中</w:t>
      </w:r>
      <w:r>
        <w:rPr>
          <w:color w:val="auto"/>
          <w:spacing w:val="-12"/>
          <w:u w:val="single"/>
          <w:lang w:val="zh-CN" w:bidi="zh-CN"/>
        </w:rPr>
        <w:t>）</w:t>
      </w:r>
      <w:r>
        <w:rPr>
          <w:color w:val="auto"/>
          <w:spacing w:val="-3"/>
          <w:u w:val="single"/>
          <w:lang w:val="zh-CN" w:bidi="zh-CN"/>
        </w:rPr>
        <w:t>钙粉煤灰</w:t>
      </w:r>
      <w:r>
        <w:rPr>
          <w:color w:val="auto"/>
          <w:u w:val="single"/>
          <w:lang w:val="zh-CN" w:bidi="zh-CN"/>
        </w:rPr>
        <w:t>（</w:t>
      </w:r>
      <w:r>
        <w:rPr>
          <w:color w:val="auto"/>
          <w:spacing w:val="-19"/>
          <w:u w:val="single"/>
          <w:lang w:val="zh-CN" w:bidi="zh-CN"/>
        </w:rPr>
        <w:t>游离</w:t>
      </w:r>
      <w:r>
        <w:rPr>
          <w:rFonts w:eastAsia="Arial"/>
          <w:color w:val="auto"/>
          <w:u w:val="single"/>
          <w:lang w:val="zh-CN" w:bidi="zh-CN"/>
        </w:rPr>
        <w:t>CaO</w:t>
      </w:r>
      <w:r>
        <w:rPr>
          <w:color w:val="auto"/>
          <w:spacing w:val="-16"/>
          <w:u w:val="single"/>
          <w:lang w:val="zh-CN" w:bidi="zh-CN"/>
        </w:rPr>
        <w:t>含量在</w:t>
      </w:r>
      <w:r>
        <w:rPr>
          <w:rFonts w:eastAsia="Arial"/>
          <w:color w:val="auto"/>
          <w:u w:val="single"/>
          <w:lang w:val="zh-CN" w:bidi="zh-CN"/>
        </w:rPr>
        <w:t>12%</w:t>
      </w:r>
      <w:r>
        <w:rPr>
          <w:color w:val="auto"/>
          <w:spacing w:val="-2"/>
          <w:u w:val="single"/>
          <w:lang w:val="zh-CN" w:bidi="zh-CN"/>
        </w:rPr>
        <w:t>以上</w:t>
      </w:r>
      <w:r>
        <w:rPr>
          <w:color w:val="auto"/>
          <w:spacing w:val="-12"/>
          <w:u w:val="single"/>
          <w:lang w:val="zh-CN" w:bidi="zh-CN"/>
        </w:rPr>
        <w:t>）</w:t>
      </w:r>
      <w:r>
        <w:rPr>
          <w:color w:val="auto"/>
          <w:spacing w:val="-3"/>
          <w:u w:val="single"/>
          <w:lang w:val="zh-CN" w:bidi="zh-CN"/>
        </w:rPr>
        <w:t>、中粗砂或沟槽</w:t>
      </w:r>
      <w:r>
        <w:rPr>
          <w:color w:val="auto"/>
          <w:spacing w:val="-7"/>
          <w:u w:val="single"/>
          <w:lang w:val="zh-CN" w:bidi="zh-CN"/>
        </w:rPr>
        <w:t>开挖出的良质土。良质土是指粒径小于</w:t>
      </w:r>
      <w:r>
        <w:rPr>
          <w:rFonts w:eastAsia="Arial"/>
          <w:color w:val="auto"/>
          <w:u w:val="single"/>
          <w:lang w:val="zh-CN" w:bidi="zh-CN"/>
        </w:rPr>
        <w:t>0.075mm</w:t>
      </w:r>
      <w:r>
        <w:rPr>
          <w:color w:val="auto"/>
          <w:spacing w:val="-7"/>
          <w:u w:val="single"/>
          <w:lang w:val="zh-CN" w:bidi="zh-CN"/>
        </w:rPr>
        <w:t>的细粒土含量小于</w:t>
      </w:r>
      <w:r>
        <w:rPr>
          <w:rFonts w:eastAsia="Arial"/>
          <w:color w:val="auto"/>
          <w:u w:val="single"/>
          <w:lang w:val="zh-CN" w:bidi="zh-CN"/>
        </w:rPr>
        <w:t>12%</w:t>
      </w:r>
      <w:r>
        <w:rPr>
          <w:color w:val="auto"/>
          <w:spacing w:val="-2"/>
          <w:u w:val="single"/>
          <w:lang w:val="zh-CN" w:bidi="zh-CN"/>
        </w:rPr>
        <w:t>的粗颗粒土、中砂、粗砂、砂夹石、土夹石；对细粒土含量大于</w:t>
      </w:r>
      <w:r>
        <w:rPr>
          <w:rFonts w:eastAsia="Arial"/>
          <w:color w:val="auto"/>
          <w:u w:val="single"/>
          <w:lang w:val="zh-CN" w:bidi="zh-CN"/>
        </w:rPr>
        <w:t>12%</w:t>
      </w:r>
      <w:r>
        <w:rPr>
          <w:color w:val="auto"/>
          <w:spacing w:val="-5"/>
          <w:u w:val="single"/>
          <w:lang w:val="zh-CN" w:bidi="zh-CN"/>
        </w:rPr>
        <w:t xml:space="preserve">的粗粒土、液限 </w:t>
      </w:r>
      <w:r>
        <w:rPr>
          <w:rFonts w:eastAsia="Arial"/>
          <w:color w:val="auto"/>
          <w:u w:val="single"/>
          <w:lang w:val="zh-CN" w:bidi="zh-CN"/>
        </w:rPr>
        <w:t>WL&lt;50%</w:t>
      </w:r>
      <w:r>
        <w:rPr>
          <w:color w:val="auto"/>
          <w:u w:val="single"/>
          <w:lang w:val="zh-CN" w:bidi="zh-CN"/>
        </w:rPr>
        <w:t>的粘性土和粉性土，应根据管道埋设条件通过试验确定。</w:t>
      </w:r>
    </w:p>
    <w:p>
      <w:pPr>
        <w:pStyle w:val="69"/>
        <w:adjustRightInd w:val="0"/>
        <w:rPr>
          <w:color w:val="auto"/>
          <w:u w:val="single"/>
        </w:rPr>
      </w:pPr>
      <w:r>
        <w:rPr>
          <w:rFonts w:hint="eastAsia"/>
          <w:color w:val="auto"/>
          <w:u w:val="single"/>
        </w:rPr>
        <w:t>2</w:t>
      </w:r>
      <w:r>
        <w:rPr>
          <w:color w:val="auto"/>
          <w:u w:val="single"/>
        </w:rPr>
        <w:t>.1.7.2污水</w:t>
      </w:r>
      <w:r>
        <w:rPr>
          <w:rFonts w:hint="eastAsia"/>
          <w:color w:val="auto"/>
          <w:u w:val="single"/>
          <w:lang w:eastAsia="zh-CN"/>
        </w:rPr>
        <w:t>管网</w:t>
      </w:r>
      <w:r>
        <w:rPr>
          <w:color w:val="auto"/>
          <w:u w:val="single"/>
        </w:rPr>
        <w:t>平面布置</w:t>
      </w:r>
    </w:p>
    <w:p>
      <w:pPr>
        <w:ind w:firstLine="480"/>
        <w:jc w:val="both"/>
        <w:rPr>
          <w:color w:val="auto"/>
          <w:u w:val="single"/>
        </w:rPr>
      </w:pPr>
      <w:r>
        <w:rPr>
          <w:color w:val="auto"/>
          <w:u w:val="single"/>
        </w:rPr>
        <w:t>污水管网的布置最大可能的利用地形地势，采用重力流，减少破路施工，减少泵站提升的次数，将污水收集排入污水处理厂。</w:t>
      </w:r>
      <w:r>
        <w:rPr>
          <w:rFonts w:hint="eastAsia"/>
          <w:color w:val="auto"/>
          <w:u w:val="single"/>
          <w:lang w:eastAsia="zh-CN"/>
        </w:rPr>
        <w:t>永顺县猛洞河污水处理厂</w:t>
      </w:r>
      <w:r>
        <w:rPr>
          <w:color w:val="auto"/>
          <w:u w:val="single"/>
        </w:rPr>
        <w:t>配套污水收集管网</w:t>
      </w:r>
      <w:r>
        <w:rPr>
          <w:rFonts w:hint="eastAsia"/>
          <w:color w:val="auto"/>
          <w:u w:val="single"/>
          <w:lang w:eastAsia="zh-CN"/>
        </w:rPr>
        <w:t>及排水管道</w:t>
      </w:r>
      <w:r>
        <w:rPr>
          <w:color w:val="auto"/>
          <w:u w:val="single"/>
        </w:rPr>
        <w:t>主要沿园区现有道路铺设。</w:t>
      </w:r>
    </w:p>
    <w:p>
      <w:pPr>
        <w:ind w:firstLine="480"/>
        <w:jc w:val="both"/>
        <w:rPr>
          <w:color w:val="auto"/>
          <w:u w:val="single"/>
        </w:rPr>
      </w:pPr>
      <w:r>
        <w:rPr>
          <w:rFonts w:hint="eastAsia"/>
          <w:color w:val="auto"/>
          <w:u w:val="single"/>
          <w:lang w:val="zh-CN" w:bidi="zh-CN"/>
        </w:rPr>
        <w:t>一期工程新建污水收集管道</w:t>
      </w:r>
      <w:r>
        <w:rPr>
          <w:rFonts w:hint="eastAsia"/>
          <w:color w:val="auto"/>
          <w:u w:val="single"/>
          <w:lang w:val="en-US" w:bidi="zh-CN"/>
        </w:rPr>
        <w:t>1500m、排水管道2050m，</w:t>
      </w:r>
      <w:r>
        <w:rPr>
          <w:rFonts w:hint="eastAsia"/>
          <w:color w:val="auto"/>
          <w:u w:val="single"/>
          <w:lang w:val="zh-CN" w:bidi="zh-CN"/>
        </w:rPr>
        <w:t>二期工程仅增加</w:t>
      </w:r>
      <w:r>
        <w:rPr>
          <w:rFonts w:hint="eastAsia"/>
          <w:color w:val="auto"/>
          <w:u w:val="single"/>
          <w:lang w:val="en-US" w:bidi="zh-CN"/>
        </w:rPr>
        <w:t>3套MBR设备，</w:t>
      </w:r>
      <w:r>
        <w:rPr>
          <w:rFonts w:hint="eastAsia"/>
          <w:color w:val="auto"/>
          <w:u w:val="single"/>
          <w:lang w:val="zh-CN" w:bidi="zh-CN"/>
        </w:rPr>
        <w:t>不再新建管道工程。</w:t>
      </w:r>
      <w:r>
        <w:rPr>
          <w:color w:val="auto"/>
          <w:u w:val="single"/>
        </w:rPr>
        <w:t>根据业主</w:t>
      </w:r>
      <w:r>
        <w:rPr>
          <w:rFonts w:hint="eastAsia"/>
          <w:color w:val="auto"/>
          <w:u w:val="single"/>
          <w:lang w:eastAsia="zh-CN"/>
        </w:rPr>
        <w:t>提供污水管网设计资料</w:t>
      </w:r>
      <w:r>
        <w:rPr>
          <w:color w:val="auto"/>
          <w:u w:val="single"/>
        </w:rPr>
        <w:t>，</w:t>
      </w:r>
      <w:r>
        <w:rPr>
          <w:rFonts w:hint="eastAsia"/>
          <w:color w:val="auto"/>
          <w:u w:val="single"/>
          <w:lang w:eastAsia="zh-CN"/>
        </w:rPr>
        <w:t>猛洞河产业园</w:t>
      </w:r>
      <w:r>
        <w:rPr>
          <w:color w:val="auto"/>
          <w:u w:val="single"/>
        </w:rPr>
        <w:t>的管网工程量如下：</w:t>
      </w:r>
    </w:p>
    <w:p>
      <w:pPr>
        <w:ind w:firstLine="480"/>
        <w:jc w:val="both"/>
        <w:rPr>
          <w:color w:val="auto"/>
          <w:u w:val="single"/>
        </w:rPr>
      </w:pPr>
      <w:r>
        <w:rPr>
          <w:rFonts w:hint="eastAsia"/>
          <w:color w:val="auto"/>
          <w:u w:val="single"/>
        </w:rPr>
        <w:t>（1）</w:t>
      </w:r>
      <w:r>
        <w:rPr>
          <w:color w:val="auto"/>
          <w:u w:val="single"/>
        </w:rPr>
        <w:t>污水收集管网：</w:t>
      </w:r>
    </w:p>
    <w:p>
      <w:pPr>
        <w:ind w:firstLine="476"/>
        <w:jc w:val="both"/>
        <w:rPr>
          <w:color w:val="auto"/>
          <w:u w:val="single"/>
        </w:rPr>
      </w:pPr>
      <w:r>
        <w:rPr>
          <w:color w:val="auto"/>
          <w:spacing w:val="-1"/>
          <w:u w:val="single"/>
          <w:lang w:val="zh-CN" w:bidi="zh-CN"/>
        </w:rPr>
        <w:t>纳污范围内的企事业单位到污水处理厂的管网。</w:t>
      </w:r>
      <w:r>
        <w:rPr>
          <w:color w:val="auto"/>
          <w:spacing w:val="-4"/>
          <w:u w:val="single"/>
          <w:lang w:val="zh-CN" w:bidi="zh-CN"/>
        </w:rPr>
        <w:t>各企事业单位尽可能采取自流汇入</w:t>
      </w:r>
      <w:r>
        <w:rPr>
          <w:rFonts w:hint="eastAsia"/>
          <w:color w:val="auto"/>
          <w:spacing w:val="-4"/>
          <w:u w:val="single"/>
          <w:lang w:val="zh-CN" w:bidi="zh-CN"/>
        </w:rPr>
        <w:t>主干</w:t>
      </w:r>
      <w:r>
        <w:rPr>
          <w:color w:val="auto"/>
          <w:spacing w:val="-7"/>
          <w:u w:val="single"/>
          <w:lang w:val="zh-CN" w:bidi="zh-CN"/>
        </w:rPr>
        <w:t>管道，因各另单体地势高程或延线道路高程原因不能采取自流，采用泵站提升后压力</w:t>
      </w:r>
      <w:r>
        <w:rPr>
          <w:color w:val="auto"/>
          <w:u w:val="single"/>
          <w:lang w:val="zh-CN" w:bidi="zh-CN"/>
        </w:rPr>
        <w:t>输送到</w:t>
      </w:r>
      <w:r>
        <w:rPr>
          <w:rFonts w:hint="eastAsia"/>
          <w:color w:val="auto"/>
          <w:u w:val="single"/>
          <w:lang w:val="zh-CN" w:bidi="zh-CN"/>
        </w:rPr>
        <w:t>主干</w:t>
      </w:r>
      <w:r>
        <w:rPr>
          <w:color w:val="auto"/>
          <w:u w:val="single"/>
          <w:lang w:val="zh-CN" w:bidi="zh-CN"/>
        </w:rPr>
        <w:t>管道。</w:t>
      </w:r>
      <w:r>
        <w:rPr>
          <w:rFonts w:hint="eastAsia"/>
          <w:color w:val="auto"/>
          <w:u w:val="single"/>
          <w:lang w:val="zh-CN" w:bidi="zh-CN"/>
        </w:rPr>
        <w:t>污水收集管网总长度为</w:t>
      </w:r>
      <w:r>
        <w:rPr>
          <w:rFonts w:hint="eastAsia"/>
          <w:color w:val="auto"/>
          <w:u w:val="single"/>
          <w:lang w:val="en-US" w:bidi="zh-CN"/>
        </w:rPr>
        <w:t>1500</w:t>
      </w:r>
      <w:r>
        <w:rPr>
          <w:rFonts w:hint="eastAsia"/>
          <w:color w:val="auto"/>
          <w:u w:val="single"/>
          <w:lang w:val="zh-CN" w:bidi="zh-CN"/>
        </w:rPr>
        <w:t>m</w:t>
      </w:r>
      <w:r>
        <w:rPr>
          <w:color w:val="auto"/>
          <w:u w:val="single"/>
        </w:rPr>
        <w:t>。</w:t>
      </w:r>
    </w:p>
    <w:p>
      <w:pPr>
        <w:pStyle w:val="103"/>
        <w:rPr>
          <w:color w:val="auto"/>
          <w:u w:val="single"/>
          <w:lang w:val="zh-CN" w:bidi="zh-CN"/>
        </w:rPr>
      </w:pPr>
      <w:r>
        <w:rPr>
          <w:color w:val="auto"/>
          <w:u w:val="single"/>
          <w:lang w:val="zh-CN" w:bidi="zh-CN"/>
        </w:rPr>
        <w:t>表</w:t>
      </w:r>
      <w:r>
        <w:rPr>
          <w:rFonts w:eastAsia="等线"/>
          <w:color w:val="auto"/>
          <w:u w:val="single"/>
          <w:lang w:val="zh-CN" w:bidi="zh-CN"/>
        </w:rPr>
        <w:t>2.1-</w:t>
      </w:r>
      <w:r>
        <w:rPr>
          <w:rFonts w:hint="eastAsia" w:eastAsia="等线"/>
          <w:color w:val="auto"/>
          <w:u w:val="single"/>
          <w:lang w:val="en-US" w:bidi="zh-CN"/>
        </w:rPr>
        <w:t>15</w:t>
      </w:r>
      <w:r>
        <w:rPr>
          <w:rFonts w:eastAsia="等线"/>
          <w:color w:val="auto"/>
          <w:u w:val="single"/>
          <w:lang w:val="zh-CN" w:bidi="zh-CN"/>
        </w:rPr>
        <w:t xml:space="preserve"> </w:t>
      </w:r>
      <w:r>
        <w:rPr>
          <w:rFonts w:hint="eastAsia" w:eastAsia="等线"/>
          <w:color w:val="auto"/>
          <w:u w:val="single"/>
          <w:lang w:val="zh-CN" w:bidi="zh-CN"/>
        </w:rPr>
        <w:t>纳污</w:t>
      </w:r>
      <w:r>
        <w:rPr>
          <w:rFonts w:hint="eastAsia"/>
          <w:color w:val="auto"/>
          <w:u w:val="single"/>
          <w:lang w:val="zh-CN" w:bidi="zh-CN"/>
        </w:rPr>
        <w:t>管网工程量表</w:t>
      </w:r>
    </w:p>
    <w:tbl>
      <w:tblPr>
        <w:tblStyle w:val="36"/>
        <w:tblW w:w="5072" w:type="pct"/>
        <w:tblInd w:w="-1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662"/>
        <w:gridCol w:w="1792"/>
        <w:gridCol w:w="1767"/>
        <w:gridCol w:w="667"/>
        <w:gridCol w:w="715"/>
        <w:gridCol w:w="976"/>
        <w:gridCol w:w="18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8" w:hRule="atLeast"/>
        </w:trPr>
        <w:tc>
          <w:tcPr>
            <w:tcW w:w="395"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序号</w:t>
            </w:r>
          </w:p>
        </w:tc>
        <w:tc>
          <w:tcPr>
            <w:tcW w:w="1067"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名称</w:t>
            </w:r>
          </w:p>
        </w:tc>
        <w:tc>
          <w:tcPr>
            <w:tcW w:w="1052"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规格(mm)</w:t>
            </w:r>
          </w:p>
        </w:tc>
        <w:tc>
          <w:tcPr>
            <w:tcW w:w="397"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单位</w:t>
            </w:r>
          </w:p>
        </w:tc>
        <w:tc>
          <w:tcPr>
            <w:tcW w:w="426"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数量</w:t>
            </w:r>
          </w:p>
        </w:tc>
        <w:tc>
          <w:tcPr>
            <w:tcW w:w="581"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材料</w:t>
            </w:r>
          </w:p>
        </w:tc>
        <w:tc>
          <w:tcPr>
            <w:tcW w:w="1078"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2" w:hRule="atLeast"/>
        </w:trPr>
        <w:tc>
          <w:tcPr>
            <w:tcW w:w="395"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1</w:t>
            </w:r>
          </w:p>
        </w:tc>
        <w:tc>
          <w:tcPr>
            <w:tcW w:w="1067"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钢带增强聚乙烯</w:t>
            </w:r>
          </w:p>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螺旋波纹管</w:t>
            </w:r>
          </w:p>
        </w:tc>
        <w:tc>
          <w:tcPr>
            <w:tcW w:w="1052"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DN</w:t>
            </w:r>
            <w:r>
              <w:rPr>
                <w:rFonts w:hint="default" w:ascii="Times New Roman" w:hAnsi="Times New Roman" w:cs="Times New Roman"/>
                <w:color w:val="auto"/>
                <w:u w:val="single"/>
                <w:lang w:val="en-US" w:bidi="zh-CN"/>
              </w:rPr>
              <w:t>4</w:t>
            </w:r>
            <w:r>
              <w:rPr>
                <w:rFonts w:hint="default" w:ascii="Times New Roman" w:hAnsi="Times New Roman" w:cs="Times New Roman"/>
                <w:color w:val="auto"/>
                <w:u w:val="single"/>
                <w:lang w:bidi="zh-CN"/>
              </w:rPr>
              <w:t>00，SN8.0</w:t>
            </w:r>
          </w:p>
        </w:tc>
        <w:tc>
          <w:tcPr>
            <w:tcW w:w="397"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米</w:t>
            </w:r>
          </w:p>
        </w:tc>
        <w:tc>
          <w:tcPr>
            <w:tcW w:w="426" w:type="pct"/>
            <w:noWrap w:val="0"/>
            <w:vAlign w:val="center"/>
          </w:tcPr>
          <w:p>
            <w:pPr>
              <w:pStyle w:val="73"/>
              <w:rPr>
                <w:rFonts w:hint="default" w:ascii="Times New Roman" w:hAnsi="Times New Roman" w:cs="Times New Roman"/>
                <w:color w:val="auto"/>
                <w:u w:val="single"/>
                <w:lang w:val="en-US" w:bidi="zh-CN"/>
              </w:rPr>
            </w:pPr>
            <w:r>
              <w:rPr>
                <w:rFonts w:hint="eastAsia" w:ascii="Times New Roman" w:hAnsi="Times New Roman" w:cs="Times New Roman"/>
                <w:color w:val="auto"/>
                <w:u w:val="single"/>
                <w:lang w:val="en-US" w:bidi="zh-CN"/>
              </w:rPr>
              <w:t>1000</w:t>
            </w:r>
          </w:p>
        </w:tc>
        <w:tc>
          <w:tcPr>
            <w:tcW w:w="581"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HDPE</w:t>
            </w:r>
          </w:p>
        </w:tc>
        <w:tc>
          <w:tcPr>
            <w:tcW w:w="1078"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rPr>
              <w:t>污水收集管网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2" w:hRule="atLeast"/>
        </w:trPr>
        <w:tc>
          <w:tcPr>
            <w:tcW w:w="395"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2</w:t>
            </w:r>
          </w:p>
        </w:tc>
        <w:tc>
          <w:tcPr>
            <w:tcW w:w="1067"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钢带增强聚乙烯</w:t>
            </w:r>
          </w:p>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螺旋波纹管</w:t>
            </w:r>
          </w:p>
        </w:tc>
        <w:tc>
          <w:tcPr>
            <w:tcW w:w="1052"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DN</w:t>
            </w:r>
            <w:r>
              <w:rPr>
                <w:rFonts w:hint="default" w:ascii="Times New Roman" w:hAnsi="Times New Roman" w:cs="Times New Roman"/>
                <w:color w:val="auto"/>
                <w:u w:val="single"/>
                <w:lang w:val="en-US" w:bidi="zh-CN"/>
              </w:rPr>
              <w:t>3</w:t>
            </w:r>
            <w:r>
              <w:rPr>
                <w:rFonts w:hint="default" w:ascii="Times New Roman" w:hAnsi="Times New Roman" w:cs="Times New Roman"/>
                <w:color w:val="auto"/>
                <w:u w:val="single"/>
                <w:lang w:bidi="zh-CN"/>
              </w:rPr>
              <w:t>00，SN8.0</w:t>
            </w:r>
          </w:p>
        </w:tc>
        <w:tc>
          <w:tcPr>
            <w:tcW w:w="397"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米</w:t>
            </w:r>
          </w:p>
        </w:tc>
        <w:tc>
          <w:tcPr>
            <w:tcW w:w="426" w:type="pct"/>
            <w:noWrap w:val="0"/>
            <w:vAlign w:val="center"/>
          </w:tcPr>
          <w:p>
            <w:pPr>
              <w:pStyle w:val="73"/>
              <w:rPr>
                <w:rFonts w:hint="default" w:ascii="Times New Roman" w:hAnsi="Times New Roman" w:cs="Times New Roman"/>
                <w:color w:val="auto"/>
                <w:u w:val="single"/>
                <w:lang w:val="en-US" w:bidi="zh-CN"/>
              </w:rPr>
            </w:pPr>
            <w:r>
              <w:rPr>
                <w:rFonts w:hint="eastAsia" w:ascii="Times New Roman" w:hAnsi="Times New Roman" w:cs="Times New Roman"/>
                <w:color w:val="auto"/>
                <w:u w:val="single"/>
                <w:lang w:val="en-US" w:bidi="zh-CN"/>
              </w:rPr>
              <w:t>500</w:t>
            </w:r>
          </w:p>
        </w:tc>
        <w:tc>
          <w:tcPr>
            <w:tcW w:w="581"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HDPE</w:t>
            </w:r>
          </w:p>
        </w:tc>
        <w:tc>
          <w:tcPr>
            <w:tcW w:w="1078"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rPr>
              <w:t>污水</w:t>
            </w:r>
            <w:r>
              <w:rPr>
                <w:rFonts w:hint="default" w:ascii="Times New Roman" w:hAnsi="Times New Roman" w:cs="Times New Roman"/>
                <w:color w:val="auto"/>
                <w:u w:val="single"/>
                <w:lang w:eastAsia="zh-CN"/>
              </w:rPr>
              <w:t>收集</w:t>
            </w:r>
            <w:r>
              <w:rPr>
                <w:rFonts w:hint="default" w:ascii="Times New Roman" w:hAnsi="Times New Roman" w:cs="Times New Roman"/>
                <w:color w:val="auto"/>
                <w:u w:val="single"/>
              </w:rPr>
              <w:t>管网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9" w:hRule="atLeast"/>
        </w:trPr>
        <w:tc>
          <w:tcPr>
            <w:tcW w:w="395"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val="en-US" w:bidi="zh-CN"/>
              </w:rPr>
              <w:t>4</w:t>
            </w:r>
          </w:p>
        </w:tc>
        <w:tc>
          <w:tcPr>
            <w:tcW w:w="1067"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砖砌排水检查井</w:t>
            </w:r>
          </w:p>
        </w:tc>
        <w:tc>
          <w:tcPr>
            <w:tcW w:w="1052" w:type="pct"/>
            <w:noWrap w:val="0"/>
            <w:vAlign w:val="center"/>
          </w:tcPr>
          <w:p>
            <w:pPr>
              <w:pStyle w:val="73"/>
              <w:rPr>
                <w:rFonts w:hint="default" w:ascii="Times New Roman" w:hAnsi="Times New Roman" w:cs="Times New Roman"/>
                <w:color w:val="auto"/>
                <w:u w:val="single"/>
                <w:lang w:val="en-US" w:bidi="zh-CN"/>
              </w:rPr>
            </w:pPr>
            <w:r>
              <w:rPr>
                <w:rFonts w:hint="default" w:ascii="Times New Roman" w:hAnsi="Times New Roman" w:cs="Times New Roman"/>
                <w:color w:val="auto"/>
                <w:u w:val="single"/>
                <w:lang w:bidi="zh-CN"/>
              </w:rPr>
              <w:t>D</w:t>
            </w:r>
            <w:r>
              <w:rPr>
                <w:rFonts w:hint="default" w:ascii="Times New Roman" w:hAnsi="Times New Roman" w:cs="Times New Roman"/>
                <w:color w:val="auto"/>
                <w:u w:val="single"/>
                <w:lang w:val="en-US" w:bidi="zh-CN"/>
              </w:rPr>
              <w:t>700</w:t>
            </w:r>
          </w:p>
        </w:tc>
        <w:tc>
          <w:tcPr>
            <w:tcW w:w="397"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座</w:t>
            </w:r>
          </w:p>
        </w:tc>
        <w:tc>
          <w:tcPr>
            <w:tcW w:w="426"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64</w:t>
            </w:r>
          </w:p>
        </w:tc>
        <w:tc>
          <w:tcPr>
            <w:tcW w:w="581"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砖混</w:t>
            </w:r>
          </w:p>
        </w:tc>
        <w:tc>
          <w:tcPr>
            <w:tcW w:w="1078" w:type="pct"/>
            <w:noWrap w:val="0"/>
            <w:vAlign w:val="center"/>
          </w:tcPr>
          <w:p>
            <w:pPr>
              <w:pStyle w:val="73"/>
              <w:rPr>
                <w:rFonts w:hint="default" w:ascii="Times New Roman" w:hAnsi="Times New Roman" w:cs="Times New Roman"/>
                <w:color w:val="auto"/>
                <w:sz w:val="20"/>
                <w:u w:val="single"/>
                <w:lang w:bidi="zh-CN"/>
              </w:rPr>
            </w:pPr>
            <w:r>
              <w:rPr>
                <w:rFonts w:hint="default" w:ascii="Times New Roman" w:hAnsi="Times New Roman" w:cs="Times New Roman"/>
                <w:color w:val="auto"/>
                <w:u w:val="single"/>
              </w:rPr>
              <w:t>污水收集管网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9" w:hRule="atLeast"/>
        </w:trPr>
        <w:tc>
          <w:tcPr>
            <w:tcW w:w="395"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val="en-US" w:bidi="zh-CN"/>
              </w:rPr>
              <w:t>5</w:t>
            </w:r>
          </w:p>
        </w:tc>
        <w:tc>
          <w:tcPr>
            <w:tcW w:w="1067"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跌水井</w:t>
            </w:r>
          </w:p>
        </w:tc>
        <w:tc>
          <w:tcPr>
            <w:tcW w:w="1052" w:type="pct"/>
            <w:noWrap w:val="0"/>
            <w:vAlign w:val="center"/>
          </w:tcPr>
          <w:p>
            <w:pPr>
              <w:pStyle w:val="73"/>
              <w:rPr>
                <w:rFonts w:hint="default" w:ascii="Times New Roman" w:hAnsi="Times New Roman" w:cs="Times New Roman"/>
                <w:color w:val="auto"/>
                <w:u w:val="single"/>
                <w:lang w:val="en-US" w:bidi="zh-CN"/>
              </w:rPr>
            </w:pPr>
            <w:r>
              <w:rPr>
                <w:rFonts w:hint="default" w:ascii="Times New Roman" w:hAnsi="Times New Roman" w:cs="Times New Roman"/>
                <w:color w:val="auto"/>
                <w:u w:val="single"/>
                <w:lang w:bidi="zh-CN"/>
              </w:rPr>
              <w:t>D</w:t>
            </w:r>
            <w:r>
              <w:rPr>
                <w:rFonts w:hint="default" w:ascii="Times New Roman" w:hAnsi="Times New Roman" w:cs="Times New Roman"/>
                <w:color w:val="auto"/>
                <w:u w:val="single"/>
                <w:lang w:val="en-US" w:bidi="zh-CN"/>
              </w:rPr>
              <w:t>700</w:t>
            </w:r>
          </w:p>
        </w:tc>
        <w:tc>
          <w:tcPr>
            <w:tcW w:w="397"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座</w:t>
            </w:r>
          </w:p>
        </w:tc>
        <w:tc>
          <w:tcPr>
            <w:tcW w:w="426"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val="en-US" w:bidi="zh-CN"/>
              </w:rPr>
              <w:t>1</w:t>
            </w:r>
          </w:p>
        </w:tc>
        <w:tc>
          <w:tcPr>
            <w:tcW w:w="581" w:type="pct"/>
            <w:noWrap w:val="0"/>
            <w:vAlign w:val="center"/>
          </w:tcPr>
          <w:p>
            <w:pPr>
              <w:pStyle w:val="73"/>
              <w:rPr>
                <w:rFonts w:hint="default" w:ascii="Times New Roman" w:hAnsi="Times New Roman" w:cs="Times New Roman"/>
                <w:color w:val="auto"/>
                <w:u w:val="single"/>
                <w:lang w:bidi="zh-CN"/>
              </w:rPr>
            </w:pPr>
            <w:r>
              <w:rPr>
                <w:rFonts w:hint="default" w:ascii="Times New Roman" w:hAnsi="Times New Roman" w:cs="Times New Roman"/>
                <w:color w:val="auto"/>
                <w:u w:val="single"/>
                <w:lang w:bidi="zh-CN"/>
              </w:rPr>
              <w:t>混凝土</w:t>
            </w:r>
          </w:p>
        </w:tc>
        <w:tc>
          <w:tcPr>
            <w:tcW w:w="1078" w:type="pct"/>
            <w:noWrap w:val="0"/>
            <w:vAlign w:val="center"/>
          </w:tcPr>
          <w:p>
            <w:pPr>
              <w:pStyle w:val="73"/>
              <w:rPr>
                <w:rFonts w:hint="default" w:ascii="Times New Roman" w:hAnsi="Times New Roman" w:cs="Times New Roman"/>
                <w:color w:val="auto"/>
                <w:sz w:val="20"/>
                <w:u w:val="single"/>
                <w:lang w:bidi="zh-CN"/>
              </w:rPr>
            </w:pPr>
            <w:r>
              <w:rPr>
                <w:rFonts w:hint="default" w:ascii="Times New Roman" w:hAnsi="Times New Roman" w:cs="Times New Roman"/>
                <w:color w:val="auto"/>
                <w:u w:val="single"/>
              </w:rPr>
              <w:t>/</w:t>
            </w:r>
          </w:p>
        </w:tc>
      </w:tr>
    </w:tbl>
    <w:p>
      <w:pPr>
        <w:ind w:firstLine="480"/>
        <w:jc w:val="both"/>
        <w:rPr>
          <w:color w:val="auto"/>
          <w:u w:val="single"/>
        </w:rPr>
      </w:pPr>
      <w:r>
        <w:rPr>
          <w:rFonts w:hint="eastAsia"/>
          <w:color w:val="auto"/>
          <w:u w:val="single"/>
        </w:rPr>
        <w:t>（2）</w:t>
      </w:r>
      <w:r>
        <w:rPr>
          <w:color w:val="auto"/>
          <w:u w:val="single"/>
        </w:rPr>
        <w:t>污水排放管网：</w:t>
      </w:r>
    </w:p>
    <w:p>
      <w:pPr>
        <w:ind w:firstLine="480"/>
        <w:jc w:val="both"/>
        <w:rPr>
          <w:color w:val="auto"/>
          <w:u w:val="single"/>
        </w:rPr>
      </w:pPr>
      <w:r>
        <w:rPr>
          <w:color w:val="auto"/>
          <w:u w:val="single"/>
          <w:lang w:val="zh-CN" w:bidi="zh-CN"/>
        </w:rPr>
        <w:t>尾水排放管道沿</w:t>
      </w:r>
      <w:r>
        <w:rPr>
          <w:rFonts w:hint="eastAsia"/>
          <w:color w:val="auto"/>
          <w:u w:val="single"/>
          <w:lang w:val="zh-CN" w:bidi="zh-CN"/>
        </w:rPr>
        <w:t>岔那</w:t>
      </w:r>
      <w:r>
        <w:rPr>
          <w:color w:val="auto"/>
          <w:u w:val="single"/>
          <w:lang w:val="zh-CN" w:bidi="zh-CN"/>
        </w:rPr>
        <w:t>大道</w:t>
      </w:r>
      <w:r>
        <w:rPr>
          <w:rFonts w:hint="eastAsia"/>
          <w:color w:val="auto"/>
          <w:u w:val="single"/>
          <w:lang w:val="zh-CN" w:bidi="zh-CN"/>
        </w:rPr>
        <w:t>南</w:t>
      </w:r>
      <w:r>
        <w:rPr>
          <w:color w:val="auto"/>
          <w:u w:val="single"/>
          <w:lang w:val="zh-CN" w:bidi="zh-CN"/>
        </w:rPr>
        <w:t>侧自流排放至</w:t>
      </w:r>
      <w:r>
        <w:rPr>
          <w:rFonts w:hint="eastAsia"/>
          <w:color w:val="auto"/>
          <w:u w:val="single"/>
          <w:lang w:val="zh-CN" w:bidi="zh-CN"/>
        </w:rPr>
        <w:t>猛洞河，新建</w:t>
      </w:r>
      <w:r>
        <w:rPr>
          <w:rFonts w:hint="eastAsia"/>
          <w:color w:val="auto"/>
          <w:u w:val="single"/>
          <w:lang w:val="en-US" w:bidi="zh-CN"/>
        </w:rPr>
        <w:t>PEφ355排水</w:t>
      </w:r>
      <w:r>
        <w:rPr>
          <w:rFonts w:hint="eastAsia"/>
          <w:color w:val="auto"/>
          <w:u w:val="single"/>
          <w:lang w:val="zh-CN" w:bidi="zh-CN"/>
        </w:rPr>
        <w:t>管</w:t>
      </w:r>
      <w:r>
        <w:rPr>
          <w:rFonts w:hint="eastAsia"/>
          <w:color w:val="auto"/>
          <w:u w:val="single"/>
          <w:lang w:val="en-US" w:bidi="zh-CN"/>
        </w:rPr>
        <w:t>2050m，0+050处新建检查井一座</w:t>
      </w:r>
      <w:r>
        <w:rPr>
          <w:rFonts w:hint="eastAsia"/>
          <w:color w:val="auto"/>
          <w:u w:val="single"/>
        </w:rPr>
        <w:t>。</w:t>
      </w:r>
    </w:p>
    <w:p>
      <w:pPr>
        <w:autoSpaceDE w:val="0"/>
        <w:autoSpaceDN w:val="0"/>
        <w:adjustRightInd w:val="0"/>
        <w:ind w:firstLine="480"/>
        <w:jc w:val="both"/>
        <w:rPr>
          <w:rFonts w:hint="eastAsia" w:cs="宋体"/>
          <w:color w:val="auto"/>
          <w:kern w:val="0"/>
          <w:u w:val="single"/>
        </w:rPr>
      </w:pPr>
      <w:r>
        <w:rPr>
          <w:rFonts w:hint="eastAsia" w:cs="宋体"/>
          <w:color w:val="auto"/>
          <w:kern w:val="0"/>
          <w:u w:val="single"/>
        </w:rPr>
        <w:t>项目排污口设置于</w:t>
      </w:r>
      <w:r>
        <w:rPr>
          <w:rFonts w:hint="eastAsia" w:cs="宋体"/>
          <w:color w:val="auto"/>
          <w:kern w:val="0"/>
          <w:u w:val="single"/>
          <w:lang w:eastAsia="zh-CN"/>
        </w:rPr>
        <w:t>猛洞</w:t>
      </w:r>
      <w:r>
        <w:rPr>
          <w:rFonts w:hint="eastAsia" w:cs="宋体"/>
          <w:color w:val="auto"/>
          <w:kern w:val="0"/>
          <w:u w:val="single"/>
        </w:rPr>
        <w:t>河，地理坐标为：</w:t>
      </w:r>
      <w:r>
        <w:rPr>
          <w:rFonts w:hint="eastAsia" w:cs="宋体"/>
          <w:color w:val="auto"/>
          <w:kern w:val="0"/>
          <w:u w:val="single"/>
          <w:lang w:val="en-US" w:eastAsia="zh-CN"/>
        </w:rPr>
        <w:t>E109°50′35.30277″</w:t>
      </w:r>
      <w:r>
        <w:rPr>
          <w:rFonts w:hint="eastAsia" w:cs="宋体"/>
          <w:color w:val="auto"/>
          <w:kern w:val="0"/>
          <w:u w:val="single"/>
        </w:rPr>
        <w:t>,</w:t>
      </w:r>
      <w:r>
        <w:rPr>
          <w:rFonts w:hint="eastAsia" w:cs="宋体"/>
          <w:color w:val="auto"/>
          <w:kern w:val="0"/>
          <w:u w:val="single"/>
          <w:lang w:val="en-US" w:eastAsia="zh-CN"/>
        </w:rPr>
        <w:t>N28°58′3.53112″</w:t>
      </w:r>
      <w:r>
        <w:rPr>
          <w:rFonts w:hint="eastAsia" w:cs="宋体"/>
          <w:color w:val="auto"/>
          <w:kern w:val="0"/>
          <w:u w:val="single"/>
        </w:rPr>
        <w:t>，位于污水处理厂</w:t>
      </w:r>
      <w:r>
        <w:rPr>
          <w:rFonts w:hint="eastAsia" w:cs="宋体"/>
          <w:color w:val="auto"/>
          <w:kern w:val="0"/>
          <w:u w:val="single"/>
          <w:lang w:eastAsia="zh-CN"/>
        </w:rPr>
        <w:t>东南</w:t>
      </w:r>
      <w:r>
        <w:rPr>
          <w:rFonts w:hint="eastAsia" w:cs="宋体"/>
          <w:color w:val="auto"/>
          <w:kern w:val="0"/>
          <w:u w:val="single"/>
        </w:rPr>
        <w:t>方</w:t>
      </w:r>
      <w:r>
        <w:rPr>
          <w:rFonts w:hint="eastAsia" w:cs="宋体"/>
          <w:color w:val="auto"/>
          <w:kern w:val="0"/>
          <w:u w:val="single"/>
          <w:lang w:val="en-US" w:eastAsia="zh-CN"/>
        </w:rPr>
        <w:t>1500</w:t>
      </w:r>
      <w:r>
        <w:rPr>
          <w:rFonts w:cs="宋体"/>
          <w:color w:val="auto"/>
          <w:kern w:val="0"/>
          <w:u w:val="single"/>
        </w:rPr>
        <w:t>m</w:t>
      </w:r>
      <w:r>
        <w:rPr>
          <w:rFonts w:hint="eastAsia" w:cs="宋体"/>
          <w:color w:val="auto"/>
          <w:kern w:val="0"/>
          <w:u w:val="single"/>
        </w:rPr>
        <w:t>，</w:t>
      </w:r>
      <w:r>
        <w:rPr>
          <w:rFonts w:hint="eastAsia" w:cs="宋体"/>
          <w:color w:val="auto"/>
          <w:kern w:val="0"/>
          <w:u w:val="single"/>
          <w:lang w:eastAsia="zh-CN"/>
        </w:rPr>
        <w:t>永顺县猛洞河饮用水水源保护区位于排污口上游</w:t>
      </w:r>
      <w:r>
        <w:rPr>
          <w:rFonts w:hint="eastAsia" w:cs="宋体"/>
          <w:color w:val="auto"/>
          <w:kern w:val="0"/>
          <w:u w:val="single"/>
          <w:lang w:val="en-US" w:eastAsia="zh-CN"/>
        </w:rPr>
        <w:t>9km左右，</w:t>
      </w:r>
      <w:r>
        <w:rPr>
          <w:rFonts w:hint="eastAsia" w:cs="宋体"/>
          <w:color w:val="auto"/>
          <w:kern w:val="0"/>
          <w:u w:val="single"/>
        </w:rPr>
        <w:t>不会影响到饮用水源保护区。</w:t>
      </w:r>
    </w:p>
    <w:p>
      <w:pPr>
        <w:ind w:firstLine="480"/>
        <w:jc w:val="both"/>
        <w:rPr>
          <w:rFonts w:hint="eastAsia"/>
          <w:color w:val="auto"/>
          <w:u w:val="single"/>
          <w:lang w:val="zh-CN" w:bidi="zh-CN"/>
        </w:rPr>
      </w:pPr>
      <w:r>
        <w:rPr>
          <w:rFonts w:hint="eastAsia"/>
          <w:color w:val="auto"/>
          <w:u w:val="single"/>
        </w:rPr>
        <w:t>纳污管网和排污管网见附图</w:t>
      </w:r>
      <w:r>
        <w:rPr>
          <w:rFonts w:hint="eastAsia"/>
          <w:color w:val="auto"/>
          <w:u w:val="single"/>
          <w:lang w:val="en-US" w:eastAsia="zh-CN"/>
        </w:rPr>
        <w:t>7、8</w:t>
      </w:r>
      <w:r>
        <w:rPr>
          <w:rFonts w:hint="eastAsia"/>
          <w:color w:val="auto"/>
          <w:u w:val="single"/>
        </w:rPr>
        <w:t>。</w:t>
      </w:r>
      <w:r>
        <w:rPr>
          <w:rFonts w:hint="eastAsia"/>
          <w:color w:val="auto"/>
          <w:sz w:val="24"/>
          <w:szCs w:val="24"/>
          <w:u w:val="single"/>
        </w:rPr>
        <w:t>项目管网不涉水施工，沿道路铺设，与设计单位核实，</w:t>
      </w:r>
      <w:r>
        <w:rPr>
          <w:rFonts w:hint="eastAsia"/>
          <w:color w:val="auto"/>
          <w:sz w:val="24"/>
          <w:szCs w:val="24"/>
          <w:u w:val="single"/>
          <w:lang w:val="zh-CN"/>
        </w:rPr>
        <w:t>由于厂区与排污口高差较大，因此无需设置外排泵站，污水通过重力自流外排</w:t>
      </w:r>
      <w:r>
        <w:rPr>
          <w:rFonts w:hint="eastAsia"/>
          <w:color w:val="auto"/>
          <w:u w:val="single"/>
        </w:rPr>
        <w:t>。</w:t>
      </w:r>
    </w:p>
    <w:p>
      <w:pPr>
        <w:pStyle w:val="69"/>
        <w:rPr>
          <w:color w:val="auto"/>
          <w:u w:val="none"/>
        </w:rPr>
      </w:pPr>
      <w:r>
        <w:rPr>
          <w:rFonts w:hint="eastAsia"/>
          <w:color w:val="auto"/>
          <w:u w:val="none"/>
        </w:rPr>
        <w:t>2</w:t>
      </w:r>
      <w:r>
        <w:rPr>
          <w:color w:val="auto"/>
          <w:u w:val="none"/>
        </w:rPr>
        <w:t>.1.7.3管道附属构筑物</w:t>
      </w:r>
    </w:p>
    <w:p>
      <w:pPr>
        <w:ind w:firstLine="480"/>
        <w:jc w:val="both"/>
        <w:rPr>
          <w:rFonts w:hint="eastAsia"/>
          <w:color w:val="auto"/>
          <w:u w:val="none"/>
          <w:lang w:val="zh-CN" w:bidi="zh-CN"/>
        </w:rPr>
      </w:pPr>
      <w:r>
        <w:rPr>
          <w:rFonts w:hint="eastAsia"/>
          <w:color w:val="auto"/>
          <w:u w:val="none"/>
          <w:lang w:val="zh-CN" w:bidi="zh-CN"/>
        </w:rPr>
        <w:t>一期工程新建污水收集管道</w:t>
      </w:r>
      <w:r>
        <w:rPr>
          <w:rFonts w:hint="eastAsia"/>
          <w:color w:val="auto"/>
          <w:u w:val="none"/>
          <w:lang w:val="en-US" w:bidi="zh-CN"/>
        </w:rPr>
        <w:t>1500m、排水管道2050m，</w:t>
      </w:r>
      <w:r>
        <w:rPr>
          <w:rFonts w:hint="eastAsia"/>
          <w:color w:val="auto"/>
          <w:u w:val="none"/>
          <w:lang w:val="zh-CN" w:bidi="zh-CN"/>
        </w:rPr>
        <w:t>二期工程仅增加</w:t>
      </w:r>
      <w:r>
        <w:rPr>
          <w:rFonts w:hint="eastAsia"/>
          <w:color w:val="auto"/>
          <w:u w:val="none"/>
          <w:lang w:val="en-US" w:bidi="zh-CN"/>
        </w:rPr>
        <w:t>3套MBR设备，</w:t>
      </w:r>
      <w:r>
        <w:rPr>
          <w:rFonts w:hint="eastAsia"/>
          <w:color w:val="auto"/>
          <w:u w:val="none"/>
          <w:lang w:val="zh-CN" w:bidi="zh-CN"/>
        </w:rPr>
        <w:t>不再新建管道工程。</w:t>
      </w:r>
    </w:p>
    <w:p>
      <w:pPr>
        <w:ind w:firstLine="480"/>
        <w:jc w:val="both"/>
        <w:rPr>
          <w:color w:val="auto"/>
          <w:u w:val="none"/>
          <w:lang w:val="zh-CN" w:bidi="zh-CN"/>
        </w:rPr>
      </w:pPr>
      <w:r>
        <w:rPr>
          <w:rFonts w:hint="eastAsia"/>
          <w:color w:val="auto"/>
          <w:u w:val="none"/>
          <w:lang w:val="zh-CN" w:bidi="zh-CN"/>
        </w:rPr>
        <w:t>（1）</w:t>
      </w:r>
      <w:r>
        <w:rPr>
          <w:color w:val="auto"/>
          <w:u w:val="none"/>
          <w:lang w:val="zh-CN" w:bidi="zh-CN"/>
        </w:rPr>
        <w:t>检查井</w:t>
      </w:r>
    </w:p>
    <w:p>
      <w:pPr>
        <w:ind w:firstLine="480"/>
        <w:jc w:val="both"/>
        <w:rPr>
          <w:color w:val="auto"/>
          <w:u w:val="none"/>
          <w:lang w:val="zh-CN" w:bidi="zh-CN"/>
        </w:rPr>
      </w:pPr>
      <w:r>
        <w:rPr>
          <w:color w:val="auto"/>
          <w:u w:val="none"/>
          <w:lang w:val="zh-CN" w:bidi="zh-CN"/>
        </w:rPr>
        <w:t>管道转弯、交汇、变坡、变径以及一定长度的直线距离处，均须设置检查井。本工程检查井采用砖砌检查井。检查井间距根据规范要求设置，详下表。</w:t>
      </w:r>
    </w:p>
    <w:p>
      <w:pPr>
        <w:pStyle w:val="103"/>
        <w:rPr>
          <w:color w:val="auto"/>
          <w:u w:val="none"/>
          <w:lang w:val="zh-CN" w:bidi="zh-CN"/>
        </w:rPr>
      </w:pPr>
      <w:r>
        <w:rPr>
          <w:color w:val="auto"/>
          <w:u w:val="none"/>
          <w:lang w:val="zh-CN" w:bidi="zh-CN"/>
        </w:rPr>
        <w:t>表</w:t>
      </w:r>
      <w:r>
        <w:rPr>
          <w:rFonts w:eastAsia="等线"/>
          <w:color w:val="auto"/>
          <w:u w:val="none"/>
          <w:lang w:val="zh-CN" w:bidi="zh-CN"/>
        </w:rPr>
        <w:t>2.1-</w:t>
      </w:r>
      <w:r>
        <w:rPr>
          <w:rFonts w:hint="eastAsia" w:eastAsia="等线"/>
          <w:color w:val="auto"/>
          <w:u w:val="none"/>
          <w:lang w:val="en-US" w:bidi="zh-CN"/>
        </w:rPr>
        <w:t>16</w:t>
      </w:r>
      <w:r>
        <w:rPr>
          <w:rFonts w:eastAsia="Arial"/>
          <w:color w:val="auto"/>
          <w:u w:val="none"/>
          <w:lang w:val="zh-CN" w:bidi="zh-CN"/>
        </w:rPr>
        <w:tab/>
      </w:r>
      <w:r>
        <w:rPr>
          <w:rFonts w:eastAsia="等线"/>
          <w:color w:val="auto"/>
          <w:u w:val="none"/>
          <w:lang w:val="zh-CN" w:bidi="zh-CN"/>
        </w:rPr>
        <w:t xml:space="preserve"> </w:t>
      </w:r>
      <w:r>
        <w:rPr>
          <w:color w:val="auto"/>
          <w:u w:val="none"/>
          <w:lang w:val="zh-CN" w:bidi="zh-CN"/>
        </w:rPr>
        <w:t>直线管道上检查井间距</w:t>
      </w:r>
    </w:p>
    <w:p>
      <w:pPr>
        <w:ind w:firstLine="120"/>
        <w:rPr>
          <w:b/>
          <w:color w:val="auto"/>
          <w:sz w:val="6"/>
          <w:u w:val="none"/>
          <w:lang w:val="zh-CN" w:bidi="zh-CN"/>
        </w:rPr>
      </w:pPr>
    </w:p>
    <w:tbl>
      <w:tblPr>
        <w:tblStyle w:val="36"/>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8"/>
        <w:gridCol w:w="1566"/>
        <w:gridCol w:w="1563"/>
        <w:gridCol w:w="1670"/>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61" w:type="pct"/>
            <w:noWrap w:val="0"/>
            <w:vAlign w:val="center"/>
          </w:tcPr>
          <w:p>
            <w:pPr>
              <w:pStyle w:val="97"/>
              <w:rPr>
                <w:color w:val="auto"/>
                <w:u w:val="none"/>
                <w:lang w:val="zh-CN" w:bidi="zh-CN"/>
              </w:rPr>
            </w:pPr>
            <w:r>
              <w:rPr>
                <w:color w:val="auto"/>
                <w:u w:val="none"/>
                <w:lang w:val="zh-CN" w:bidi="zh-CN"/>
              </w:rPr>
              <w:t>管径（</w:t>
            </w:r>
            <w:r>
              <w:rPr>
                <w:rFonts w:eastAsia="Arial"/>
                <w:color w:val="auto"/>
                <w:u w:val="none"/>
                <w:lang w:val="zh-CN" w:bidi="zh-CN"/>
              </w:rPr>
              <w:t>mm</w:t>
            </w:r>
            <w:r>
              <w:rPr>
                <w:color w:val="auto"/>
                <w:u w:val="none"/>
                <w:lang w:val="zh-CN" w:bidi="zh-CN"/>
              </w:rPr>
              <w:t>）</w:t>
            </w:r>
          </w:p>
        </w:tc>
        <w:tc>
          <w:tcPr>
            <w:tcW w:w="948" w:type="pct"/>
            <w:noWrap w:val="0"/>
            <w:vAlign w:val="center"/>
          </w:tcPr>
          <w:p>
            <w:pPr>
              <w:pStyle w:val="97"/>
              <w:rPr>
                <w:rFonts w:eastAsia="Arial"/>
                <w:color w:val="auto"/>
                <w:u w:val="none"/>
                <w:lang w:val="zh-CN" w:bidi="zh-CN"/>
              </w:rPr>
            </w:pPr>
            <w:r>
              <w:rPr>
                <w:rFonts w:eastAsia="Arial"/>
                <w:color w:val="auto"/>
                <w:u w:val="none"/>
                <w:lang w:val="zh-CN" w:bidi="zh-CN"/>
              </w:rPr>
              <w:t>D300</w:t>
            </w:r>
            <w:r>
              <w:rPr>
                <w:color w:val="auto"/>
                <w:u w:val="none"/>
                <w:lang w:val="zh-CN" w:bidi="zh-CN"/>
              </w:rPr>
              <w:t>～</w:t>
            </w:r>
            <w:r>
              <w:rPr>
                <w:rFonts w:eastAsia="Arial"/>
                <w:color w:val="auto"/>
                <w:u w:val="none"/>
                <w:lang w:val="zh-CN" w:bidi="zh-CN"/>
              </w:rPr>
              <w:t>D400</w:t>
            </w:r>
          </w:p>
        </w:tc>
        <w:tc>
          <w:tcPr>
            <w:tcW w:w="946" w:type="pct"/>
            <w:noWrap w:val="0"/>
            <w:vAlign w:val="center"/>
          </w:tcPr>
          <w:p>
            <w:pPr>
              <w:pStyle w:val="97"/>
              <w:rPr>
                <w:rFonts w:eastAsia="Arial"/>
                <w:color w:val="auto"/>
                <w:u w:val="none"/>
                <w:lang w:val="zh-CN" w:bidi="zh-CN"/>
              </w:rPr>
            </w:pPr>
            <w:r>
              <w:rPr>
                <w:rFonts w:eastAsia="Arial"/>
                <w:color w:val="auto"/>
                <w:u w:val="none"/>
                <w:lang w:val="zh-CN" w:bidi="zh-CN"/>
              </w:rPr>
              <w:t>D500</w:t>
            </w:r>
            <w:r>
              <w:rPr>
                <w:color w:val="auto"/>
                <w:u w:val="none"/>
                <w:lang w:val="zh-CN" w:bidi="zh-CN"/>
              </w:rPr>
              <w:t>～</w:t>
            </w:r>
            <w:r>
              <w:rPr>
                <w:rFonts w:eastAsia="Arial"/>
                <w:color w:val="auto"/>
                <w:u w:val="none"/>
                <w:lang w:val="zh-CN" w:bidi="zh-CN"/>
              </w:rPr>
              <w:t>D700</w:t>
            </w:r>
          </w:p>
        </w:tc>
        <w:tc>
          <w:tcPr>
            <w:tcW w:w="1011" w:type="pct"/>
            <w:noWrap w:val="0"/>
            <w:vAlign w:val="center"/>
          </w:tcPr>
          <w:p>
            <w:pPr>
              <w:pStyle w:val="97"/>
              <w:rPr>
                <w:rFonts w:eastAsia="Arial"/>
                <w:color w:val="auto"/>
                <w:u w:val="none"/>
                <w:lang w:val="zh-CN" w:bidi="zh-CN"/>
              </w:rPr>
            </w:pPr>
            <w:r>
              <w:rPr>
                <w:rFonts w:eastAsia="Arial"/>
                <w:color w:val="auto"/>
                <w:u w:val="none"/>
                <w:lang w:val="zh-CN" w:bidi="zh-CN"/>
              </w:rPr>
              <w:t>D800</w:t>
            </w:r>
            <w:r>
              <w:rPr>
                <w:color w:val="auto"/>
                <w:u w:val="none"/>
                <w:lang w:val="zh-CN" w:bidi="zh-CN"/>
              </w:rPr>
              <w:t>～</w:t>
            </w:r>
            <w:r>
              <w:rPr>
                <w:rFonts w:eastAsia="Arial"/>
                <w:color w:val="auto"/>
                <w:u w:val="none"/>
                <w:lang w:val="zh-CN" w:bidi="zh-CN"/>
              </w:rPr>
              <w:t>D1000</w:t>
            </w:r>
          </w:p>
        </w:tc>
        <w:tc>
          <w:tcPr>
            <w:tcW w:w="1134" w:type="pct"/>
            <w:noWrap w:val="0"/>
            <w:vAlign w:val="center"/>
          </w:tcPr>
          <w:p>
            <w:pPr>
              <w:pStyle w:val="97"/>
              <w:rPr>
                <w:rFonts w:eastAsia="Arial"/>
                <w:color w:val="auto"/>
                <w:u w:val="none"/>
                <w:lang w:val="zh-CN" w:bidi="zh-CN"/>
              </w:rPr>
            </w:pPr>
            <w:r>
              <w:rPr>
                <w:rFonts w:eastAsia="Arial"/>
                <w:color w:val="auto"/>
                <w:u w:val="none"/>
                <w:lang w:val="zh-CN" w:bidi="zh-CN"/>
              </w:rPr>
              <w:t>D1100</w:t>
            </w:r>
            <w:r>
              <w:rPr>
                <w:color w:val="auto"/>
                <w:u w:val="none"/>
                <w:lang w:val="zh-CN" w:bidi="zh-CN"/>
              </w:rPr>
              <w:t>～</w:t>
            </w:r>
            <w:r>
              <w:rPr>
                <w:rFonts w:eastAsia="Arial"/>
                <w:color w:val="auto"/>
                <w:u w:val="none"/>
                <w:lang w:val="zh-CN" w:bidi="zh-CN"/>
              </w:rPr>
              <w:t>D1200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trPr>
        <w:tc>
          <w:tcPr>
            <w:tcW w:w="961" w:type="pct"/>
            <w:noWrap w:val="0"/>
            <w:vAlign w:val="center"/>
          </w:tcPr>
          <w:p>
            <w:pPr>
              <w:pStyle w:val="97"/>
              <w:rPr>
                <w:rFonts w:eastAsia="Arial"/>
                <w:color w:val="auto"/>
                <w:u w:val="none"/>
                <w:lang w:val="zh-CN" w:bidi="zh-CN"/>
              </w:rPr>
            </w:pPr>
            <w:r>
              <w:rPr>
                <w:color w:val="auto"/>
                <w:u w:val="none"/>
                <w:lang w:val="zh-CN" w:bidi="zh-CN"/>
              </w:rPr>
              <w:t>最大间距</w:t>
            </w:r>
            <w:r>
              <w:rPr>
                <w:rFonts w:eastAsia="Arial"/>
                <w:color w:val="auto"/>
                <w:u w:val="none"/>
                <w:lang w:val="zh-CN" w:bidi="zh-CN"/>
              </w:rPr>
              <w:t>(m)</w:t>
            </w:r>
          </w:p>
        </w:tc>
        <w:tc>
          <w:tcPr>
            <w:tcW w:w="948" w:type="pct"/>
            <w:noWrap w:val="0"/>
            <w:vAlign w:val="center"/>
          </w:tcPr>
          <w:p>
            <w:pPr>
              <w:pStyle w:val="97"/>
              <w:rPr>
                <w:color w:val="auto"/>
                <w:u w:val="none"/>
                <w:lang w:val="zh-CN" w:bidi="zh-CN"/>
              </w:rPr>
            </w:pPr>
            <w:r>
              <w:rPr>
                <w:color w:val="auto"/>
                <w:u w:val="none"/>
                <w:lang w:val="zh-CN" w:bidi="zh-CN"/>
              </w:rPr>
              <w:t>40</w:t>
            </w:r>
          </w:p>
        </w:tc>
        <w:tc>
          <w:tcPr>
            <w:tcW w:w="946" w:type="pct"/>
            <w:noWrap w:val="0"/>
            <w:vAlign w:val="center"/>
          </w:tcPr>
          <w:p>
            <w:pPr>
              <w:pStyle w:val="97"/>
              <w:rPr>
                <w:color w:val="auto"/>
                <w:u w:val="none"/>
                <w:lang w:val="zh-CN" w:bidi="zh-CN"/>
              </w:rPr>
            </w:pPr>
            <w:r>
              <w:rPr>
                <w:color w:val="auto"/>
                <w:u w:val="none"/>
                <w:lang w:val="zh-CN" w:bidi="zh-CN"/>
              </w:rPr>
              <w:t>60</w:t>
            </w:r>
          </w:p>
        </w:tc>
        <w:tc>
          <w:tcPr>
            <w:tcW w:w="1011" w:type="pct"/>
            <w:noWrap w:val="0"/>
            <w:vAlign w:val="center"/>
          </w:tcPr>
          <w:p>
            <w:pPr>
              <w:pStyle w:val="97"/>
              <w:rPr>
                <w:color w:val="auto"/>
                <w:u w:val="none"/>
                <w:lang w:val="zh-CN" w:bidi="zh-CN"/>
              </w:rPr>
            </w:pPr>
            <w:r>
              <w:rPr>
                <w:color w:val="auto"/>
                <w:u w:val="none"/>
                <w:lang w:val="zh-CN" w:bidi="zh-CN"/>
              </w:rPr>
              <w:t>80</w:t>
            </w:r>
          </w:p>
        </w:tc>
        <w:tc>
          <w:tcPr>
            <w:tcW w:w="1134" w:type="pct"/>
            <w:noWrap w:val="0"/>
            <w:vAlign w:val="center"/>
          </w:tcPr>
          <w:p>
            <w:pPr>
              <w:pStyle w:val="97"/>
              <w:rPr>
                <w:color w:val="auto"/>
                <w:u w:val="none"/>
                <w:lang w:val="zh-CN" w:bidi="zh-CN"/>
              </w:rPr>
            </w:pPr>
            <w:r>
              <w:rPr>
                <w:color w:val="auto"/>
                <w:u w:val="none"/>
                <w:lang w:val="zh-CN" w:bidi="zh-CN"/>
              </w:rPr>
              <w:t>100</w:t>
            </w:r>
          </w:p>
        </w:tc>
      </w:tr>
    </w:tbl>
    <w:p>
      <w:pPr>
        <w:ind w:firstLine="480"/>
        <w:rPr>
          <w:color w:val="auto"/>
          <w:u w:val="none"/>
          <w:lang w:val="zh-CN" w:bidi="zh-CN"/>
        </w:rPr>
      </w:pPr>
      <w:r>
        <w:rPr>
          <w:rFonts w:hint="eastAsia"/>
          <w:color w:val="auto"/>
          <w:u w:val="none"/>
          <w:lang w:val="zh-CN" w:bidi="zh-CN"/>
        </w:rPr>
        <w:t>（2）跌水</w:t>
      </w:r>
      <w:r>
        <w:rPr>
          <w:color w:val="auto"/>
          <w:u w:val="none"/>
          <w:lang w:val="zh-CN" w:bidi="zh-CN"/>
        </w:rPr>
        <w:t>井</w:t>
      </w:r>
    </w:p>
    <w:p>
      <w:pPr>
        <w:ind w:firstLine="480"/>
        <w:rPr>
          <w:color w:val="auto"/>
          <w:u w:val="none"/>
          <w:lang w:val="zh-CN" w:bidi="zh-CN"/>
        </w:rPr>
      </w:pPr>
      <w:r>
        <w:rPr>
          <w:rFonts w:hint="eastAsia"/>
          <w:color w:val="auto"/>
          <w:u w:val="none"/>
          <w:lang w:val="zh-CN" w:bidi="zh-CN"/>
        </w:rPr>
        <w:t>检查井内跌水高度大于</w:t>
      </w:r>
      <w:r>
        <w:rPr>
          <w:rFonts w:hint="eastAsia"/>
          <w:color w:val="auto"/>
          <w:u w:val="none"/>
          <w:lang w:val="en-US" w:bidi="zh-CN"/>
        </w:rPr>
        <w:t>1m有井采用跌水井，跌水井采用竖管式钢筋混凝土收口式跌水井</w:t>
      </w:r>
      <w:r>
        <w:rPr>
          <w:color w:val="auto"/>
          <w:u w:val="none"/>
          <w:lang w:val="zh-CN" w:bidi="zh-CN"/>
        </w:rPr>
        <w:t>。</w:t>
      </w:r>
    </w:p>
    <w:p>
      <w:pPr>
        <w:pStyle w:val="76"/>
        <w:spacing w:before="120" w:after="120"/>
        <w:rPr>
          <w:rFonts w:hint="eastAsia"/>
          <w:color w:val="auto"/>
          <w:kern w:val="0"/>
          <w:u w:val="none"/>
        </w:rPr>
      </w:pPr>
      <w:bookmarkStart w:id="159" w:name="_Toc489349345"/>
      <w:bookmarkStart w:id="160" w:name="_Toc12465"/>
      <w:bookmarkStart w:id="161" w:name="_Toc489350163"/>
      <w:r>
        <w:rPr>
          <w:rFonts w:hint="eastAsia"/>
          <w:color w:val="auto"/>
          <w:kern w:val="0"/>
          <w:u w:val="none"/>
        </w:rPr>
        <w:t>2.</w:t>
      </w:r>
      <w:r>
        <w:rPr>
          <w:color w:val="auto"/>
          <w:kern w:val="0"/>
          <w:u w:val="none"/>
        </w:rPr>
        <w:t>2</w:t>
      </w:r>
      <w:r>
        <w:rPr>
          <w:rFonts w:hint="eastAsia"/>
          <w:color w:val="auto"/>
          <w:kern w:val="0"/>
          <w:u w:val="none"/>
        </w:rPr>
        <w:t>公用及辅助工程</w:t>
      </w:r>
      <w:bookmarkEnd w:id="159"/>
      <w:bookmarkEnd w:id="160"/>
      <w:bookmarkEnd w:id="161"/>
    </w:p>
    <w:p>
      <w:pPr>
        <w:pStyle w:val="6"/>
        <w:bidi w:val="0"/>
        <w:rPr>
          <w:rFonts w:hint="eastAsia"/>
        </w:rPr>
      </w:pPr>
      <w:bookmarkStart w:id="162" w:name="_Toc489350164"/>
      <w:bookmarkStart w:id="163" w:name="_Toc489350265"/>
      <w:bookmarkStart w:id="164" w:name="_Toc489349346"/>
      <w:bookmarkStart w:id="165" w:name="_Toc489350000"/>
      <w:r>
        <w:rPr>
          <w:rFonts w:hint="eastAsia"/>
        </w:rPr>
        <w:t>2.</w:t>
      </w:r>
      <w:r>
        <w:t>2</w:t>
      </w:r>
      <w:r>
        <w:rPr>
          <w:rFonts w:hint="eastAsia"/>
        </w:rPr>
        <w:t>.1给水工程</w:t>
      </w:r>
      <w:bookmarkEnd w:id="162"/>
      <w:bookmarkEnd w:id="163"/>
      <w:bookmarkEnd w:id="164"/>
      <w:bookmarkEnd w:id="165"/>
    </w:p>
    <w:p>
      <w:pPr>
        <w:ind w:firstLine="480"/>
        <w:jc w:val="both"/>
        <w:rPr>
          <w:rFonts w:hint="eastAsia"/>
          <w:color w:val="auto"/>
          <w:spacing w:val="-6"/>
          <w:u w:val="single"/>
        </w:rPr>
      </w:pPr>
      <w:bookmarkStart w:id="166" w:name="_Toc489350266"/>
      <w:bookmarkStart w:id="167" w:name="_Toc489350001"/>
      <w:bookmarkStart w:id="168" w:name="_Toc489350165"/>
      <w:bookmarkStart w:id="169" w:name="_Toc489349347"/>
      <w:r>
        <w:rPr>
          <w:rFonts w:hint="eastAsia"/>
          <w:color w:val="auto"/>
          <w:u w:val="single"/>
        </w:rPr>
        <w:t>厂区给水管接自园区供水干管，厂区给水主要用于生活、</w:t>
      </w:r>
      <w:r>
        <w:rPr>
          <w:rFonts w:hint="eastAsia"/>
          <w:color w:val="auto"/>
          <w:spacing w:val="-6"/>
          <w:u w:val="single"/>
        </w:rPr>
        <w:t>消防等。</w:t>
      </w:r>
    </w:p>
    <w:p>
      <w:pPr>
        <w:spacing w:line="360" w:lineRule="auto"/>
        <w:ind w:firstLine="480"/>
        <w:rPr>
          <w:rFonts w:hint="eastAsia" w:eastAsia="宋体"/>
          <w:color w:val="000000"/>
          <w:u w:val="single"/>
          <w:lang w:eastAsia="zh-CN"/>
        </w:rPr>
      </w:pPr>
      <w:r>
        <w:rPr>
          <w:rFonts w:hint="eastAsia"/>
          <w:color w:val="000000"/>
          <w:u w:val="single"/>
        </w:rPr>
        <w:t>1）生活</w:t>
      </w:r>
      <w:r>
        <w:rPr>
          <w:rFonts w:hint="eastAsia"/>
          <w:color w:val="000000"/>
          <w:u w:val="single"/>
          <w:lang w:eastAsia="zh-CN"/>
        </w:rPr>
        <w:t>用水</w:t>
      </w:r>
    </w:p>
    <w:p>
      <w:pPr>
        <w:spacing w:line="360" w:lineRule="auto"/>
        <w:ind w:firstLine="480"/>
        <w:jc w:val="both"/>
        <w:rPr>
          <w:color w:val="000000"/>
          <w:u w:val="single"/>
        </w:rPr>
      </w:pPr>
      <w:r>
        <w:rPr>
          <w:color w:val="000000"/>
          <w:u w:val="single"/>
        </w:rPr>
        <w:t>本项目</w:t>
      </w:r>
      <w:r>
        <w:rPr>
          <w:rFonts w:hint="eastAsia"/>
          <w:color w:val="000000"/>
          <w:u w:val="single"/>
          <w:lang w:eastAsia="zh-CN"/>
        </w:rPr>
        <w:t>一期</w:t>
      </w:r>
      <w:r>
        <w:rPr>
          <w:color w:val="000000"/>
          <w:u w:val="single"/>
        </w:rPr>
        <w:t>劳动定员</w:t>
      </w:r>
      <w:r>
        <w:rPr>
          <w:rFonts w:hint="eastAsia"/>
          <w:color w:val="000000"/>
          <w:u w:val="single"/>
          <w:lang w:val="en-US" w:eastAsia="zh-CN"/>
        </w:rPr>
        <w:t>5</w:t>
      </w:r>
      <w:r>
        <w:rPr>
          <w:color w:val="000000"/>
          <w:u w:val="single"/>
        </w:rPr>
        <w:t>人</w:t>
      </w:r>
      <w:r>
        <w:rPr>
          <w:rFonts w:hint="eastAsia"/>
          <w:color w:val="000000"/>
          <w:u w:val="single"/>
          <w:lang w:eastAsia="zh-CN"/>
        </w:rPr>
        <w:t>，二期不再新增工作人员</w:t>
      </w:r>
      <w:r>
        <w:rPr>
          <w:color w:val="000000"/>
          <w:u w:val="single"/>
        </w:rPr>
        <w:t>，</w:t>
      </w:r>
      <w:r>
        <w:rPr>
          <w:rFonts w:hint="eastAsia"/>
          <w:color w:val="000000"/>
          <w:u w:val="single"/>
          <w:lang w:eastAsia="zh-CN"/>
        </w:rPr>
        <w:t>工作人员仅在厂区值班，不设置食宿，</w:t>
      </w:r>
      <w:r>
        <w:rPr>
          <w:color w:val="000000"/>
          <w:u w:val="single"/>
        </w:rPr>
        <w:t>人均用水量按</w:t>
      </w:r>
      <w:r>
        <w:rPr>
          <w:rFonts w:hint="eastAsia"/>
          <w:color w:val="000000"/>
          <w:u w:val="single"/>
          <w:lang w:val="en-US" w:eastAsia="zh-CN"/>
        </w:rPr>
        <w:t>145</w:t>
      </w:r>
      <w:r>
        <w:rPr>
          <w:color w:val="000000"/>
          <w:u w:val="single"/>
        </w:rPr>
        <w:t>L/人·d计，核算本项目员工生活</w:t>
      </w:r>
      <w:r>
        <w:rPr>
          <w:rFonts w:hint="eastAsia"/>
          <w:color w:val="000000"/>
          <w:u w:val="single"/>
          <w:lang w:eastAsia="zh-CN"/>
        </w:rPr>
        <w:t>用水</w:t>
      </w:r>
      <w:r>
        <w:rPr>
          <w:color w:val="000000"/>
          <w:u w:val="single"/>
        </w:rPr>
        <w:t>量为</w:t>
      </w:r>
      <w:r>
        <w:rPr>
          <w:rFonts w:hint="eastAsia"/>
          <w:color w:val="000000"/>
          <w:u w:val="single"/>
          <w:lang w:val="en-US" w:eastAsia="zh-CN"/>
        </w:rPr>
        <w:t>0.7250</w:t>
      </w:r>
      <w:r>
        <w:rPr>
          <w:color w:val="000000"/>
          <w:u w:val="single"/>
        </w:rPr>
        <w:t>m</w:t>
      </w:r>
      <w:r>
        <w:rPr>
          <w:rFonts w:hint="eastAsia"/>
          <w:color w:val="000000"/>
          <w:u w:val="single"/>
          <w:vertAlign w:val="superscript"/>
        </w:rPr>
        <w:t>3</w:t>
      </w:r>
      <w:r>
        <w:rPr>
          <w:color w:val="000000"/>
          <w:u w:val="single"/>
        </w:rPr>
        <w:t>/d</w:t>
      </w:r>
      <w:r>
        <w:rPr>
          <w:rFonts w:hint="eastAsia"/>
          <w:color w:val="000000"/>
          <w:u w:val="single"/>
          <w:lang w:eastAsia="zh-CN"/>
        </w:rPr>
        <w:t>（</w:t>
      </w:r>
      <w:r>
        <w:rPr>
          <w:rFonts w:hint="eastAsia"/>
          <w:color w:val="000000"/>
          <w:u w:val="single"/>
          <w:lang w:val="en-US" w:eastAsia="zh-CN"/>
        </w:rPr>
        <w:t>264.6250</w:t>
      </w:r>
      <w:r>
        <w:rPr>
          <w:color w:val="000000"/>
          <w:u w:val="single"/>
        </w:rPr>
        <w:t>m</w:t>
      </w:r>
      <w:r>
        <w:rPr>
          <w:rFonts w:hint="eastAsia"/>
          <w:color w:val="000000"/>
          <w:u w:val="single"/>
          <w:vertAlign w:val="superscript"/>
        </w:rPr>
        <w:t>3</w:t>
      </w:r>
      <w:r>
        <w:rPr>
          <w:rFonts w:hint="eastAsia"/>
          <w:color w:val="000000"/>
          <w:u w:val="single"/>
          <w:lang w:val="en-US" w:eastAsia="zh-CN"/>
        </w:rPr>
        <w:t>/a</w:t>
      </w:r>
      <w:r>
        <w:rPr>
          <w:rFonts w:hint="eastAsia"/>
          <w:color w:val="000000"/>
          <w:u w:val="single"/>
          <w:lang w:eastAsia="zh-CN"/>
        </w:rPr>
        <w:t>）</w:t>
      </w:r>
      <w:r>
        <w:rPr>
          <w:rFonts w:hint="eastAsia"/>
          <w:color w:val="000000"/>
          <w:u w:val="single"/>
        </w:rPr>
        <w:t>。</w:t>
      </w:r>
      <w:r>
        <w:rPr>
          <w:rFonts w:hint="eastAsia"/>
          <w:color w:val="000000"/>
          <w:u w:val="single"/>
          <w:lang w:eastAsia="zh-CN"/>
        </w:rPr>
        <w:t>项目用水由园区供水管网提供</w:t>
      </w:r>
      <w:r>
        <w:rPr>
          <w:color w:val="000000"/>
          <w:u w:val="single"/>
        </w:rPr>
        <w:t>。</w:t>
      </w:r>
    </w:p>
    <w:p>
      <w:pPr>
        <w:ind w:firstLine="480"/>
        <w:rPr>
          <w:color w:val="000000"/>
          <w:u w:val="single"/>
        </w:rPr>
      </w:pPr>
      <w:r>
        <w:rPr>
          <w:rFonts w:hint="eastAsia"/>
          <w:color w:val="000000"/>
          <w:u w:val="single"/>
        </w:rPr>
        <w:t>2）生产</w:t>
      </w:r>
      <w:r>
        <w:rPr>
          <w:rFonts w:hint="eastAsia"/>
          <w:color w:val="000000"/>
          <w:u w:val="single"/>
          <w:lang w:eastAsia="zh-CN"/>
        </w:rPr>
        <w:t>用</w:t>
      </w:r>
      <w:r>
        <w:rPr>
          <w:rFonts w:hint="eastAsia"/>
          <w:color w:val="000000"/>
          <w:u w:val="single"/>
        </w:rPr>
        <w:t>水</w:t>
      </w:r>
    </w:p>
    <w:p>
      <w:pPr>
        <w:bidi w:val="0"/>
        <w:jc w:val="both"/>
        <w:rPr>
          <w:rFonts w:hint="eastAsia"/>
          <w:u w:val="single"/>
        </w:rPr>
      </w:pPr>
      <w:r>
        <w:rPr>
          <w:rFonts w:hint="eastAsia"/>
          <w:u w:val="single"/>
        </w:rPr>
        <w:t>①</w:t>
      </w:r>
      <w:r>
        <w:rPr>
          <w:u w:val="single"/>
        </w:rPr>
        <w:t>配制药剂：</w:t>
      </w:r>
      <w:r>
        <w:rPr>
          <w:rFonts w:hint="eastAsia"/>
          <w:u w:val="single"/>
        </w:rPr>
        <w:t>本项目设有自动加药装置，</w:t>
      </w:r>
      <w:r>
        <w:rPr>
          <w:rFonts w:hint="eastAsia"/>
          <w:u w:val="single"/>
          <w:lang w:eastAsia="zh-CN"/>
        </w:rPr>
        <w:t>一期工程</w:t>
      </w:r>
      <w:r>
        <w:rPr>
          <w:u w:val="single"/>
        </w:rPr>
        <w:t>用水量约为</w:t>
      </w:r>
      <w:r>
        <w:rPr>
          <w:rFonts w:hint="eastAsia"/>
          <w:u w:val="single"/>
          <w:lang w:val="en-US" w:eastAsia="zh-CN"/>
        </w:rPr>
        <w:t>0.30</w:t>
      </w:r>
      <w:r>
        <w:rPr>
          <w:u w:val="single"/>
        </w:rPr>
        <w:t>m</w:t>
      </w:r>
      <w:r>
        <w:rPr>
          <w:u w:val="single"/>
          <w:vertAlign w:val="superscript"/>
        </w:rPr>
        <w:t>3</w:t>
      </w:r>
      <w:r>
        <w:rPr>
          <w:u w:val="single"/>
        </w:rPr>
        <w:t>/d</w:t>
      </w:r>
      <w:r>
        <w:rPr>
          <w:rFonts w:hint="eastAsia"/>
          <w:u w:val="single"/>
          <w:lang w:eastAsia="zh-CN"/>
        </w:rPr>
        <w:t>（</w:t>
      </w:r>
      <w:r>
        <w:rPr>
          <w:rFonts w:hint="eastAsia"/>
          <w:u w:val="single"/>
          <w:lang w:val="en-US" w:eastAsia="zh-CN"/>
        </w:rPr>
        <w:t>109.50t/a</w:t>
      </w:r>
      <w:r>
        <w:rPr>
          <w:rFonts w:hint="eastAsia"/>
          <w:u w:val="single"/>
          <w:lang w:eastAsia="zh-CN"/>
        </w:rPr>
        <w:t>）</w:t>
      </w:r>
      <w:r>
        <w:rPr>
          <w:u w:val="single"/>
        </w:rPr>
        <w:t>，</w:t>
      </w:r>
      <w:r>
        <w:rPr>
          <w:rFonts w:hint="eastAsia"/>
          <w:u w:val="single"/>
          <w:lang w:eastAsia="zh-CN"/>
        </w:rPr>
        <w:t>二期处理能力增加后，配置药剂总用水量为</w:t>
      </w:r>
      <w:r>
        <w:rPr>
          <w:rFonts w:hint="eastAsia"/>
          <w:u w:val="single"/>
          <w:lang w:val="en-US" w:eastAsia="zh-CN"/>
        </w:rPr>
        <w:t>0.75</w:t>
      </w:r>
      <w:r>
        <w:rPr>
          <w:u w:val="single"/>
        </w:rPr>
        <w:t>m</w:t>
      </w:r>
      <w:r>
        <w:rPr>
          <w:u w:val="single"/>
          <w:vertAlign w:val="superscript"/>
        </w:rPr>
        <w:t>3</w:t>
      </w:r>
      <w:r>
        <w:rPr>
          <w:u w:val="single"/>
        </w:rPr>
        <w:t>/d</w:t>
      </w:r>
      <w:r>
        <w:rPr>
          <w:rFonts w:hint="eastAsia"/>
          <w:u w:val="single"/>
          <w:lang w:eastAsia="zh-CN"/>
        </w:rPr>
        <w:t>（</w:t>
      </w:r>
      <w:r>
        <w:rPr>
          <w:rFonts w:hint="eastAsia"/>
          <w:u w:val="single"/>
          <w:lang w:val="en-US" w:eastAsia="zh-CN"/>
        </w:rPr>
        <w:t>273.75t/a</w:t>
      </w:r>
      <w:r>
        <w:rPr>
          <w:rFonts w:hint="eastAsia"/>
          <w:u w:val="single"/>
          <w:lang w:eastAsia="zh-CN"/>
        </w:rPr>
        <w:t>），配置药剂用水均</w:t>
      </w:r>
      <w:r>
        <w:rPr>
          <w:u w:val="single"/>
        </w:rPr>
        <w:t>采用新鲜水</w:t>
      </w:r>
      <w:r>
        <w:rPr>
          <w:rFonts w:hint="eastAsia"/>
          <w:u w:val="single"/>
        </w:rPr>
        <w:t>。</w:t>
      </w:r>
    </w:p>
    <w:p>
      <w:pPr>
        <w:bidi w:val="0"/>
        <w:jc w:val="both"/>
        <w:rPr>
          <w:u w:val="single"/>
        </w:rPr>
      </w:pPr>
      <w:r>
        <w:rPr>
          <w:rFonts w:hint="eastAsia"/>
          <w:u w:val="single"/>
          <w:lang w:val="en-US" w:eastAsia="zh-CN"/>
        </w:rPr>
        <w:t>②设备冲洗用水：</w:t>
      </w:r>
      <w:r>
        <w:rPr>
          <w:rFonts w:hint="eastAsia"/>
          <w:u w:val="single"/>
        </w:rPr>
        <w:t>需要定期冲洗</w:t>
      </w:r>
      <w:r>
        <w:rPr>
          <w:rFonts w:hint="eastAsia"/>
          <w:u w:val="single"/>
          <w:lang w:eastAsia="zh-CN"/>
        </w:rPr>
        <w:t>叠螺污泥脱水</w:t>
      </w:r>
      <w:r>
        <w:rPr>
          <w:rFonts w:hint="eastAsia"/>
          <w:u w:val="single"/>
        </w:rPr>
        <w:t>机、药液搅拌机、</w:t>
      </w:r>
      <w:r>
        <w:rPr>
          <w:rFonts w:hint="eastAsia"/>
          <w:u w:val="single"/>
          <w:lang w:val="en-US" w:eastAsia="zh-CN"/>
        </w:rPr>
        <w:t>MBR膜在线清洗装置</w:t>
      </w:r>
      <w:r>
        <w:rPr>
          <w:rFonts w:hint="eastAsia"/>
          <w:u w:val="single"/>
        </w:rPr>
        <w:t>等设备，对比同类报告，</w:t>
      </w:r>
      <w:r>
        <w:rPr>
          <w:rFonts w:hint="eastAsia"/>
          <w:u w:val="single"/>
          <w:lang w:eastAsia="zh-CN"/>
        </w:rPr>
        <w:t>一期工程</w:t>
      </w:r>
      <w:r>
        <w:rPr>
          <w:rFonts w:hint="eastAsia"/>
          <w:u w:val="single"/>
        </w:rPr>
        <w:t>设备冲洗水使用量</w:t>
      </w:r>
      <w:r>
        <w:rPr>
          <w:rFonts w:hint="default"/>
          <w:u w:val="single"/>
        </w:rPr>
        <w:t>约</w:t>
      </w:r>
      <w:r>
        <w:rPr>
          <w:rFonts w:hint="default"/>
          <w:u w:val="single"/>
          <w:lang w:val="en-US" w:eastAsia="zh-CN"/>
        </w:rPr>
        <w:t>0.5</w:t>
      </w:r>
      <w:r>
        <w:rPr>
          <w:rFonts w:hint="eastAsia"/>
          <w:u w:val="single"/>
          <w:lang w:val="en-US" w:eastAsia="zh-CN"/>
        </w:rPr>
        <w:t>0</w:t>
      </w:r>
      <w:r>
        <w:rPr>
          <w:rFonts w:hint="default"/>
          <w:u w:val="single"/>
        </w:rPr>
        <w:t>m</w:t>
      </w:r>
      <w:r>
        <w:rPr>
          <w:rFonts w:hint="default"/>
          <w:u w:val="single"/>
          <w:vertAlign w:val="superscript"/>
        </w:rPr>
        <w:t>3</w:t>
      </w:r>
      <w:r>
        <w:rPr>
          <w:rFonts w:hint="default"/>
          <w:u w:val="single"/>
        </w:rPr>
        <w:t>/d</w:t>
      </w:r>
      <w:r>
        <w:rPr>
          <w:rFonts w:hint="default"/>
          <w:u w:val="single"/>
          <w:lang w:eastAsia="zh-CN"/>
        </w:rPr>
        <w:t>（</w:t>
      </w:r>
      <w:r>
        <w:rPr>
          <w:rFonts w:hint="eastAsia"/>
          <w:u w:val="single"/>
          <w:lang w:val="en-US" w:eastAsia="zh-CN"/>
        </w:rPr>
        <w:t>182.50</w:t>
      </w:r>
      <w:r>
        <w:rPr>
          <w:rFonts w:hint="default"/>
          <w:u w:val="single"/>
          <w:lang w:val="en-US" w:eastAsia="zh-CN"/>
        </w:rPr>
        <w:t>t/a</w:t>
      </w:r>
      <w:r>
        <w:rPr>
          <w:rFonts w:hint="default"/>
          <w:u w:val="single"/>
          <w:lang w:eastAsia="zh-CN"/>
        </w:rPr>
        <w:t>）</w:t>
      </w:r>
      <w:r>
        <w:rPr>
          <w:rFonts w:hint="eastAsia"/>
          <w:u w:val="single"/>
          <w:lang w:eastAsia="zh-CN"/>
        </w:rPr>
        <w:t>，二期处理能力增加后，设备冲洗次数均增加，相应的设备冲洗用水也增加，其设备冲洗总用水量为</w:t>
      </w:r>
      <w:r>
        <w:rPr>
          <w:rFonts w:hint="eastAsia"/>
          <w:u w:val="single"/>
          <w:lang w:val="en-US" w:eastAsia="zh-CN"/>
        </w:rPr>
        <w:t>1.00</w:t>
      </w:r>
      <w:r>
        <w:rPr>
          <w:u w:val="single"/>
        </w:rPr>
        <w:t>m</w:t>
      </w:r>
      <w:r>
        <w:rPr>
          <w:u w:val="single"/>
          <w:vertAlign w:val="superscript"/>
        </w:rPr>
        <w:t>3</w:t>
      </w:r>
      <w:r>
        <w:rPr>
          <w:u w:val="single"/>
        </w:rPr>
        <w:t>/d</w:t>
      </w:r>
      <w:r>
        <w:rPr>
          <w:rFonts w:hint="eastAsia"/>
          <w:u w:val="single"/>
          <w:lang w:eastAsia="zh-CN"/>
        </w:rPr>
        <w:t>（</w:t>
      </w:r>
      <w:r>
        <w:rPr>
          <w:rFonts w:hint="eastAsia"/>
          <w:u w:val="single"/>
          <w:lang w:val="en-US" w:eastAsia="zh-CN"/>
        </w:rPr>
        <w:t>365.00t/a</w:t>
      </w:r>
      <w:r>
        <w:rPr>
          <w:rFonts w:hint="eastAsia"/>
          <w:u w:val="single"/>
          <w:lang w:eastAsia="zh-CN"/>
        </w:rPr>
        <w:t>），设备冲洗用水均</w:t>
      </w:r>
      <w:r>
        <w:rPr>
          <w:u w:val="single"/>
        </w:rPr>
        <w:t>采用新鲜水</w:t>
      </w:r>
      <w:r>
        <w:rPr>
          <w:rFonts w:hint="eastAsia"/>
          <w:u w:val="single"/>
        </w:rPr>
        <w:t>。</w:t>
      </w:r>
    </w:p>
    <w:p>
      <w:pPr>
        <w:pStyle w:val="6"/>
        <w:bidi w:val="0"/>
        <w:rPr>
          <w:rFonts w:hint="eastAsia"/>
        </w:rPr>
      </w:pPr>
      <w:r>
        <w:rPr>
          <w:rFonts w:hint="eastAsia"/>
        </w:rPr>
        <w:t>2.</w:t>
      </w:r>
      <w:r>
        <w:t>2</w:t>
      </w:r>
      <w:r>
        <w:rPr>
          <w:rFonts w:hint="eastAsia"/>
        </w:rPr>
        <w:t>.2排水工程</w:t>
      </w:r>
      <w:bookmarkEnd w:id="166"/>
      <w:bookmarkEnd w:id="167"/>
      <w:bookmarkEnd w:id="168"/>
      <w:bookmarkEnd w:id="169"/>
      <w:bookmarkStart w:id="348" w:name="_GoBack"/>
      <w:bookmarkEnd w:id="348"/>
    </w:p>
    <w:p>
      <w:pPr>
        <w:ind w:firstLine="456"/>
        <w:jc w:val="both"/>
        <w:rPr>
          <w:rFonts w:hint="eastAsia"/>
          <w:color w:val="auto"/>
          <w:u w:val="single"/>
        </w:rPr>
      </w:pPr>
      <w:bookmarkStart w:id="170" w:name="_Toc489349348"/>
      <w:bookmarkStart w:id="171" w:name="_Toc489350166"/>
      <w:bookmarkStart w:id="172" w:name="_Toc489350002"/>
      <w:bookmarkStart w:id="173" w:name="_Toc489350267"/>
      <w:r>
        <w:rPr>
          <w:rFonts w:hint="eastAsia"/>
          <w:color w:val="auto"/>
          <w:spacing w:val="-6"/>
          <w:u w:val="single"/>
        </w:rPr>
        <w:t>厂区排水采用雨污分流制。厂区雨水由道路上雨水口收集，进入雨水管道系统</w:t>
      </w:r>
      <w:r>
        <w:rPr>
          <w:rFonts w:hint="eastAsia"/>
          <w:color w:val="auto"/>
          <w:u w:val="single"/>
        </w:rPr>
        <w:t>后集中排入</w:t>
      </w:r>
      <w:r>
        <w:rPr>
          <w:rFonts w:hint="eastAsia"/>
          <w:color w:val="auto"/>
          <w:u w:val="single"/>
          <w:lang w:eastAsia="zh-CN"/>
        </w:rPr>
        <w:t>猛洞河</w:t>
      </w:r>
      <w:r>
        <w:rPr>
          <w:rFonts w:hint="eastAsia"/>
          <w:color w:val="auto"/>
          <w:u w:val="single"/>
        </w:rPr>
        <w:t>。厂区生产污水等通过厂内污水管道收集后进入</w:t>
      </w:r>
      <w:r>
        <w:rPr>
          <w:rFonts w:hint="eastAsia"/>
          <w:color w:val="auto"/>
          <w:u w:val="single"/>
          <w:lang w:eastAsia="zh-CN"/>
        </w:rPr>
        <w:t>进水井</w:t>
      </w:r>
      <w:r>
        <w:rPr>
          <w:rFonts w:hint="eastAsia"/>
          <w:color w:val="auto"/>
          <w:u w:val="single"/>
        </w:rPr>
        <w:t>。</w:t>
      </w:r>
    </w:p>
    <w:p>
      <w:pPr>
        <w:spacing w:line="360" w:lineRule="auto"/>
        <w:ind w:firstLine="480"/>
        <w:rPr>
          <w:rFonts w:hint="eastAsia"/>
          <w:color w:val="000000"/>
          <w:u w:val="single"/>
        </w:rPr>
      </w:pPr>
      <w:r>
        <w:rPr>
          <w:rFonts w:hint="eastAsia"/>
          <w:color w:val="000000"/>
          <w:u w:val="single"/>
        </w:rPr>
        <w:t>1）生活废水</w:t>
      </w:r>
    </w:p>
    <w:p>
      <w:pPr>
        <w:spacing w:line="360" w:lineRule="auto"/>
        <w:ind w:firstLine="480"/>
        <w:jc w:val="both"/>
        <w:rPr>
          <w:color w:val="000000"/>
          <w:u w:val="single"/>
        </w:rPr>
      </w:pPr>
      <w:r>
        <w:rPr>
          <w:color w:val="000000"/>
          <w:u w:val="single"/>
        </w:rPr>
        <w:t>本项目生活污水产生指数为0.85，核算本项目</w:t>
      </w:r>
      <w:r>
        <w:rPr>
          <w:rFonts w:hint="eastAsia"/>
          <w:color w:val="000000"/>
          <w:u w:val="single"/>
          <w:lang w:eastAsia="zh-CN"/>
        </w:rPr>
        <w:t>一期</w:t>
      </w:r>
      <w:r>
        <w:rPr>
          <w:color w:val="000000"/>
          <w:u w:val="single"/>
        </w:rPr>
        <w:t>员工生活污水产生量为</w:t>
      </w:r>
      <w:r>
        <w:rPr>
          <w:rFonts w:hint="eastAsia"/>
          <w:color w:val="000000"/>
          <w:u w:val="single"/>
          <w:lang w:val="en-US" w:eastAsia="zh-CN"/>
        </w:rPr>
        <w:t>0.6163</w:t>
      </w:r>
      <w:r>
        <w:rPr>
          <w:color w:val="000000"/>
          <w:u w:val="single"/>
        </w:rPr>
        <w:t>m</w:t>
      </w:r>
      <w:r>
        <w:rPr>
          <w:rFonts w:hint="eastAsia"/>
          <w:color w:val="000000"/>
          <w:u w:val="single"/>
          <w:vertAlign w:val="superscript"/>
        </w:rPr>
        <w:t>3</w:t>
      </w:r>
      <w:r>
        <w:rPr>
          <w:color w:val="000000"/>
          <w:u w:val="single"/>
        </w:rPr>
        <w:t>/d</w:t>
      </w:r>
      <w:r>
        <w:rPr>
          <w:rFonts w:hint="eastAsia"/>
          <w:color w:val="000000"/>
          <w:u w:val="single"/>
          <w:lang w:eastAsia="zh-CN"/>
        </w:rPr>
        <w:t>（</w:t>
      </w:r>
      <w:r>
        <w:rPr>
          <w:rFonts w:hint="eastAsia"/>
          <w:color w:val="000000"/>
          <w:u w:val="single"/>
          <w:lang w:val="en-US" w:eastAsia="zh-CN"/>
        </w:rPr>
        <w:t>224.9313t/a</w:t>
      </w:r>
      <w:r>
        <w:rPr>
          <w:rFonts w:hint="eastAsia"/>
          <w:color w:val="000000"/>
          <w:u w:val="single"/>
          <w:lang w:eastAsia="zh-CN"/>
        </w:rPr>
        <w:t>），二期不再新增工作人员</w:t>
      </w:r>
      <w:r>
        <w:rPr>
          <w:color w:val="000000"/>
          <w:u w:val="single"/>
        </w:rPr>
        <w:t>，</w:t>
      </w:r>
      <w:r>
        <w:rPr>
          <w:rFonts w:hint="eastAsia"/>
          <w:color w:val="000000"/>
          <w:u w:val="single"/>
          <w:lang w:eastAsia="zh-CN"/>
        </w:rPr>
        <w:t>故二期工程建成后</w:t>
      </w:r>
      <w:r>
        <w:rPr>
          <w:color w:val="000000"/>
          <w:u w:val="single"/>
        </w:rPr>
        <w:t>生活污水产生量</w:t>
      </w:r>
      <w:r>
        <w:rPr>
          <w:rFonts w:hint="eastAsia"/>
          <w:color w:val="000000"/>
          <w:u w:val="single"/>
          <w:lang w:eastAsia="zh-CN"/>
        </w:rPr>
        <w:t>仍然</w:t>
      </w:r>
      <w:r>
        <w:rPr>
          <w:color w:val="000000"/>
          <w:u w:val="single"/>
        </w:rPr>
        <w:t>为</w:t>
      </w:r>
      <w:r>
        <w:rPr>
          <w:rFonts w:hint="eastAsia"/>
          <w:color w:val="000000"/>
          <w:u w:val="single"/>
          <w:lang w:val="en-US" w:eastAsia="zh-CN"/>
        </w:rPr>
        <w:t>0.6163</w:t>
      </w:r>
      <w:r>
        <w:rPr>
          <w:color w:val="000000"/>
          <w:u w:val="single"/>
        </w:rPr>
        <w:t>m</w:t>
      </w:r>
      <w:r>
        <w:rPr>
          <w:rFonts w:hint="eastAsia"/>
          <w:color w:val="000000"/>
          <w:u w:val="single"/>
          <w:vertAlign w:val="superscript"/>
        </w:rPr>
        <w:t>3</w:t>
      </w:r>
      <w:r>
        <w:rPr>
          <w:color w:val="000000"/>
          <w:u w:val="single"/>
        </w:rPr>
        <w:t>/d</w:t>
      </w:r>
      <w:r>
        <w:rPr>
          <w:rFonts w:hint="eastAsia"/>
          <w:color w:val="000000"/>
          <w:u w:val="single"/>
          <w:lang w:eastAsia="zh-CN"/>
        </w:rPr>
        <w:t>（</w:t>
      </w:r>
      <w:r>
        <w:rPr>
          <w:rFonts w:hint="eastAsia"/>
          <w:color w:val="000000"/>
          <w:u w:val="single"/>
          <w:lang w:val="en-US" w:eastAsia="zh-CN"/>
        </w:rPr>
        <w:t>224.9313t/a</w:t>
      </w:r>
      <w:r>
        <w:rPr>
          <w:rFonts w:hint="eastAsia"/>
          <w:color w:val="000000"/>
          <w:u w:val="single"/>
          <w:lang w:eastAsia="zh-CN"/>
        </w:rPr>
        <w:t>）</w:t>
      </w:r>
      <w:r>
        <w:rPr>
          <w:rFonts w:hint="eastAsia"/>
          <w:color w:val="000000"/>
          <w:u w:val="single"/>
        </w:rPr>
        <w:t>。</w:t>
      </w:r>
      <w:r>
        <w:rPr>
          <w:color w:val="000000"/>
          <w:u w:val="single"/>
        </w:rPr>
        <w:t>主要污染物为COD、BOD</w:t>
      </w:r>
      <w:r>
        <w:rPr>
          <w:color w:val="000000"/>
          <w:u w:val="single"/>
          <w:vertAlign w:val="subscript"/>
        </w:rPr>
        <w:t>5</w:t>
      </w:r>
      <w:r>
        <w:rPr>
          <w:color w:val="000000"/>
          <w:u w:val="single"/>
        </w:rPr>
        <w:t>、SS、氨氮等，废水经</w:t>
      </w:r>
      <w:r>
        <w:rPr>
          <w:rFonts w:hint="eastAsia"/>
          <w:color w:val="000000"/>
          <w:u w:val="single"/>
          <w:lang w:eastAsia="zh-CN"/>
        </w:rPr>
        <w:t>化粪池收集后排入猛洞河产业园污水处理厂处理</w:t>
      </w:r>
      <w:r>
        <w:rPr>
          <w:color w:val="000000"/>
          <w:u w:val="single"/>
        </w:rPr>
        <w:t>。</w:t>
      </w:r>
    </w:p>
    <w:p>
      <w:pPr>
        <w:ind w:firstLine="480"/>
        <w:jc w:val="both"/>
        <w:rPr>
          <w:color w:val="000000"/>
          <w:u w:val="single"/>
        </w:rPr>
      </w:pPr>
      <w:r>
        <w:rPr>
          <w:rFonts w:hint="eastAsia"/>
          <w:color w:val="000000"/>
          <w:u w:val="single"/>
        </w:rPr>
        <w:t>2）生产废水</w:t>
      </w:r>
    </w:p>
    <w:p>
      <w:pPr>
        <w:ind w:firstLine="480"/>
        <w:jc w:val="both"/>
        <w:rPr>
          <w:rFonts w:hint="eastAsia"/>
          <w:color w:val="000000"/>
          <w:u w:val="single"/>
        </w:rPr>
      </w:pPr>
      <w:r>
        <w:rPr>
          <w:rFonts w:hint="eastAsia"/>
          <w:color w:val="000000"/>
          <w:u w:val="single"/>
        </w:rPr>
        <w:t>①</w:t>
      </w:r>
      <w:r>
        <w:rPr>
          <w:color w:val="000000"/>
          <w:u w:val="single"/>
        </w:rPr>
        <w:t>配制药剂：</w:t>
      </w:r>
      <w:r>
        <w:rPr>
          <w:rFonts w:hint="eastAsia"/>
          <w:color w:val="000000"/>
          <w:u w:val="single"/>
        </w:rPr>
        <w:t>本项目设有自动加药装置，</w:t>
      </w:r>
      <w:r>
        <w:rPr>
          <w:rFonts w:hint="eastAsia"/>
          <w:color w:val="000000"/>
          <w:u w:val="single"/>
          <w:lang w:eastAsia="zh-CN"/>
        </w:rPr>
        <w:t>一期工程</w:t>
      </w:r>
      <w:r>
        <w:rPr>
          <w:color w:val="000000"/>
          <w:u w:val="single"/>
        </w:rPr>
        <w:t>用水量约为</w:t>
      </w:r>
      <w:r>
        <w:rPr>
          <w:rFonts w:hint="eastAsia"/>
          <w:color w:val="000000"/>
          <w:u w:val="single"/>
          <w:lang w:val="en-US" w:eastAsia="zh-CN"/>
        </w:rPr>
        <w:t>0.3</w:t>
      </w:r>
      <w:r>
        <w:rPr>
          <w:color w:val="000000"/>
          <w:u w:val="single"/>
        </w:rPr>
        <w:t>m</w:t>
      </w:r>
      <w:r>
        <w:rPr>
          <w:color w:val="000000"/>
          <w:u w:val="single"/>
          <w:vertAlign w:val="superscript"/>
        </w:rPr>
        <w:t>3</w:t>
      </w:r>
      <w:r>
        <w:rPr>
          <w:color w:val="000000"/>
          <w:u w:val="single"/>
        </w:rPr>
        <w:t>/d</w:t>
      </w:r>
      <w:r>
        <w:rPr>
          <w:rFonts w:hint="eastAsia"/>
          <w:color w:val="000000"/>
          <w:u w:val="single"/>
          <w:lang w:eastAsia="zh-CN"/>
        </w:rPr>
        <w:t>（</w:t>
      </w:r>
      <w:r>
        <w:rPr>
          <w:rFonts w:hint="eastAsia"/>
          <w:color w:val="000000"/>
          <w:u w:val="single"/>
          <w:lang w:val="en-US" w:eastAsia="zh-CN"/>
        </w:rPr>
        <w:t>109.5t/a</w:t>
      </w:r>
      <w:r>
        <w:rPr>
          <w:rFonts w:hint="eastAsia"/>
          <w:color w:val="000000"/>
          <w:u w:val="single"/>
          <w:lang w:eastAsia="zh-CN"/>
        </w:rPr>
        <w:t>）</w:t>
      </w:r>
      <w:r>
        <w:rPr>
          <w:color w:val="000000"/>
          <w:u w:val="single"/>
        </w:rPr>
        <w:t>，</w:t>
      </w:r>
      <w:r>
        <w:rPr>
          <w:rFonts w:hint="eastAsia"/>
          <w:color w:val="000000"/>
          <w:u w:val="single"/>
          <w:lang w:eastAsia="zh-CN"/>
        </w:rPr>
        <w:t>二期工程建成后，</w:t>
      </w:r>
      <w:r>
        <w:rPr>
          <w:rFonts w:hint="eastAsia"/>
          <w:u w:val="single"/>
          <w:lang w:eastAsia="zh-CN"/>
        </w:rPr>
        <w:t>配置药剂总用水量为</w:t>
      </w:r>
      <w:r>
        <w:rPr>
          <w:rFonts w:hint="eastAsia"/>
          <w:u w:val="single"/>
          <w:lang w:val="en-US" w:eastAsia="zh-CN"/>
        </w:rPr>
        <w:t>0.75</w:t>
      </w:r>
      <w:r>
        <w:rPr>
          <w:u w:val="single"/>
        </w:rPr>
        <w:t>m</w:t>
      </w:r>
      <w:r>
        <w:rPr>
          <w:u w:val="single"/>
          <w:vertAlign w:val="superscript"/>
        </w:rPr>
        <w:t>3</w:t>
      </w:r>
      <w:r>
        <w:rPr>
          <w:u w:val="single"/>
        </w:rPr>
        <w:t>/d</w:t>
      </w:r>
      <w:r>
        <w:rPr>
          <w:rFonts w:hint="eastAsia"/>
          <w:u w:val="single"/>
          <w:lang w:eastAsia="zh-CN"/>
        </w:rPr>
        <w:t>（</w:t>
      </w:r>
      <w:r>
        <w:rPr>
          <w:rFonts w:hint="eastAsia"/>
          <w:u w:val="single"/>
          <w:lang w:val="en-US" w:eastAsia="zh-CN"/>
        </w:rPr>
        <w:t>273.75t/a</w:t>
      </w:r>
      <w:r>
        <w:rPr>
          <w:rFonts w:hint="eastAsia"/>
          <w:u w:val="single"/>
          <w:lang w:eastAsia="zh-CN"/>
        </w:rPr>
        <w:t>），</w:t>
      </w:r>
      <w:r>
        <w:rPr>
          <w:rFonts w:hint="eastAsia"/>
          <w:color w:val="000000"/>
          <w:u w:val="single"/>
          <w:lang w:eastAsia="zh-CN"/>
        </w:rPr>
        <w:t>药剂随废水</w:t>
      </w:r>
      <w:r>
        <w:rPr>
          <w:color w:val="000000"/>
          <w:u w:val="single"/>
        </w:rPr>
        <w:t>进入污水处理系统处理</w:t>
      </w:r>
      <w:r>
        <w:rPr>
          <w:rFonts w:hint="eastAsia"/>
          <w:color w:val="000000"/>
          <w:u w:val="single"/>
        </w:rPr>
        <w:t>。</w:t>
      </w:r>
    </w:p>
    <w:p>
      <w:pPr>
        <w:ind w:firstLine="480"/>
        <w:jc w:val="both"/>
        <w:rPr>
          <w:color w:val="000000"/>
          <w:u w:val="single"/>
        </w:rPr>
      </w:pPr>
      <w:r>
        <w:rPr>
          <w:rFonts w:hint="eastAsia"/>
          <w:color w:val="000000"/>
          <w:u w:val="single"/>
        </w:rPr>
        <w:t>②</w:t>
      </w:r>
      <w:r>
        <w:rPr>
          <w:color w:val="000000"/>
          <w:u w:val="single"/>
        </w:rPr>
        <w:t>污泥脱水分离的污水</w:t>
      </w:r>
    </w:p>
    <w:p>
      <w:pPr>
        <w:ind w:firstLine="480"/>
        <w:jc w:val="both"/>
        <w:rPr>
          <w:rFonts w:hint="eastAsia"/>
          <w:u w:val="single"/>
          <w:lang w:val="en-US" w:eastAsia="zh-CN"/>
        </w:rPr>
      </w:pPr>
      <w:r>
        <w:rPr>
          <w:rFonts w:hint="eastAsia"/>
          <w:u w:val="single"/>
          <w:lang w:eastAsia="zh-CN"/>
        </w:rPr>
        <w:t>根据固废产生量核算，一期工程污泥脱水产生的污泥脱水废水为</w:t>
      </w:r>
      <w:r>
        <w:rPr>
          <w:rFonts w:hint="eastAsia"/>
          <w:u w:val="single"/>
          <w:lang w:val="en-US" w:eastAsia="zh-CN"/>
        </w:rPr>
        <w:t>135.8kg/d，二期处理能力增加后，</w:t>
      </w:r>
      <w:r>
        <w:rPr>
          <w:rFonts w:hint="eastAsia"/>
          <w:u w:val="single"/>
          <w:lang w:eastAsia="zh-CN"/>
        </w:rPr>
        <w:t>污泥脱水产生总的污泥脱水废水为</w:t>
      </w:r>
      <w:r>
        <w:rPr>
          <w:rFonts w:hint="eastAsia"/>
          <w:u w:val="single"/>
          <w:lang w:val="en-US" w:eastAsia="zh-CN"/>
        </w:rPr>
        <w:t>339.15kg/d。</w:t>
      </w:r>
      <w:r>
        <w:rPr>
          <w:rFonts w:hint="eastAsia"/>
          <w:color w:val="000000"/>
          <w:u w:val="single"/>
        </w:rPr>
        <w:t>：</w:t>
      </w:r>
      <w:r>
        <w:rPr>
          <w:rFonts w:hint="eastAsia"/>
          <w:color w:val="000000"/>
          <w:kern w:val="0"/>
          <w:u w:val="single"/>
        </w:rPr>
        <w:t>污泥脱水分离的污水均来源于自身污水处理系统</w:t>
      </w:r>
      <w:r>
        <w:rPr>
          <w:rFonts w:hint="eastAsia"/>
          <w:color w:val="000000"/>
          <w:kern w:val="0"/>
          <w:u w:val="single"/>
          <w:lang w:eastAsia="zh-CN"/>
        </w:rPr>
        <w:t>，脱泥水进入调节池，</w:t>
      </w:r>
      <w:r>
        <w:rPr>
          <w:rFonts w:hint="eastAsia"/>
          <w:color w:val="000000"/>
          <w:kern w:val="0"/>
          <w:u w:val="single"/>
        </w:rPr>
        <w:t>可直接排入本项目处理。</w:t>
      </w:r>
    </w:p>
    <w:p>
      <w:pPr>
        <w:ind w:firstLine="480"/>
        <w:jc w:val="both"/>
        <w:rPr>
          <w:rFonts w:hint="eastAsia"/>
          <w:color w:val="000000"/>
          <w:u w:val="single"/>
        </w:rPr>
      </w:pPr>
      <w:r>
        <w:rPr>
          <w:rFonts w:hint="eastAsia"/>
          <w:color w:val="000000"/>
          <w:u w:val="single"/>
        </w:rPr>
        <w:t>③设备冲洗水：</w:t>
      </w:r>
      <w:r>
        <w:rPr>
          <w:rFonts w:hint="eastAsia"/>
          <w:u w:val="single"/>
        </w:rPr>
        <w:t>需要定期冲洗</w:t>
      </w:r>
      <w:r>
        <w:rPr>
          <w:rFonts w:hint="eastAsia"/>
          <w:u w:val="single"/>
          <w:lang w:eastAsia="zh-CN"/>
        </w:rPr>
        <w:t>叠螺污泥脱水</w:t>
      </w:r>
      <w:r>
        <w:rPr>
          <w:rFonts w:hint="eastAsia"/>
          <w:u w:val="single"/>
        </w:rPr>
        <w:t>机、药液搅拌机、</w:t>
      </w:r>
      <w:r>
        <w:rPr>
          <w:rFonts w:hint="eastAsia"/>
          <w:u w:val="single"/>
          <w:lang w:val="en-US" w:eastAsia="zh-CN"/>
        </w:rPr>
        <w:t>MBR膜在线清洗装置</w:t>
      </w:r>
      <w:r>
        <w:rPr>
          <w:rFonts w:hint="eastAsia"/>
          <w:u w:val="single"/>
        </w:rPr>
        <w:t>等设备，对比同类报告，</w:t>
      </w:r>
      <w:r>
        <w:rPr>
          <w:rFonts w:hint="eastAsia"/>
          <w:u w:val="single"/>
          <w:lang w:eastAsia="zh-CN"/>
        </w:rPr>
        <w:t>设备冲洗废水产生系数为</w:t>
      </w:r>
      <w:r>
        <w:rPr>
          <w:rFonts w:hint="eastAsia"/>
          <w:u w:val="single"/>
          <w:lang w:val="en-US" w:eastAsia="zh-CN"/>
        </w:rPr>
        <w:t>0.85，则</w:t>
      </w:r>
      <w:r>
        <w:rPr>
          <w:rFonts w:hint="eastAsia"/>
          <w:u w:val="single"/>
          <w:lang w:eastAsia="zh-CN"/>
        </w:rPr>
        <w:t>一期工程</w:t>
      </w:r>
      <w:r>
        <w:rPr>
          <w:rFonts w:hint="eastAsia"/>
          <w:u w:val="single"/>
        </w:rPr>
        <w:t>设备冲洗水使用量约</w:t>
      </w:r>
      <w:r>
        <w:rPr>
          <w:rFonts w:hint="eastAsia"/>
          <w:u w:val="single"/>
          <w:lang w:val="en-US" w:eastAsia="zh-CN"/>
        </w:rPr>
        <w:t>0.4250</w:t>
      </w:r>
      <w:r>
        <w:rPr>
          <w:rFonts w:hint="eastAsia"/>
          <w:u w:val="single"/>
        </w:rPr>
        <w:t>m</w:t>
      </w:r>
      <w:r>
        <w:rPr>
          <w:rFonts w:hint="eastAsia"/>
          <w:u w:val="single"/>
          <w:vertAlign w:val="superscript"/>
        </w:rPr>
        <w:t>3</w:t>
      </w:r>
      <w:r>
        <w:rPr>
          <w:rFonts w:hint="eastAsia"/>
          <w:u w:val="single"/>
        </w:rPr>
        <w:t>/d</w:t>
      </w:r>
      <w:r>
        <w:rPr>
          <w:rFonts w:hint="eastAsia"/>
          <w:color w:val="000000"/>
          <w:u w:val="single"/>
          <w:lang w:eastAsia="zh-CN"/>
        </w:rPr>
        <w:t>（</w:t>
      </w:r>
      <w:r>
        <w:rPr>
          <w:rFonts w:hint="eastAsia"/>
          <w:color w:val="000000"/>
          <w:u w:val="single"/>
          <w:lang w:val="en-US" w:eastAsia="zh-CN"/>
        </w:rPr>
        <w:t>155.1250t/a</w:t>
      </w:r>
      <w:r>
        <w:rPr>
          <w:rFonts w:hint="eastAsia"/>
          <w:color w:val="000000"/>
          <w:u w:val="single"/>
          <w:lang w:eastAsia="zh-CN"/>
        </w:rPr>
        <w:t>），</w:t>
      </w:r>
      <w:r>
        <w:rPr>
          <w:rFonts w:hint="eastAsia"/>
          <w:u w:val="single"/>
          <w:lang w:eastAsia="zh-CN"/>
        </w:rPr>
        <w:t>二期处理能力增加后，设备冲洗次数均增加，相应的设备冲洗废水也增加，其设备冲洗总用水量为</w:t>
      </w:r>
      <w:r>
        <w:rPr>
          <w:rFonts w:hint="eastAsia"/>
          <w:u w:val="single"/>
          <w:lang w:val="en-US" w:eastAsia="zh-CN"/>
        </w:rPr>
        <w:t>0.85</w:t>
      </w:r>
      <w:r>
        <w:rPr>
          <w:u w:val="single"/>
        </w:rPr>
        <w:t>m</w:t>
      </w:r>
      <w:r>
        <w:rPr>
          <w:u w:val="single"/>
          <w:vertAlign w:val="superscript"/>
        </w:rPr>
        <w:t>3</w:t>
      </w:r>
      <w:r>
        <w:rPr>
          <w:u w:val="single"/>
        </w:rPr>
        <w:t>/d</w:t>
      </w:r>
      <w:r>
        <w:rPr>
          <w:rFonts w:hint="eastAsia"/>
          <w:u w:val="single"/>
          <w:lang w:eastAsia="zh-CN"/>
        </w:rPr>
        <w:t>（</w:t>
      </w:r>
      <w:r>
        <w:rPr>
          <w:rFonts w:hint="eastAsia"/>
          <w:u w:val="single"/>
          <w:lang w:val="en-US" w:eastAsia="zh-CN"/>
        </w:rPr>
        <w:t>310.25t/a</w:t>
      </w:r>
      <w:r>
        <w:rPr>
          <w:rFonts w:hint="eastAsia"/>
          <w:u w:val="single"/>
          <w:lang w:eastAsia="zh-CN"/>
        </w:rPr>
        <w:t>），设备冲洗用水直接进入本项目污水处理厂进行处理</w:t>
      </w:r>
      <w:r>
        <w:rPr>
          <w:rFonts w:hint="eastAsia"/>
          <w:color w:val="000000"/>
          <w:u w:val="single"/>
        </w:rPr>
        <w:t>。</w:t>
      </w:r>
    </w:p>
    <w:p>
      <w:pPr>
        <w:pStyle w:val="31"/>
        <w:jc w:val="center"/>
        <w:rPr>
          <w:rFonts w:hint="eastAsia" w:eastAsia="宋体"/>
          <w:u w:val="single"/>
          <w:lang w:eastAsia="zh-CN"/>
        </w:rPr>
      </w:pPr>
      <w:r>
        <w:rPr>
          <w:u w:val="single"/>
        </w:rPr>
        <w:object>
          <v:shape id="_x0000_i1025" o:spt="75" type="#_x0000_t75" style="height:146.45pt;width:383.85pt;" o:ole="t" filled="f" o:preferrelative="t" stroked="f" coordsize="21600,21600">
            <v:path/>
            <v:fill on="f" focussize="0,0"/>
            <v:stroke on="f"/>
            <v:imagedata r:id="rId30" o:title=""/>
            <o:lock v:ext="edit" aspectratio="t"/>
            <w10:wrap type="none"/>
            <w10:anchorlock/>
          </v:shape>
          <o:OLEObject Type="Embed" ProgID="Visio.Drawing.15" ShapeID="_x0000_i1025" DrawAspect="Content" ObjectID="_1468075725" r:id="rId29">
            <o:LockedField>false</o:LockedField>
          </o:OLEObject>
        </w:object>
      </w:r>
    </w:p>
    <w:p>
      <w:pPr>
        <w:pStyle w:val="31"/>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u w:val="single"/>
        </w:rPr>
      </w:pPr>
      <w:r>
        <w:rPr>
          <w:rFonts w:hint="eastAsia"/>
          <w:b/>
          <w:bCs/>
          <w:sz w:val="21"/>
          <w:szCs w:val="21"/>
          <w:u w:val="single"/>
          <w:lang w:eastAsia="zh-CN"/>
        </w:rPr>
        <w:t>图</w:t>
      </w:r>
      <w:r>
        <w:rPr>
          <w:rFonts w:hint="eastAsia"/>
          <w:b/>
          <w:bCs/>
          <w:sz w:val="21"/>
          <w:szCs w:val="21"/>
          <w:u w:val="single"/>
          <w:lang w:val="en-US" w:eastAsia="zh-CN"/>
        </w:rPr>
        <w:t xml:space="preserve"> 2.2-1 项目一期水平衡图（t/d）</w:t>
      </w:r>
    </w:p>
    <w:p>
      <w:pPr>
        <w:pStyle w:val="31"/>
        <w:jc w:val="center"/>
        <w:rPr>
          <w:rFonts w:hint="eastAsia" w:eastAsia="宋体"/>
          <w:u w:val="single"/>
          <w:lang w:eastAsia="zh-CN"/>
        </w:rPr>
      </w:pPr>
      <w:r>
        <w:rPr>
          <w:u w:val="single"/>
        </w:rPr>
        <w:object>
          <v:shape id="_x0000_i1026" o:spt="75" type="#_x0000_t75" style="height:146.45pt;width:383.85pt;" o:ole="t" filled="f" o:preferrelative="t" stroked="f" coordsize="21600,21600">
            <v:path/>
            <v:fill on="f" focussize="0,0"/>
            <v:stroke on="f"/>
            <v:imagedata r:id="rId32" o:title=""/>
            <o:lock v:ext="edit" aspectratio="t"/>
            <w10:wrap type="none"/>
            <w10:anchorlock/>
          </v:shape>
          <o:OLEObject Type="Embed" ProgID="Visio.Drawing.15" ShapeID="_x0000_i1026" DrawAspect="Content" ObjectID="_1468075726" r:id="rId31">
            <o:LockedField>false</o:LockedField>
          </o:OLEObject>
        </w:object>
      </w:r>
    </w:p>
    <w:p>
      <w:pPr>
        <w:pStyle w:val="31"/>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u w:val="single"/>
        </w:rPr>
      </w:pPr>
      <w:r>
        <w:rPr>
          <w:rFonts w:hint="eastAsia"/>
          <w:b/>
          <w:bCs/>
          <w:sz w:val="21"/>
          <w:szCs w:val="21"/>
          <w:u w:val="single"/>
          <w:lang w:eastAsia="zh-CN"/>
        </w:rPr>
        <w:t>图</w:t>
      </w:r>
      <w:r>
        <w:rPr>
          <w:rFonts w:hint="eastAsia"/>
          <w:b/>
          <w:bCs/>
          <w:sz w:val="21"/>
          <w:szCs w:val="21"/>
          <w:u w:val="single"/>
          <w:lang w:val="en-US" w:eastAsia="zh-CN"/>
        </w:rPr>
        <w:t xml:space="preserve"> 2.2-2 项目二期水平衡图（t/d）</w:t>
      </w:r>
    </w:p>
    <w:p>
      <w:pPr>
        <w:pStyle w:val="6"/>
        <w:bidi w:val="0"/>
        <w:rPr>
          <w:rFonts w:hint="eastAsia"/>
        </w:rPr>
      </w:pPr>
      <w:r>
        <w:rPr>
          <w:rFonts w:hint="eastAsia"/>
        </w:rPr>
        <w:t>2.</w:t>
      </w:r>
      <w:r>
        <w:t>2</w:t>
      </w:r>
      <w:r>
        <w:rPr>
          <w:rFonts w:hint="eastAsia"/>
        </w:rPr>
        <w:t>.3采暖通风工程</w:t>
      </w:r>
      <w:bookmarkEnd w:id="170"/>
      <w:bookmarkEnd w:id="171"/>
      <w:bookmarkEnd w:id="172"/>
      <w:bookmarkEnd w:id="173"/>
    </w:p>
    <w:p>
      <w:pPr>
        <w:ind w:firstLine="480"/>
        <w:jc w:val="both"/>
        <w:rPr>
          <w:color w:val="auto"/>
          <w:kern w:val="0"/>
          <w:szCs w:val="21"/>
          <w:u w:val="none"/>
        </w:rPr>
      </w:pPr>
      <w:r>
        <w:rPr>
          <w:color w:val="auto"/>
          <w:kern w:val="0"/>
          <w:szCs w:val="21"/>
          <w:u w:val="none"/>
        </w:rPr>
        <w:t>本工程中凡是产生污浊空气的建筑物在其外侧墙上设置多台轴流通风机进行机械排风，排风次数按5～8次</w:t>
      </w:r>
      <w:r>
        <w:rPr>
          <w:rFonts w:hint="eastAsia"/>
          <w:color w:val="auto"/>
          <w:kern w:val="0"/>
          <w:szCs w:val="21"/>
          <w:u w:val="none"/>
        </w:rPr>
        <w:t>/</w:t>
      </w:r>
      <w:r>
        <w:rPr>
          <w:color w:val="auto"/>
          <w:kern w:val="0"/>
          <w:szCs w:val="21"/>
          <w:u w:val="none"/>
        </w:rPr>
        <w:t>小时进行计算。</w:t>
      </w:r>
    </w:p>
    <w:p>
      <w:pPr>
        <w:pStyle w:val="6"/>
        <w:bidi w:val="0"/>
        <w:rPr>
          <w:rFonts w:hint="eastAsia"/>
        </w:rPr>
      </w:pPr>
      <w:r>
        <w:rPr>
          <w:rFonts w:hint="eastAsia"/>
        </w:rPr>
        <w:t>2.</w:t>
      </w:r>
      <w:r>
        <w:t>2</w:t>
      </w:r>
      <w:r>
        <w:rPr>
          <w:rFonts w:hint="eastAsia"/>
        </w:rPr>
        <w:t>.4供电工程</w:t>
      </w:r>
    </w:p>
    <w:p>
      <w:pPr>
        <w:ind w:firstLine="480"/>
        <w:jc w:val="both"/>
        <w:rPr>
          <w:color w:val="auto"/>
          <w:u w:val="none"/>
        </w:rPr>
      </w:pPr>
      <w:bookmarkStart w:id="174" w:name="_Toc489350268"/>
      <w:bookmarkStart w:id="175" w:name="_Toc489349349"/>
      <w:bookmarkStart w:id="176" w:name="_Toc489350167"/>
      <w:bookmarkStart w:id="177" w:name="_Toc489350003"/>
      <w:r>
        <w:rPr>
          <w:rFonts w:hint="eastAsia"/>
          <w:color w:val="auto"/>
          <w:u w:val="none"/>
        </w:rPr>
        <w:t>因污水处理厂规模较小，根据《供配电系统设计规范》</w:t>
      </w:r>
      <w:r>
        <w:rPr>
          <w:color w:val="auto"/>
          <w:u w:val="none"/>
        </w:rPr>
        <w:t xml:space="preserve">GB50052-2009 </w:t>
      </w:r>
      <w:r>
        <w:rPr>
          <w:rFonts w:hint="eastAsia"/>
          <w:color w:val="auto"/>
          <w:u w:val="none"/>
        </w:rPr>
        <w:t xml:space="preserve">及《小城镇污水处理工程建设标准》（建标 </w:t>
      </w:r>
      <w:r>
        <w:rPr>
          <w:color w:val="auto"/>
          <w:u w:val="none"/>
        </w:rPr>
        <w:t>148-2010</w:t>
      </w:r>
      <w:r>
        <w:rPr>
          <w:rFonts w:hint="eastAsia"/>
          <w:color w:val="auto"/>
          <w:u w:val="none"/>
        </w:rPr>
        <w:t>），本污水厂用电负荷属三级负荷，采用</w:t>
      </w:r>
      <w:r>
        <w:rPr>
          <w:color w:val="auto"/>
          <w:u w:val="none"/>
        </w:rPr>
        <w:t>双回路</w:t>
      </w:r>
      <w:r>
        <w:rPr>
          <w:rFonts w:hint="eastAsia"/>
          <w:color w:val="auto"/>
          <w:u w:val="none"/>
        </w:rPr>
        <w:t>高压电源供电，由当地供电部门负责设计施工。</w:t>
      </w:r>
    </w:p>
    <w:p>
      <w:pPr>
        <w:pStyle w:val="6"/>
        <w:bidi w:val="0"/>
        <w:rPr>
          <w:rFonts w:hint="eastAsia"/>
        </w:rPr>
      </w:pPr>
      <w:r>
        <w:rPr>
          <w:rFonts w:hint="eastAsia"/>
        </w:rPr>
        <w:t>2.</w:t>
      </w:r>
      <w:r>
        <w:t>2</w:t>
      </w:r>
      <w:r>
        <w:rPr>
          <w:rFonts w:hint="eastAsia"/>
        </w:rPr>
        <w:t>.5自控设计</w:t>
      </w:r>
      <w:bookmarkEnd w:id="174"/>
      <w:bookmarkEnd w:id="175"/>
      <w:bookmarkEnd w:id="176"/>
      <w:bookmarkEnd w:id="177"/>
    </w:p>
    <w:p>
      <w:pPr>
        <w:ind w:firstLine="480"/>
        <w:jc w:val="both"/>
        <w:rPr>
          <w:b/>
          <w:bCs/>
          <w:color w:val="auto"/>
          <w:kern w:val="0"/>
          <w:u w:val="none"/>
        </w:rPr>
      </w:pPr>
      <w:r>
        <w:rPr>
          <w:color w:val="auto"/>
          <w:kern w:val="0"/>
          <w:szCs w:val="21"/>
          <w:u w:val="none"/>
        </w:rPr>
        <w:t>自控系统采用集散型计算机控制系统。由可编程序控制器（PLC）及自动化仪表组成的检测控制系统，对污水处理厂各过程进行分散控制，并由通讯系统、监控计算机、打印机组成的控制系统对全厂实行集中管理。分控站与控制室之间由工业以太网进行数据通信，并通过构建局域网将重要信息传至综合楼厂长室。现场控制站与现场测控仪表之间由开放式现场总线连接。</w:t>
      </w:r>
    </w:p>
    <w:p>
      <w:pPr>
        <w:ind w:firstLine="480"/>
        <w:jc w:val="both"/>
        <w:rPr>
          <w:color w:val="auto"/>
          <w:kern w:val="0"/>
          <w:szCs w:val="21"/>
          <w:u w:val="none"/>
        </w:rPr>
      </w:pPr>
      <w:r>
        <w:rPr>
          <w:color w:val="auto"/>
          <w:kern w:val="0"/>
          <w:szCs w:val="21"/>
          <w:u w:val="none"/>
        </w:rPr>
        <w:t>工厂网络系统采用客户/服务模式，TCP/IP通讯协议，自适应10/100Mbps传输速率。</w:t>
      </w:r>
    </w:p>
    <w:p>
      <w:pPr>
        <w:ind w:firstLine="480"/>
        <w:jc w:val="both"/>
        <w:rPr>
          <w:color w:val="auto"/>
          <w:kern w:val="0"/>
          <w:szCs w:val="21"/>
          <w:u w:val="none"/>
        </w:rPr>
      </w:pPr>
      <w:r>
        <w:rPr>
          <w:color w:val="auto"/>
          <w:kern w:val="0"/>
          <w:szCs w:val="21"/>
          <w:u w:val="none"/>
        </w:rPr>
        <w:t>工艺设备的控制方式如下：</w:t>
      </w:r>
    </w:p>
    <w:p>
      <w:pPr>
        <w:ind w:firstLine="480"/>
        <w:jc w:val="both"/>
        <w:rPr>
          <w:color w:val="auto"/>
          <w:kern w:val="0"/>
          <w:szCs w:val="21"/>
          <w:u w:val="none"/>
        </w:rPr>
      </w:pPr>
      <w:r>
        <w:rPr>
          <w:color w:val="auto"/>
          <w:kern w:val="0"/>
          <w:szCs w:val="21"/>
          <w:u w:val="none"/>
        </w:rPr>
        <w:t>现场手动模式：设备的MCC控制柜上的</w:t>
      </w:r>
      <w:r>
        <w:rPr>
          <w:rFonts w:hint="eastAsia"/>
          <w:color w:val="auto"/>
          <w:kern w:val="0"/>
          <w:szCs w:val="21"/>
          <w:u w:val="none"/>
        </w:rPr>
        <w:t>“</w:t>
      </w:r>
      <w:r>
        <w:rPr>
          <w:color w:val="auto"/>
          <w:kern w:val="0"/>
          <w:szCs w:val="21"/>
          <w:u w:val="none"/>
        </w:rPr>
        <w:t>就地/远程</w:t>
      </w:r>
      <w:r>
        <w:rPr>
          <w:rFonts w:hint="eastAsia"/>
          <w:color w:val="auto"/>
          <w:kern w:val="0"/>
          <w:szCs w:val="21"/>
          <w:u w:val="none"/>
        </w:rPr>
        <w:t>”</w:t>
      </w:r>
      <w:r>
        <w:rPr>
          <w:color w:val="auto"/>
          <w:kern w:val="0"/>
          <w:szCs w:val="21"/>
          <w:u w:val="none"/>
        </w:rPr>
        <w:t>开关选择</w:t>
      </w:r>
      <w:r>
        <w:rPr>
          <w:rFonts w:hint="eastAsia"/>
          <w:color w:val="auto"/>
          <w:kern w:val="0"/>
          <w:szCs w:val="21"/>
          <w:u w:val="none"/>
        </w:rPr>
        <w:t>“</w:t>
      </w:r>
      <w:r>
        <w:rPr>
          <w:color w:val="auto"/>
          <w:kern w:val="0"/>
          <w:szCs w:val="21"/>
          <w:u w:val="none"/>
        </w:rPr>
        <w:t>就地</w:t>
      </w:r>
      <w:r>
        <w:rPr>
          <w:rFonts w:hint="eastAsia"/>
          <w:color w:val="auto"/>
          <w:kern w:val="0"/>
          <w:szCs w:val="21"/>
          <w:u w:val="none"/>
        </w:rPr>
        <w:t>”</w:t>
      </w:r>
      <w:r>
        <w:rPr>
          <w:color w:val="auto"/>
          <w:kern w:val="0"/>
          <w:szCs w:val="21"/>
          <w:u w:val="none"/>
        </w:rPr>
        <w:t>方式时，通过MCC控制柜上的按钮实现地设备的启</w:t>
      </w:r>
      <w:r>
        <w:rPr>
          <w:rFonts w:hint="eastAsia"/>
          <w:color w:val="auto"/>
          <w:kern w:val="0"/>
          <w:szCs w:val="21"/>
          <w:u w:val="none"/>
        </w:rPr>
        <w:t>/</w:t>
      </w:r>
      <w:r>
        <w:rPr>
          <w:color w:val="auto"/>
          <w:kern w:val="0"/>
          <w:szCs w:val="21"/>
          <w:u w:val="none"/>
        </w:rPr>
        <w:t>停、开/关操作。</w:t>
      </w:r>
    </w:p>
    <w:p>
      <w:pPr>
        <w:ind w:firstLine="480"/>
        <w:jc w:val="both"/>
        <w:rPr>
          <w:color w:val="auto"/>
          <w:kern w:val="0"/>
          <w:szCs w:val="21"/>
          <w:u w:val="none"/>
        </w:rPr>
      </w:pPr>
      <w:r>
        <w:rPr>
          <w:color w:val="auto"/>
          <w:kern w:val="0"/>
          <w:szCs w:val="21"/>
          <w:u w:val="none"/>
        </w:rPr>
        <w:t>现场手动模式：MCC控制柜上的</w:t>
      </w:r>
      <w:r>
        <w:rPr>
          <w:rFonts w:hint="eastAsia"/>
          <w:color w:val="auto"/>
          <w:kern w:val="0"/>
          <w:szCs w:val="21"/>
          <w:u w:val="none"/>
        </w:rPr>
        <w:t>“</w:t>
      </w:r>
      <w:r>
        <w:rPr>
          <w:color w:val="auto"/>
          <w:kern w:val="0"/>
          <w:szCs w:val="21"/>
          <w:u w:val="none"/>
        </w:rPr>
        <w:t>就地/远程</w:t>
      </w:r>
      <w:r>
        <w:rPr>
          <w:rFonts w:hint="eastAsia"/>
          <w:color w:val="auto"/>
          <w:kern w:val="0"/>
          <w:szCs w:val="21"/>
          <w:u w:val="none"/>
        </w:rPr>
        <w:t>”</w:t>
      </w:r>
      <w:r>
        <w:rPr>
          <w:color w:val="auto"/>
          <w:kern w:val="0"/>
          <w:szCs w:val="21"/>
          <w:u w:val="none"/>
        </w:rPr>
        <w:t>开关选择</w:t>
      </w:r>
      <w:r>
        <w:rPr>
          <w:rFonts w:hint="eastAsia"/>
          <w:color w:val="auto"/>
          <w:kern w:val="0"/>
          <w:szCs w:val="21"/>
          <w:u w:val="none"/>
        </w:rPr>
        <w:t>“</w:t>
      </w:r>
      <w:r>
        <w:rPr>
          <w:color w:val="auto"/>
          <w:kern w:val="0"/>
          <w:szCs w:val="21"/>
          <w:u w:val="none"/>
        </w:rPr>
        <w:t>远程</w:t>
      </w:r>
      <w:r>
        <w:rPr>
          <w:rFonts w:hint="eastAsia"/>
          <w:color w:val="auto"/>
          <w:kern w:val="0"/>
          <w:szCs w:val="21"/>
          <w:u w:val="none"/>
        </w:rPr>
        <w:t>”</w:t>
      </w:r>
      <w:r>
        <w:rPr>
          <w:color w:val="auto"/>
          <w:kern w:val="0"/>
          <w:szCs w:val="21"/>
          <w:u w:val="none"/>
        </w:rPr>
        <w:t>方式，通过控制室的操作站键盘、鼠标，操作人员可以启/停全流程所有可控电气设备。</w:t>
      </w:r>
    </w:p>
    <w:p>
      <w:pPr>
        <w:ind w:firstLine="480"/>
        <w:jc w:val="both"/>
        <w:rPr>
          <w:color w:val="auto"/>
          <w:kern w:val="0"/>
          <w:szCs w:val="21"/>
          <w:u w:val="none"/>
        </w:rPr>
      </w:pPr>
      <w:r>
        <w:rPr>
          <w:color w:val="auto"/>
          <w:kern w:val="0"/>
          <w:szCs w:val="21"/>
          <w:u w:val="none"/>
        </w:rPr>
        <w:t>自动方式：由PLC站采集现场仪表的测量值和各设备运行状态，经PLC内部运算进行各设备的自动控制，而不需要人工干预，这种控制模式是全厂正常运行时的常用模式。</w:t>
      </w:r>
    </w:p>
    <w:p>
      <w:pPr>
        <w:pStyle w:val="6"/>
        <w:bidi w:val="0"/>
        <w:rPr>
          <w:rFonts w:hint="eastAsia"/>
        </w:rPr>
      </w:pPr>
      <w:bookmarkStart w:id="178" w:name="_Toc489350168"/>
      <w:bookmarkStart w:id="179" w:name="_Toc489350269"/>
      <w:bookmarkStart w:id="180" w:name="_Toc489350004"/>
      <w:r>
        <w:rPr>
          <w:rFonts w:hint="eastAsia"/>
        </w:rPr>
        <w:t>2.</w:t>
      </w:r>
      <w:r>
        <w:t>2</w:t>
      </w:r>
      <w:r>
        <w:rPr>
          <w:rFonts w:hint="eastAsia"/>
        </w:rPr>
        <w:t>.6能量消耗</w:t>
      </w:r>
      <w:bookmarkEnd w:id="178"/>
      <w:bookmarkEnd w:id="179"/>
      <w:bookmarkEnd w:id="180"/>
    </w:p>
    <w:p>
      <w:pPr>
        <w:ind w:firstLine="480"/>
        <w:rPr>
          <w:rFonts w:hint="eastAsia"/>
          <w:bCs/>
          <w:color w:val="auto"/>
          <w:kern w:val="0"/>
          <w:u w:val="none"/>
        </w:rPr>
      </w:pPr>
      <w:r>
        <w:rPr>
          <w:rFonts w:hint="eastAsia"/>
          <w:bCs/>
          <w:color w:val="auto"/>
          <w:kern w:val="0"/>
          <w:u w:val="none"/>
        </w:rPr>
        <w:t>本项目为净水工程，其主要能量消耗为水能消耗、电能消耗以及工艺投加原料消耗。</w:t>
      </w:r>
    </w:p>
    <w:p>
      <w:pPr>
        <w:ind w:firstLine="480"/>
        <w:rPr>
          <w:bCs/>
          <w:color w:val="auto"/>
          <w:kern w:val="0"/>
          <w:u w:val="single"/>
        </w:rPr>
      </w:pPr>
      <w:r>
        <w:rPr>
          <w:rFonts w:hint="eastAsia"/>
          <w:color w:val="auto"/>
          <w:kern w:val="0"/>
          <w:szCs w:val="21"/>
          <w:u w:val="single"/>
        </w:rPr>
        <w:t>（1）新水消耗</w:t>
      </w:r>
    </w:p>
    <w:p>
      <w:pPr>
        <w:autoSpaceDE w:val="0"/>
        <w:autoSpaceDN w:val="0"/>
        <w:adjustRightInd w:val="0"/>
        <w:ind w:firstLine="480"/>
        <w:jc w:val="both"/>
        <w:textAlignment w:val="baseline"/>
        <w:rPr>
          <w:rFonts w:hint="eastAsia"/>
          <w:color w:val="auto"/>
          <w:kern w:val="0"/>
          <w:szCs w:val="21"/>
          <w:u w:val="single"/>
          <w:lang w:eastAsia="zh-CN"/>
        </w:rPr>
      </w:pPr>
      <w:r>
        <w:rPr>
          <w:rFonts w:hint="eastAsia"/>
          <w:color w:val="auto"/>
          <w:kern w:val="0"/>
          <w:szCs w:val="21"/>
          <w:u w:val="single"/>
          <w:lang w:eastAsia="zh-CN"/>
        </w:rPr>
        <w:t>①生活用水</w:t>
      </w:r>
    </w:p>
    <w:p>
      <w:pPr>
        <w:autoSpaceDE w:val="0"/>
        <w:autoSpaceDN w:val="0"/>
        <w:adjustRightInd w:val="0"/>
        <w:ind w:firstLine="480"/>
        <w:jc w:val="both"/>
        <w:textAlignment w:val="baseline"/>
        <w:rPr>
          <w:color w:val="auto"/>
          <w:kern w:val="0"/>
          <w:szCs w:val="21"/>
          <w:u w:val="none"/>
        </w:rPr>
      </w:pPr>
      <w:r>
        <w:rPr>
          <w:rFonts w:hint="eastAsia"/>
          <w:color w:val="auto"/>
          <w:kern w:val="0"/>
          <w:szCs w:val="21"/>
          <w:u w:val="single"/>
          <w:lang w:eastAsia="zh-CN"/>
        </w:rPr>
        <w:t>由于本项目规模较小，故一期</w:t>
      </w:r>
      <w:r>
        <w:rPr>
          <w:rFonts w:hint="eastAsia"/>
          <w:color w:val="auto"/>
          <w:kern w:val="0"/>
          <w:szCs w:val="21"/>
          <w:u w:val="single"/>
        </w:rPr>
        <w:t>劳动定员为</w:t>
      </w:r>
      <w:r>
        <w:rPr>
          <w:rFonts w:hint="eastAsia"/>
          <w:color w:val="auto"/>
          <w:kern w:val="0"/>
          <w:szCs w:val="21"/>
          <w:u w:val="single"/>
          <w:lang w:val="en-US" w:eastAsia="zh-CN"/>
        </w:rPr>
        <w:t>5</w:t>
      </w:r>
      <w:r>
        <w:rPr>
          <w:rFonts w:hint="eastAsia"/>
          <w:color w:val="auto"/>
          <w:kern w:val="0"/>
          <w:szCs w:val="21"/>
          <w:u w:val="single"/>
        </w:rPr>
        <w:t>人</w:t>
      </w:r>
      <w:r>
        <w:rPr>
          <w:rFonts w:hint="eastAsia"/>
          <w:color w:val="auto"/>
          <w:kern w:val="0"/>
          <w:szCs w:val="21"/>
          <w:u w:val="single"/>
          <w:lang w:eastAsia="zh-CN"/>
        </w:rPr>
        <w:t>，二期不再新增劳动人员。不在场内设施办公及生活区域，依靠园区办公楼进行办公及食宿。</w:t>
      </w:r>
      <w:r>
        <w:rPr>
          <w:rFonts w:hint="eastAsia"/>
          <w:color w:val="auto"/>
          <w:kern w:val="0"/>
          <w:szCs w:val="21"/>
          <w:u w:val="single"/>
        </w:rPr>
        <w:t>其用水量参考《湖南省用水定额》（DB42T388-2014）中的水量定额，指标取值为145L/人·d，则本项目</w:t>
      </w:r>
      <w:r>
        <w:rPr>
          <w:rFonts w:hint="eastAsia"/>
          <w:color w:val="auto"/>
          <w:kern w:val="0"/>
          <w:szCs w:val="21"/>
          <w:u w:val="single"/>
          <w:lang w:eastAsia="zh-CN"/>
        </w:rPr>
        <w:t>一期二期生活用水</w:t>
      </w:r>
      <w:r>
        <w:rPr>
          <w:rFonts w:hint="eastAsia"/>
          <w:color w:val="auto"/>
          <w:kern w:val="0"/>
          <w:szCs w:val="21"/>
          <w:u w:val="single"/>
        </w:rPr>
        <w:t>消耗</w:t>
      </w:r>
      <w:r>
        <w:rPr>
          <w:rFonts w:hint="eastAsia"/>
          <w:color w:val="auto"/>
          <w:kern w:val="0"/>
          <w:szCs w:val="21"/>
          <w:u w:val="single"/>
          <w:lang w:eastAsia="zh-CN"/>
        </w:rPr>
        <w:t>均</w:t>
      </w:r>
      <w:r>
        <w:rPr>
          <w:rFonts w:hint="eastAsia"/>
          <w:color w:val="auto"/>
          <w:kern w:val="0"/>
          <w:szCs w:val="21"/>
          <w:u w:val="single"/>
        </w:rPr>
        <w:t>为</w:t>
      </w:r>
      <w:r>
        <w:rPr>
          <w:rFonts w:hint="eastAsia"/>
          <w:color w:val="auto"/>
          <w:kern w:val="0"/>
          <w:szCs w:val="21"/>
          <w:u w:val="single"/>
          <w:lang w:val="en-US" w:eastAsia="zh-CN"/>
        </w:rPr>
        <w:t>264.6250</w:t>
      </w:r>
      <w:r>
        <w:rPr>
          <w:color w:val="000000"/>
          <w:u w:val="single"/>
        </w:rPr>
        <w:t>m</w:t>
      </w:r>
      <w:r>
        <w:rPr>
          <w:rFonts w:hint="eastAsia"/>
          <w:color w:val="000000"/>
          <w:u w:val="single"/>
          <w:vertAlign w:val="superscript"/>
        </w:rPr>
        <w:t>3</w:t>
      </w:r>
      <w:r>
        <w:rPr>
          <w:rFonts w:hint="eastAsia"/>
          <w:color w:val="auto"/>
          <w:kern w:val="0"/>
          <w:szCs w:val="21"/>
          <w:u w:val="single"/>
        </w:rPr>
        <w:t>/a。</w:t>
      </w:r>
    </w:p>
    <w:p>
      <w:pPr>
        <w:ind w:firstLine="480"/>
        <w:jc w:val="both"/>
        <w:rPr>
          <w:color w:val="000000"/>
          <w:u w:val="single"/>
        </w:rPr>
      </w:pPr>
      <w:r>
        <w:rPr>
          <w:rFonts w:hint="eastAsia"/>
          <w:color w:val="auto"/>
          <w:kern w:val="0"/>
          <w:szCs w:val="21"/>
          <w:u w:val="single"/>
          <w:lang w:eastAsia="zh-CN"/>
        </w:rPr>
        <w:t>②</w:t>
      </w:r>
      <w:r>
        <w:rPr>
          <w:color w:val="000000"/>
          <w:u w:val="single"/>
        </w:rPr>
        <w:t>配制药剂</w:t>
      </w:r>
    </w:p>
    <w:p>
      <w:pPr>
        <w:ind w:firstLine="480"/>
        <w:jc w:val="both"/>
        <w:rPr>
          <w:color w:val="000000"/>
          <w:u w:val="single"/>
        </w:rPr>
      </w:pPr>
      <w:r>
        <w:rPr>
          <w:rFonts w:hint="eastAsia"/>
          <w:color w:val="000000"/>
          <w:u w:val="single"/>
        </w:rPr>
        <w:t>本项目设有自动加药装置，</w:t>
      </w:r>
      <w:r>
        <w:rPr>
          <w:rFonts w:hint="eastAsia"/>
          <w:color w:val="000000"/>
          <w:u w:val="single"/>
          <w:lang w:eastAsia="zh-CN"/>
        </w:rPr>
        <w:t>一期工程</w:t>
      </w:r>
      <w:r>
        <w:rPr>
          <w:color w:val="000000"/>
          <w:u w:val="single"/>
        </w:rPr>
        <w:t>用水量约为</w:t>
      </w:r>
      <w:r>
        <w:rPr>
          <w:rFonts w:hint="eastAsia"/>
          <w:color w:val="000000"/>
          <w:u w:val="single"/>
          <w:lang w:val="en-US" w:eastAsia="zh-CN"/>
        </w:rPr>
        <w:t>0.3</w:t>
      </w:r>
      <w:r>
        <w:rPr>
          <w:color w:val="000000"/>
          <w:u w:val="single"/>
        </w:rPr>
        <w:t>m</w:t>
      </w:r>
      <w:r>
        <w:rPr>
          <w:color w:val="000000"/>
          <w:u w:val="single"/>
          <w:vertAlign w:val="superscript"/>
        </w:rPr>
        <w:t>3</w:t>
      </w:r>
      <w:r>
        <w:rPr>
          <w:color w:val="000000"/>
          <w:u w:val="single"/>
        </w:rPr>
        <w:t>/d</w:t>
      </w:r>
      <w:r>
        <w:rPr>
          <w:rFonts w:hint="eastAsia"/>
          <w:color w:val="000000"/>
          <w:u w:val="single"/>
          <w:lang w:eastAsia="zh-CN"/>
        </w:rPr>
        <w:t>（</w:t>
      </w:r>
      <w:r>
        <w:rPr>
          <w:rFonts w:hint="eastAsia"/>
          <w:color w:val="000000"/>
          <w:u w:val="single"/>
          <w:lang w:val="en-US" w:eastAsia="zh-CN"/>
        </w:rPr>
        <w:t>109.5t/a</w:t>
      </w:r>
      <w:r>
        <w:rPr>
          <w:rFonts w:hint="eastAsia"/>
          <w:color w:val="000000"/>
          <w:u w:val="single"/>
          <w:lang w:eastAsia="zh-CN"/>
        </w:rPr>
        <w:t>）</w:t>
      </w:r>
      <w:r>
        <w:rPr>
          <w:color w:val="000000"/>
          <w:u w:val="single"/>
        </w:rPr>
        <w:t>，</w:t>
      </w:r>
      <w:r>
        <w:rPr>
          <w:rFonts w:hint="eastAsia"/>
          <w:color w:val="000000"/>
          <w:u w:val="single"/>
          <w:lang w:eastAsia="zh-CN"/>
        </w:rPr>
        <w:t>二期工程建成后，</w:t>
      </w:r>
      <w:r>
        <w:rPr>
          <w:rFonts w:hint="eastAsia"/>
          <w:u w:val="single"/>
          <w:lang w:eastAsia="zh-CN"/>
        </w:rPr>
        <w:t>配置药剂总用水量为</w:t>
      </w:r>
      <w:r>
        <w:rPr>
          <w:rFonts w:hint="eastAsia"/>
          <w:u w:val="single"/>
          <w:lang w:val="en-US" w:eastAsia="zh-CN"/>
        </w:rPr>
        <w:t>0.75</w:t>
      </w:r>
      <w:r>
        <w:rPr>
          <w:u w:val="single"/>
        </w:rPr>
        <w:t>m</w:t>
      </w:r>
      <w:r>
        <w:rPr>
          <w:u w:val="single"/>
          <w:vertAlign w:val="superscript"/>
        </w:rPr>
        <w:t>3</w:t>
      </w:r>
      <w:r>
        <w:rPr>
          <w:u w:val="single"/>
        </w:rPr>
        <w:t>/d</w:t>
      </w:r>
      <w:r>
        <w:rPr>
          <w:rFonts w:hint="eastAsia"/>
          <w:u w:val="single"/>
          <w:lang w:eastAsia="zh-CN"/>
        </w:rPr>
        <w:t>（</w:t>
      </w:r>
      <w:r>
        <w:rPr>
          <w:rFonts w:hint="eastAsia"/>
          <w:u w:val="single"/>
          <w:lang w:val="en-US" w:eastAsia="zh-CN"/>
        </w:rPr>
        <w:t>273.75t/a</w:t>
      </w:r>
      <w:r>
        <w:rPr>
          <w:rFonts w:hint="eastAsia"/>
          <w:u w:val="single"/>
          <w:lang w:eastAsia="zh-CN"/>
        </w:rPr>
        <w:t>）</w:t>
      </w:r>
      <w:r>
        <w:rPr>
          <w:rFonts w:hint="eastAsia"/>
          <w:color w:val="000000"/>
          <w:u w:val="single"/>
        </w:rPr>
        <w:t>。</w:t>
      </w:r>
    </w:p>
    <w:p>
      <w:pPr>
        <w:ind w:firstLine="480"/>
        <w:jc w:val="both"/>
        <w:rPr>
          <w:rFonts w:hint="eastAsia"/>
          <w:color w:val="auto"/>
          <w:kern w:val="0"/>
          <w:szCs w:val="21"/>
          <w:u w:val="single"/>
        </w:rPr>
      </w:pPr>
      <w:r>
        <w:rPr>
          <w:rFonts w:hint="eastAsia"/>
          <w:color w:val="000000"/>
          <w:u w:val="single"/>
        </w:rPr>
        <w:t>③设备冲洗水：</w:t>
      </w:r>
      <w:r>
        <w:rPr>
          <w:rFonts w:hint="eastAsia"/>
          <w:u w:val="single"/>
        </w:rPr>
        <w:t>需要定期冲洗</w:t>
      </w:r>
      <w:r>
        <w:rPr>
          <w:rFonts w:hint="eastAsia"/>
          <w:u w:val="single"/>
          <w:lang w:eastAsia="zh-CN"/>
        </w:rPr>
        <w:t>叠螺污泥脱水</w:t>
      </w:r>
      <w:r>
        <w:rPr>
          <w:rFonts w:hint="eastAsia"/>
          <w:u w:val="single"/>
        </w:rPr>
        <w:t>机、药液搅拌机、</w:t>
      </w:r>
      <w:r>
        <w:rPr>
          <w:rFonts w:hint="eastAsia"/>
          <w:u w:val="single"/>
          <w:lang w:val="en-US" w:eastAsia="zh-CN"/>
        </w:rPr>
        <w:t>MBR膜在线清洗装置</w:t>
      </w:r>
      <w:r>
        <w:rPr>
          <w:rFonts w:hint="eastAsia"/>
          <w:u w:val="single"/>
        </w:rPr>
        <w:t>等设备，对比同类报告，</w:t>
      </w:r>
      <w:r>
        <w:rPr>
          <w:rFonts w:hint="eastAsia"/>
          <w:u w:val="single"/>
          <w:lang w:eastAsia="zh-CN"/>
        </w:rPr>
        <w:t>一期工程</w:t>
      </w:r>
      <w:r>
        <w:rPr>
          <w:rFonts w:hint="eastAsia"/>
          <w:u w:val="single"/>
        </w:rPr>
        <w:t>设备冲洗水使用量约</w:t>
      </w:r>
      <w:r>
        <w:rPr>
          <w:rFonts w:hint="eastAsia"/>
          <w:u w:val="single"/>
          <w:lang w:val="en-US" w:eastAsia="zh-CN"/>
        </w:rPr>
        <w:t>0.5</w:t>
      </w:r>
      <w:r>
        <w:rPr>
          <w:rFonts w:hint="eastAsia"/>
          <w:u w:val="single"/>
        </w:rPr>
        <w:t>m</w:t>
      </w:r>
      <w:r>
        <w:rPr>
          <w:rFonts w:hint="eastAsia"/>
          <w:u w:val="single"/>
          <w:vertAlign w:val="superscript"/>
        </w:rPr>
        <w:t>3</w:t>
      </w:r>
      <w:r>
        <w:rPr>
          <w:rFonts w:hint="eastAsia"/>
          <w:u w:val="single"/>
        </w:rPr>
        <w:t>/d</w:t>
      </w:r>
      <w:r>
        <w:rPr>
          <w:rFonts w:hint="eastAsia"/>
          <w:color w:val="000000"/>
          <w:u w:val="single"/>
          <w:lang w:eastAsia="zh-CN"/>
        </w:rPr>
        <w:t>（</w:t>
      </w:r>
      <w:r>
        <w:rPr>
          <w:rFonts w:hint="eastAsia"/>
          <w:color w:val="000000"/>
          <w:u w:val="single"/>
          <w:lang w:val="en-US" w:eastAsia="zh-CN"/>
        </w:rPr>
        <w:t>182.5t/a</w:t>
      </w:r>
      <w:r>
        <w:rPr>
          <w:rFonts w:hint="eastAsia"/>
          <w:color w:val="000000"/>
          <w:u w:val="single"/>
          <w:lang w:eastAsia="zh-CN"/>
        </w:rPr>
        <w:t>），</w:t>
      </w:r>
      <w:r>
        <w:rPr>
          <w:rFonts w:hint="eastAsia"/>
          <w:u w:val="single"/>
          <w:lang w:eastAsia="zh-CN"/>
        </w:rPr>
        <w:t>二期处理能力增加后，设备冲洗次数均增加，相应的设备冲洗废水也增加，其设备冲洗总用水量为</w:t>
      </w:r>
      <w:r>
        <w:rPr>
          <w:rFonts w:hint="eastAsia"/>
          <w:u w:val="single"/>
          <w:lang w:val="en-US" w:eastAsia="zh-CN"/>
        </w:rPr>
        <w:t>1</w:t>
      </w:r>
      <w:r>
        <w:rPr>
          <w:u w:val="single"/>
        </w:rPr>
        <w:t>m</w:t>
      </w:r>
      <w:r>
        <w:rPr>
          <w:u w:val="single"/>
          <w:vertAlign w:val="superscript"/>
        </w:rPr>
        <w:t>3</w:t>
      </w:r>
      <w:r>
        <w:rPr>
          <w:u w:val="single"/>
        </w:rPr>
        <w:t>/d</w:t>
      </w:r>
      <w:r>
        <w:rPr>
          <w:rFonts w:hint="eastAsia"/>
          <w:u w:val="single"/>
          <w:lang w:eastAsia="zh-CN"/>
        </w:rPr>
        <w:t>（</w:t>
      </w:r>
      <w:r>
        <w:rPr>
          <w:rFonts w:hint="eastAsia"/>
          <w:u w:val="single"/>
          <w:lang w:val="en-US" w:eastAsia="zh-CN"/>
        </w:rPr>
        <w:t>365t/a</w:t>
      </w:r>
      <w:r>
        <w:rPr>
          <w:rFonts w:hint="eastAsia"/>
          <w:u w:val="single"/>
          <w:lang w:eastAsia="zh-CN"/>
        </w:rPr>
        <w:t>）</w:t>
      </w:r>
      <w:r>
        <w:rPr>
          <w:rFonts w:hint="eastAsia"/>
          <w:color w:val="000000"/>
          <w:u w:val="single"/>
        </w:rPr>
        <w:t>。</w:t>
      </w:r>
    </w:p>
    <w:p>
      <w:pPr>
        <w:ind w:firstLine="480"/>
        <w:rPr>
          <w:rFonts w:hint="eastAsia"/>
          <w:color w:val="auto"/>
          <w:kern w:val="0"/>
          <w:szCs w:val="21"/>
          <w:u w:val="single"/>
        </w:rPr>
      </w:pPr>
      <w:r>
        <w:rPr>
          <w:rFonts w:hint="eastAsia"/>
          <w:color w:val="auto"/>
          <w:kern w:val="0"/>
          <w:szCs w:val="21"/>
          <w:u w:val="single"/>
        </w:rPr>
        <w:t>（2）原料消耗</w:t>
      </w:r>
    </w:p>
    <w:p>
      <w:pPr>
        <w:ind w:firstLine="480"/>
        <w:rPr>
          <w:rFonts w:hint="eastAsia"/>
          <w:color w:val="auto"/>
          <w:kern w:val="0"/>
          <w:szCs w:val="21"/>
          <w:u w:val="single"/>
        </w:rPr>
      </w:pPr>
      <w:r>
        <w:rPr>
          <w:rFonts w:hint="eastAsia"/>
          <w:color w:val="auto"/>
          <w:kern w:val="0"/>
          <w:szCs w:val="21"/>
          <w:u w:val="single"/>
        </w:rPr>
        <w:t>本项目所用到的原料包括PAM、</w:t>
      </w:r>
      <w:r>
        <w:rPr>
          <w:rFonts w:hint="eastAsia"/>
          <w:color w:val="auto"/>
          <w:u w:val="single"/>
        </w:rPr>
        <w:t>P</w:t>
      </w:r>
      <w:r>
        <w:rPr>
          <w:color w:val="auto"/>
          <w:u w:val="single"/>
        </w:rPr>
        <w:t>AC</w:t>
      </w:r>
      <w:r>
        <w:rPr>
          <w:rFonts w:hint="eastAsia"/>
          <w:color w:val="auto"/>
          <w:kern w:val="0"/>
          <w:szCs w:val="21"/>
          <w:u w:val="single"/>
        </w:rPr>
        <w:t>。结合项目建设规模，原料消耗按规模</w:t>
      </w:r>
      <w:r>
        <w:rPr>
          <w:rFonts w:hint="eastAsia"/>
          <w:color w:val="auto"/>
          <w:kern w:val="0"/>
          <w:szCs w:val="21"/>
          <w:u w:val="single"/>
          <w:lang w:val="en-US" w:eastAsia="zh-CN"/>
        </w:rPr>
        <w:t>1000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/d</w:t>
      </w:r>
      <w:r>
        <w:rPr>
          <w:rFonts w:hint="eastAsia"/>
          <w:color w:val="auto"/>
          <w:kern w:val="0"/>
          <w:szCs w:val="21"/>
          <w:u w:val="single"/>
          <w:lang w:eastAsia="zh-CN"/>
        </w:rPr>
        <w:t>（一期</w:t>
      </w:r>
      <w:r>
        <w:rPr>
          <w:rFonts w:hint="eastAsia"/>
          <w:color w:val="auto"/>
          <w:kern w:val="0"/>
          <w:szCs w:val="21"/>
          <w:u w:val="single"/>
          <w:lang w:val="en-US" w:eastAsia="zh-CN"/>
        </w:rPr>
        <w:t>400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/d</w:t>
      </w:r>
      <w:r>
        <w:rPr>
          <w:rFonts w:hint="eastAsia"/>
          <w:color w:val="auto"/>
          <w:kern w:val="0"/>
          <w:szCs w:val="21"/>
          <w:u w:val="single"/>
          <w:lang w:val="en-US" w:eastAsia="zh-CN"/>
        </w:rPr>
        <w:t>、二期600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/d</w:t>
      </w:r>
      <w:r>
        <w:rPr>
          <w:rFonts w:hint="eastAsia"/>
          <w:color w:val="auto"/>
          <w:kern w:val="0"/>
          <w:szCs w:val="21"/>
          <w:u w:val="single"/>
          <w:lang w:eastAsia="zh-CN"/>
        </w:rPr>
        <w:t>）</w:t>
      </w:r>
      <w:r>
        <w:rPr>
          <w:rFonts w:hint="eastAsia"/>
          <w:color w:val="auto"/>
          <w:kern w:val="0"/>
          <w:szCs w:val="21"/>
          <w:u w:val="single"/>
        </w:rPr>
        <w:t>，类比相似项目计算出其在项目运营期消耗量见下表2.</w:t>
      </w:r>
      <w:r>
        <w:rPr>
          <w:color w:val="auto"/>
          <w:kern w:val="0"/>
          <w:szCs w:val="21"/>
          <w:u w:val="single"/>
        </w:rPr>
        <w:t>2</w:t>
      </w:r>
      <w:r>
        <w:rPr>
          <w:rFonts w:hint="eastAsia"/>
          <w:color w:val="auto"/>
          <w:kern w:val="0"/>
          <w:szCs w:val="21"/>
          <w:u w:val="single"/>
        </w:rPr>
        <w:t>-1。</w:t>
      </w:r>
    </w:p>
    <w:p>
      <w:pPr>
        <w:ind w:firstLine="422"/>
        <w:jc w:val="center"/>
        <w:rPr>
          <w:rFonts w:hint="eastAsia"/>
          <w:b/>
          <w:color w:val="auto"/>
          <w:kern w:val="0"/>
          <w:sz w:val="21"/>
          <w:szCs w:val="21"/>
          <w:u w:val="single"/>
        </w:rPr>
      </w:pPr>
      <w:r>
        <w:rPr>
          <w:rFonts w:hint="eastAsia"/>
          <w:b/>
          <w:color w:val="auto"/>
          <w:kern w:val="0"/>
          <w:sz w:val="21"/>
          <w:szCs w:val="21"/>
          <w:u w:val="single"/>
        </w:rPr>
        <w:t>表2.</w:t>
      </w:r>
      <w:r>
        <w:rPr>
          <w:b/>
          <w:color w:val="auto"/>
          <w:kern w:val="0"/>
          <w:sz w:val="21"/>
          <w:szCs w:val="21"/>
          <w:u w:val="single"/>
        </w:rPr>
        <w:t>2</w:t>
      </w:r>
      <w:r>
        <w:rPr>
          <w:rFonts w:hint="eastAsia"/>
          <w:b/>
          <w:color w:val="auto"/>
          <w:kern w:val="0"/>
          <w:sz w:val="21"/>
          <w:szCs w:val="21"/>
          <w:u w:val="single"/>
        </w:rPr>
        <w:t>-1工程原辅材料消耗一览表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2078"/>
        <w:gridCol w:w="1002"/>
        <w:gridCol w:w="1712"/>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29"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序号</w:t>
            </w:r>
          </w:p>
        </w:tc>
        <w:tc>
          <w:tcPr>
            <w:tcW w:w="2078"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原料</w:t>
            </w:r>
          </w:p>
        </w:tc>
        <w:tc>
          <w:tcPr>
            <w:tcW w:w="1002"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单位</w:t>
            </w:r>
          </w:p>
        </w:tc>
        <w:tc>
          <w:tcPr>
            <w:tcW w:w="1712"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年消耗量</w:t>
            </w:r>
          </w:p>
        </w:tc>
        <w:tc>
          <w:tcPr>
            <w:tcW w:w="2053"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2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w:t>
            </w:r>
          </w:p>
        </w:tc>
        <w:tc>
          <w:tcPr>
            <w:tcW w:w="207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PAM</w:t>
            </w:r>
          </w:p>
        </w:tc>
        <w:tc>
          <w:tcPr>
            <w:tcW w:w="1002"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t</w:t>
            </w:r>
          </w:p>
        </w:tc>
        <w:tc>
          <w:tcPr>
            <w:tcW w:w="1712"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0.05</w:t>
            </w:r>
            <w:r>
              <w:rPr>
                <w:rFonts w:hint="default" w:ascii="Times New Roman" w:hAnsi="Times New Roman" w:cs="Times New Roman"/>
                <w:color w:val="auto"/>
                <w:u w:val="single"/>
              </w:rPr>
              <w:t>t/a</w:t>
            </w:r>
          </w:p>
        </w:tc>
        <w:tc>
          <w:tcPr>
            <w:tcW w:w="205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絮凝剂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2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2</w:t>
            </w:r>
          </w:p>
        </w:tc>
        <w:tc>
          <w:tcPr>
            <w:tcW w:w="207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PAC</w:t>
            </w:r>
          </w:p>
        </w:tc>
        <w:tc>
          <w:tcPr>
            <w:tcW w:w="1002"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t</w:t>
            </w:r>
          </w:p>
        </w:tc>
        <w:tc>
          <w:tcPr>
            <w:tcW w:w="1712"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0.05</w:t>
            </w:r>
            <w:r>
              <w:rPr>
                <w:rFonts w:hint="default" w:ascii="Times New Roman" w:hAnsi="Times New Roman" w:cs="Times New Roman"/>
                <w:color w:val="auto"/>
                <w:u w:val="single"/>
              </w:rPr>
              <w:t>/a</w:t>
            </w:r>
          </w:p>
        </w:tc>
        <w:tc>
          <w:tcPr>
            <w:tcW w:w="205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絮凝剂、化学除磷</w:t>
            </w:r>
          </w:p>
        </w:tc>
      </w:tr>
    </w:tbl>
    <w:p>
      <w:pPr>
        <w:autoSpaceDE w:val="0"/>
        <w:autoSpaceDN w:val="0"/>
        <w:adjustRightInd w:val="0"/>
        <w:ind w:firstLine="480"/>
        <w:jc w:val="center"/>
        <w:textAlignment w:val="baseline"/>
        <w:rPr>
          <w:rFonts w:hint="default" w:eastAsia="宋体"/>
          <w:b/>
          <w:bCs/>
          <w:color w:val="auto"/>
          <w:kern w:val="0"/>
          <w:sz w:val="21"/>
          <w:szCs w:val="21"/>
          <w:u w:val="none"/>
          <w:lang w:val="en-US" w:eastAsia="zh-CN"/>
        </w:rPr>
      </w:pPr>
      <w:r>
        <w:rPr>
          <w:rFonts w:hint="eastAsia"/>
          <w:b/>
          <w:bCs/>
          <w:color w:val="auto"/>
          <w:kern w:val="0"/>
          <w:sz w:val="21"/>
          <w:szCs w:val="21"/>
          <w:u w:val="none"/>
          <w:lang w:eastAsia="zh-CN"/>
        </w:rPr>
        <w:t>表</w:t>
      </w:r>
      <w:r>
        <w:rPr>
          <w:rFonts w:hint="eastAsia"/>
          <w:b/>
          <w:bCs/>
          <w:color w:val="auto"/>
          <w:kern w:val="0"/>
          <w:sz w:val="21"/>
          <w:szCs w:val="21"/>
          <w:u w:val="none"/>
          <w:lang w:val="en-US" w:eastAsia="zh-CN"/>
        </w:rPr>
        <w:t>2.2-2  丙烯酰胺（PAM）</w:t>
      </w:r>
      <w:r>
        <w:rPr>
          <w:rFonts w:hint="eastAsia"/>
          <w:b/>
          <w:bCs/>
          <w:color w:val="auto"/>
          <w:sz w:val="21"/>
          <w:szCs w:val="21"/>
        </w:rPr>
        <w:t>的理化性质</w:t>
      </w:r>
    </w:p>
    <w:tbl>
      <w:tblPr>
        <w:tblStyle w:val="36"/>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757"/>
        <w:gridCol w:w="1243"/>
        <w:gridCol w:w="1246"/>
        <w:gridCol w:w="1243"/>
        <w:gridCol w:w="1245"/>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restart"/>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标识</w:t>
            </w:r>
          </w:p>
        </w:tc>
        <w:tc>
          <w:tcPr>
            <w:tcW w:w="4246"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中文名：丙烯酰胺（PAM）</w:t>
            </w:r>
          </w:p>
        </w:tc>
        <w:tc>
          <w:tcPr>
            <w:tcW w:w="3519"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危险货物编号：61740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4246"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分子式：C</w:t>
            </w:r>
            <w:r>
              <w:rPr>
                <w:rFonts w:hint="default" w:ascii="Times New Roman" w:hAnsi="Times New Roman" w:cs="Times New Roman"/>
                <w:bCs/>
                <w:color w:val="auto"/>
                <w:kern w:val="0"/>
                <w:sz w:val="21"/>
                <w:szCs w:val="21"/>
                <w:vertAlign w:val="subscript"/>
              </w:rPr>
              <w:t>3</w:t>
            </w:r>
            <w:r>
              <w:rPr>
                <w:rFonts w:hint="default" w:ascii="Times New Roman" w:hAnsi="Times New Roman" w:cs="Times New Roman"/>
                <w:bCs/>
                <w:color w:val="auto"/>
                <w:kern w:val="0"/>
                <w:sz w:val="21"/>
                <w:szCs w:val="21"/>
              </w:rPr>
              <w:t>H</w:t>
            </w:r>
            <w:r>
              <w:rPr>
                <w:rFonts w:hint="default" w:ascii="Times New Roman" w:hAnsi="Times New Roman" w:cs="Times New Roman"/>
                <w:bCs/>
                <w:color w:val="auto"/>
                <w:kern w:val="0"/>
                <w:sz w:val="21"/>
                <w:szCs w:val="21"/>
                <w:vertAlign w:val="subscript"/>
              </w:rPr>
              <w:t>5</w:t>
            </w:r>
            <w:r>
              <w:rPr>
                <w:rFonts w:hint="default" w:ascii="Times New Roman" w:hAnsi="Times New Roman" w:cs="Times New Roman"/>
                <w:bCs/>
                <w:color w:val="auto"/>
                <w:kern w:val="0"/>
                <w:sz w:val="21"/>
                <w:szCs w:val="21"/>
              </w:rPr>
              <w:t>NO</w:t>
            </w:r>
          </w:p>
        </w:tc>
        <w:tc>
          <w:tcPr>
            <w:tcW w:w="3519"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UN编号：2074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4246"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分子量：71.08</w:t>
            </w:r>
          </w:p>
        </w:tc>
        <w:tc>
          <w:tcPr>
            <w:tcW w:w="3519"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CAS号：79-06-1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29" w:type="dxa"/>
            <w:vMerge w:val="restart"/>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理化性质</w:t>
            </w: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外观与性质</w:t>
            </w:r>
          </w:p>
        </w:tc>
        <w:tc>
          <w:tcPr>
            <w:tcW w:w="6008" w:type="dxa"/>
            <w:gridSpan w:val="5"/>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白色结晶固体，无气温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熔点（℃）</w:t>
            </w:r>
          </w:p>
        </w:tc>
        <w:tc>
          <w:tcPr>
            <w:tcW w:w="2489"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84.5</w:t>
            </w:r>
          </w:p>
        </w:tc>
        <w:tc>
          <w:tcPr>
            <w:tcW w:w="2488"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相对密度（水=1）</w:t>
            </w:r>
          </w:p>
        </w:tc>
        <w:tc>
          <w:tcPr>
            <w:tcW w:w="1031"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沸点（℃）</w:t>
            </w:r>
          </w:p>
        </w:tc>
        <w:tc>
          <w:tcPr>
            <w:tcW w:w="2489"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125</w:t>
            </w:r>
          </w:p>
        </w:tc>
        <w:tc>
          <w:tcPr>
            <w:tcW w:w="2488"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饱和蒸气压（kPa）</w:t>
            </w:r>
          </w:p>
        </w:tc>
        <w:tc>
          <w:tcPr>
            <w:tcW w:w="1031"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溶解性</w:t>
            </w:r>
          </w:p>
        </w:tc>
        <w:tc>
          <w:tcPr>
            <w:tcW w:w="6008" w:type="dxa"/>
            <w:gridSpan w:val="5"/>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不溶于苯，易溶于水、乙醇、丙酮、乙醚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29" w:type="dxa"/>
            <w:vMerge w:val="restart"/>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毒性及健康危害</w:t>
            </w: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侵入途径</w:t>
            </w:r>
          </w:p>
        </w:tc>
        <w:tc>
          <w:tcPr>
            <w:tcW w:w="6008" w:type="dxa"/>
            <w:gridSpan w:val="5"/>
            <w:tcBorders>
              <w:right w:val="single" w:color="auto"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毒性</w:t>
            </w:r>
          </w:p>
        </w:tc>
        <w:tc>
          <w:tcPr>
            <w:tcW w:w="6008" w:type="dxa"/>
            <w:gridSpan w:val="5"/>
            <w:tcBorders>
              <w:right w:val="single" w:color="auto"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LD</w:t>
            </w:r>
            <w:r>
              <w:rPr>
                <w:rFonts w:hint="default" w:ascii="Times New Roman" w:hAnsi="Times New Roman" w:cs="Times New Roman"/>
                <w:bCs/>
                <w:color w:val="auto"/>
                <w:kern w:val="0"/>
                <w:sz w:val="21"/>
                <w:szCs w:val="21"/>
                <w:vertAlign w:val="subscript"/>
              </w:rPr>
              <w:t>50</w:t>
            </w:r>
            <w:r>
              <w:rPr>
                <w:rFonts w:hint="default" w:ascii="Times New Roman" w:hAnsi="Times New Roman" w:cs="Times New Roman"/>
                <w:bCs/>
                <w:color w:val="auto"/>
                <w:kern w:val="0"/>
                <w:sz w:val="21"/>
                <w:szCs w:val="21"/>
              </w:rPr>
              <w:t>:150~180mg/kg（大鼠经口）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健康危害</w:t>
            </w:r>
          </w:p>
        </w:tc>
        <w:tc>
          <w:tcPr>
            <w:tcW w:w="6008" w:type="dxa"/>
            <w:gridSpan w:val="5"/>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本品是一种蓄积性的神经毒物，主要损害神经系统，轻度中毒以周围神经损害为主；重度可引起小脑病变。中毒多为慢性经过，初起为神经衰弱综合征，继之发生周围神经病，出现四肢麻木，感觉异常，腱反射减弱或消失，抽搐，瘫痪等，重度中毒出现以小脑病变为主的中毒性脑病，出现震颤、步态反紊乱、共济失调，甚至大小便失禁或小便潴留，皮肤接触本品，可发生粗糙、角化、脱屑，本品中毒主要因皮肤吸收引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急救方法</w:t>
            </w:r>
          </w:p>
        </w:tc>
        <w:tc>
          <w:tcPr>
            <w:tcW w:w="6008" w:type="dxa"/>
            <w:gridSpan w:val="5"/>
            <w:tcBorders>
              <w:right w:val="single" w:color="auto"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①皮肤接触：脱去污染的衣着，用肥皂水和清水彻底冲洗皮肤。②眼睛接触：提起眼睑，用流动清水或生理盐水冲洗，就医；③吸入：迅速脱离现场至空气新鲜处，保持呼吸道通畅，如呼吸困难，给输氧，如呼吸停止，立即进行人工呼吸，就医；④食入：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29" w:type="dxa"/>
            <w:vMerge w:val="restart"/>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燃烧爆炸危险特性</w:t>
            </w: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燃烧性</w:t>
            </w:r>
          </w:p>
        </w:tc>
        <w:tc>
          <w:tcPr>
            <w:tcW w:w="2489"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可燃</w:t>
            </w:r>
          </w:p>
        </w:tc>
        <w:tc>
          <w:tcPr>
            <w:tcW w:w="1243"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燃烧分解物</w:t>
            </w:r>
          </w:p>
        </w:tc>
        <w:tc>
          <w:tcPr>
            <w:tcW w:w="2276" w:type="dxa"/>
            <w:gridSpan w:val="2"/>
            <w:tcBorders>
              <w:top w:val="nil"/>
              <w:right w:val="single" w:color="auto"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闪点（℃）</w:t>
            </w:r>
          </w:p>
        </w:tc>
        <w:tc>
          <w:tcPr>
            <w:tcW w:w="2489"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w:t>
            </w:r>
          </w:p>
        </w:tc>
        <w:tc>
          <w:tcPr>
            <w:tcW w:w="1243"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爆炸上限</w:t>
            </w:r>
          </w:p>
        </w:tc>
        <w:tc>
          <w:tcPr>
            <w:tcW w:w="2276"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引燃温度（℃）</w:t>
            </w:r>
          </w:p>
        </w:tc>
        <w:tc>
          <w:tcPr>
            <w:tcW w:w="2489"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w:t>
            </w:r>
          </w:p>
        </w:tc>
        <w:tc>
          <w:tcPr>
            <w:tcW w:w="1243"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爆炸下限</w:t>
            </w:r>
          </w:p>
        </w:tc>
        <w:tc>
          <w:tcPr>
            <w:tcW w:w="2276"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危险特性</w:t>
            </w:r>
          </w:p>
        </w:tc>
        <w:tc>
          <w:tcPr>
            <w:tcW w:w="6008" w:type="dxa"/>
            <w:gridSpan w:val="5"/>
            <w:noWrap w:val="0"/>
            <w:vAlign w:val="center"/>
          </w:tcPr>
          <w:p>
            <w:pPr>
              <w:widowControl w:val="0"/>
              <w:suppressAutoHyphens/>
              <w:wordWrap w:val="0"/>
              <w:topLinePunct/>
              <w:spacing w:line="240" w:lineRule="auto"/>
              <w:ind w:firstLine="0" w:firstLineChars="0"/>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遇明火、高热可燃。若遇高热，可发生聚合反应，放出大量热量而引起容器破裂和爆炸事故。受高热分解产生有毒的腐蚀性烟气。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建规火险分级</w:t>
            </w:r>
          </w:p>
        </w:tc>
        <w:tc>
          <w:tcPr>
            <w:tcW w:w="1243"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丙</w:t>
            </w:r>
          </w:p>
        </w:tc>
        <w:tc>
          <w:tcPr>
            <w:tcW w:w="1246"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稳定性</w:t>
            </w:r>
          </w:p>
        </w:tc>
        <w:tc>
          <w:tcPr>
            <w:tcW w:w="1243"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稳定</w:t>
            </w:r>
          </w:p>
        </w:tc>
        <w:tc>
          <w:tcPr>
            <w:tcW w:w="1245"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聚合危害</w:t>
            </w:r>
          </w:p>
        </w:tc>
        <w:tc>
          <w:tcPr>
            <w:tcW w:w="1031"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禁忌物</w:t>
            </w:r>
          </w:p>
        </w:tc>
        <w:tc>
          <w:tcPr>
            <w:tcW w:w="6008" w:type="dxa"/>
            <w:gridSpan w:val="5"/>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强氧化剂、酸类、碱类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泄漏处理</w:t>
            </w:r>
          </w:p>
        </w:tc>
        <w:tc>
          <w:tcPr>
            <w:tcW w:w="6008" w:type="dxa"/>
            <w:gridSpan w:val="5"/>
            <w:noWrap w:val="0"/>
            <w:vAlign w:val="center"/>
          </w:tcPr>
          <w:p>
            <w:pPr>
              <w:widowControl w:val="0"/>
              <w:suppressAutoHyphens/>
              <w:wordWrap w:val="0"/>
              <w:topLinePunct/>
              <w:spacing w:line="240" w:lineRule="auto"/>
              <w:ind w:firstLine="0" w:firstLineChars="0"/>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隔离泄漏污染区，限制出入、切断火源，建议应急处理人员戴防尘面具（全面罩），穿防毒服，不要直接接触泄漏物。小量泄漏：避免扬尘，用洁净的铲子收集于干燥、洁净、有盖的容器中；也可以用大量水冲洗，洗水稀释后放入废水系统。大量泄漏：收集回收或运至废物处理场所处置。</w:t>
            </w:r>
          </w:p>
        </w:tc>
      </w:tr>
    </w:tbl>
    <w:p>
      <w:pPr>
        <w:pStyle w:val="124"/>
        <w:bidi w:val="0"/>
        <w:rPr>
          <w:rFonts w:hint="eastAsia"/>
          <w:color w:val="auto"/>
          <w:lang w:val="en-US" w:eastAsia="zh-CN"/>
        </w:rPr>
      </w:pPr>
      <w:r>
        <w:rPr>
          <w:rFonts w:hint="eastAsia"/>
          <w:color w:val="auto"/>
          <w:lang w:eastAsia="zh-CN"/>
        </w:rPr>
        <w:t>表</w:t>
      </w:r>
      <w:r>
        <w:rPr>
          <w:rFonts w:hint="eastAsia"/>
          <w:color w:val="auto"/>
          <w:lang w:val="en-US" w:eastAsia="zh-CN"/>
        </w:rPr>
        <w:t xml:space="preserve">2.2-3  </w:t>
      </w:r>
      <w:r>
        <w:rPr>
          <w:rFonts w:hint="eastAsia"/>
          <w:color w:val="auto"/>
          <w:lang w:eastAsia="zh-CN"/>
        </w:rPr>
        <w:t>聚氯化铝</w:t>
      </w:r>
      <w:r>
        <w:rPr>
          <w:rFonts w:hint="default"/>
          <w:color w:val="auto"/>
        </w:rPr>
        <w:t>（</w:t>
      </w:r>
      <w:r>
        <w:rPr>
          <w:rFonts w:hint="eastAsia"/>
          <w:color w:val="auto"/>
          <w:lang w:val="en-US" w:eastAsia="zh-CN"/>
        </w:rPr>
        <w:t>PAC</w:t>
      </w:r>
      <w:r>
        <w:rPr>
          <w:rFonts w:hint="default"/>
          <w:color w:val="auto"/>
        </w:rPr>
        <w:t>）</w:t>
      </w:r>
      <w:r>
        <w:rPr>
          <w:rFonts w:hint="eastAsia"/>
          <w:color w:val="auto"/>
          <w:lang w:eastAsia="zh-CN"/>
        </w:rPr>
        <w:t>的理化性质</w:t>
      </w:r>
    </w:p>
    <w:tbl>
      <w:tblPr>
        <w:tblStyle w:val="36"/>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757"/>
        <w:gridCol w:w="1243"/>
        <w:gridCol w:w="1090"/>
        <w:gridCol w:w="1399"/>
        <w:gridCol w:w="1245"/>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restart"/>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标识</w:t>
            </w:r>
          </w:p>
        </w:tc>
        <w:tc>
          <w:tcPr>
            <w:tcW w:w="4090"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中文名：</w:t>
            </w:r>
            <w:r>
              <w:rPr>
                <w:rFonts w:hint="eastAsia" w:ascii="Times New Roman" w:hAnsi="Times New Roman" w:cs="Times New Roman"/>
                <w:bCs/>
                <w:color w:val="auto"/>
                <w:kern w:val="0"/>
                <w:sz w:val="21"/>
                <w:szCs w:val="21"/>
                <w:lang w:eastAsia="zh-CN"/>
              </w:rPr>
              <w:t>聚氯化铝</w:t>
            </w:r>
            <w:r>
              <w:rPr>
                <w:rFonts w:hint="default" w:ascii="Times New Roman" w:hAnsi="Times New Roman" w:cs="Times New Roman"/>
                <w:bCs/>
                <w:color w:val="auto"/>
                <w:kern w:val="0"/>
                <w:sz w:val="21"/>
                <w:szCs w:val="21"/>
              </w:rPr>
              <w:t>（</w:t>
            </w:r>
            <w:r>
              <w:rPr>
                <w:rFonts w:hint="eastAsia" w:ascii="Times New Roman" w:hAnsi="Times New Roman" w:cs="Times New Roman"/>
                <w:bCs/>
                <w:color w:val="auto"/>
                <w:kern w:val="0"/>
                <w:sz w:val="21"/>
                <w:szCs w:val="21"/>
                <w:lang w:val="en-US" w:eastAsia="zh-CN"/>
              </w:rPr>
              <w:t>PAC</w:t>
            </w:r>
            <w:r>
              <w:rPr>
                <w:rFonts w:hint="default" w:ascii="Times New Roman" w:hAnsi="Times New Roman" w:cs="Times New Roman"/>
                <w:bCs/>
                <w:color w:val="auto"/>
                <w:kern w:val="0"/>
                <w:sz w:val="21"/>
                <w:szCs w:val="21"/>
              </w:rPr>
              <w:t>）</w:t>
            </w:r>
          </w:p>
        </w:tc>
        <w:tc>
          <w:tcPr>
            <w:tcW w:w="3675"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rPr>
              <w:t>危险货物编号：</w:t>
            </w:r>
            <w:r>
              <w:rPr>
                <w:rFonts w:hint="eastAsia" w:ascii="Times New Roman" w:hAnsi="Times New Roman" w:cs="Times New Roman"/>
                <w:bCs/>
                <w:color w:val="auto"/>
                <w:kern w:val="0"/>
                <w:sz w:val="21"/>
                <w:szCs w:val="21"/>
                <w:lang w:val="en-US" w:eastAsia="zh-CN"/>
              </w:rPr>
              <w:t>81045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4090"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rPr>
              <w:t>分子式：</w:t>
            </w:r>
            <w:r>
              <w:rPr>
                <w:rFonts w:hint="eastAsia" w:ascii="Times New Roman" w:hAnsi="Times New Roman" w:cs="Times New Roman"/>
                <w:bCs/>
                <w:color w:val="auto"/>
                <w:kern w:val="0"/>
                <w:sz w:val="21"/>
                <w:szCs w:val="21"/>
                <w:lang w:val="en-US" w:eastAsia="zh-CN"/>
              </w:rPr>
              <w:t>AlCl</w:t>
            </w:r>
            <w:r>
              <w:rPr>
                <w:rFonts w:hint="eastAsia" w:ascii="Times New Roman" w:hAnsi="Times New Roman" w:cs="Times New Roman"/>
                <w:bCs/>
                <w:color w:val="auto"/>
                <w:kern w:val="0"/>
                <w:sz w:val="21"/>
                <w:szCs w:val="21"/>
                <w:vertAlign w:val="subscript"/>
                <w:lang w:val="en-US" w:eastAsia="zh-CN"/>
              </w:rPr>
              <w:t>3</w:t>
            </w:r>
          </w:p>
        </w:tc>
        <w:tc>
          <w:tcPr>
            <w:tcW w:w="3675"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rPr>
              <w:t>UN编号：</w:t>
            </w:r>
            <w:r>
              <w:rPr>
                <w:rFonts w:hint="eastAsia" w:ascii="Times New Roman" w:hAnsi="Times New Roman" w:cs="Times New Roman"/>
                <w:bCs/>
                <w:color w:val="auto"/>
                <w:kern w:val="0"/>
                <w:sz w:val="21"/>
                <w:szCs w:val="21"/>
                <w:lang w:val="en-US" w:eastAsia="zh-CN"/>
              </w:rPr>
              <w:t>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4090"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分子量：71.08</w:t>
            </w:r>
          </w:p>
        </w:tc>
        <w:tc>
          <w:tcPr>
            <w:tcW w:w="3675" w:type="dxa"/>
            <w:gridSpan w:val="3"/>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rPr>
              <w:t>CAS号：</w:t>
            </w:r>
            <w:r>
              <w:rPr>
                <w:rFonts w:hint="eastAsia" w:ascii="Times New Roman" w:hAnsi="Times New Roman" w:cs="Times New Roman"/>
                <w:bCs/>
                <w:color w:val="auto"/>
                <w:kern w:val="0"/>
                <w:sz w:val="21"/>
                <w:szCs w:val="21"/>
                <w:lang w:val="en-US" w:eastAsia="zh-CN"/>
              </w:rPr>
              <w:t>7446-70-0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29" w:type="dxa"/>
            <w:vMerge w:val="restart"/>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理化性质</w:t>
            </w: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外观与性质</w:t>
            </w:r>
          </w:p>
        </w:tc>
        <w:tc>
          <w:tcPr>
            <w:tcW w:w="6008" w:type="dxa"/>
            <w:gridSpan w:val="5"/>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白色颗粒或粉末，有强盐酸气味，工业品呈淡黄色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熔点（℃）</w:t>
            </w:r>
          </w:p>
        </w:tc>
        <w:tc>
          <w:tcPr>
            <w:tcW w:w="2333"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190</w:t>
            </w:r>
          </w:p>
        </w:tc>
        <w:tc>
          <w:tcPr>
            <w:tcW w:w="2644"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相对密度（水=1）</w:t>
            </w:r>
          </w:p>
        </w:tc>
        <w:tc>
          <w:tcPr>
            <w:tcW w:w="1031"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沸点（℃）</w:t>
            </w:r>
          </w:p>
        </w:tc>
        <w:tc>
          <w:tcPr>
            <w:tcW w:w="2333"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178</w:t>
            </w:r>
          </w:p>
        </w:tc>
        <w:tc>
          <w:tcPr>
            <w:tcW w:w="2644"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饱和蒸气压（kPa）</w:t>
            </w:r>
          </w:p>
        </w:tc>
        <w:tc>
          <w:tcPr>
            <w:tcW w:w="1031"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溶解性</w:t>
            </w:r>
          </w:p>
        </w:tc>
        <w:tc>
          <w:tcPr>
            <w:tcW w:w="6008" w:type="dxa"/>
            <w:gridSpan w:val="5"/>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bCs/>
                <w:color w:val="auto"/>
                <w:kern w:val="0"/>
                <w:sz w:val="21"/>
                <w:szCs w:val="21"/>
                <w:lang w:eastAsia="zh-CN"/>
              </w:rPr>
            </w:pPr>
            <w:r>
              <w:rPr>
                <w:rFonts w:hint="eastAsia" w:ascii="Times New Roman" w:hAnsi="Times New Roman" w:cs="Times New Roman"/>
                <w:bCs/>
                <w:color w:val="auto"/>
                <w:kern w:val="0"/>
                <w:sz w:val="21"/>
                <w:szCs w:val="21"/>
                <w:lang w:eastAsia="zh-CN"/>
              </w:rPr>
              <w:t>易溶于水、醇、氯仿、四氯化碳，微溶于苯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29" w:type="dxa"/>
            <w:vMerge w:val="restart"/>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毒性及健康危害</w:t>
            </w: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侵入途径</w:t>
            </w:r>
          </w:p>
        </w:tc>
        <w:tc>
          <w:tcPr>
            <w:tcW w:w="6008" w:type="dxa"/>
            <w:gridSpan w:val="5"/>
            <w:tcBorders>
              <w:right w:val="single" w:color="auto"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毒性</w:t>
            </w:r>
          </w:p>
        </w:tc>
        <w:tc>
          <w:tcPr>
            <w:tcW w:w="6008" w:type="dxa"/>
            <w:gridSpan w:val="5"/>
            <w:tcBorders>
              <w:right w:val="single" w:color="auto"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LD</w:t>
            </w:r>
            <w:r>
              <w:rPr>
                <w:rFonts w:hint="default" w:ascii="Times New Roman" w:hAnsi="Times New Roman" w:cs="Times New Roman"/>
                <w:bCs/>
                <w:color w:val="auto"/>
                <w:kern w:val="0"/>
                <w:sz w:val="21"/>
                <w:szCs w:val="21"/>
                <w:vertAlign w:val="subscript"/>
              </w:rPr>
              <w:t>50</w:t>
            </w:r>
            <w:r>
              <w:rPr>
                <w:rFonts w:hint="default" w:ascii="Times New Roman" w:hAnsi="Times New Roman" w:cs="Times New Roman"/>
                <w:bCs/>
                <w:color w:val="auto"/>
                <w:kern w:val="0"/>
                <w:sz w:val="21"/>
                <w:szCs w:val="21"/>
              </w:rPr>
              <w:t>:</w:t>
            </w:r>
            <w:r>
              <w:rPr>
                <w:rFonts w:hint="eastAsia" w:ascii="Times New Roman" w:hAnsi="Times New Roman" w:cs="Times New Roman"/>
                <w:bCs/>
                <w:color w:val="auto"/>
                <w:kern w:val="0"/>
                <w:sz w:val="21"/>
                <w:szCs w:val="21"/>
                <w:lang w:val="en-US" w:eastAsia="zh-CN"/>
              </w:rPr>
              <w:t>3730</w:t>
            </w:r>
            <w:r>
              <w:rPr>
                <w:rFonts w:hint="default" w:ascii="Times New Roman" w:hAnsi="Times New Roman" w:cs="Times New Roman"/>
                <w:bCs/>
                <w:color w:val="auto"/>
                <w:kern w:val="0"/>
                <w:sz w:val="21"/>
                <w:szCs w:val="21"/>
              </w:rPr>
              <w:t>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健康危害</w:t>
            </w:r>
          </w:p>
        </w:tc>
        <w:tc>
          <w:tcPr>
            <w:tcW w:w="6008" w:type="dxa"/>
            <w:gridSpan w:val="5"/>
            <w:noWrap w:val="0"/>
            <w:vAlign w:val="center"/>
          </w:tcPr>
          <w:p>
            <w:pPr>
              <w:widowControl w:val="0"/>
              <w:suppressAutoHyphens/>
              <w:wordWrap w:val="0"/>
              <w:topLinePunct/>
              <w:spacing w:line="240" w:lineRule="auto"/>
              <w:ind w:firstLine="0" w:firstLineChars="0"/>
              <w:jc w:val="both"/>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吸入高浓度氯化铝可刺激上呼吸道产生支气管炎，并且对皮肤、粘膜有刺激作用，个别人可引起支气管哮喘。误服量大时，可引起口腔糜烂、胃炎、胃出血和粘膜坏死。</w:t>
            </w:r>
          </w:p>
          <w:p>
            <w:pPr>
              <w:widowControl w:val="0"/>
              <w:suppressAutoHyphens/>
              <w:wordWrap w:val="0"/>
              <w:topLinePunct/>
              <w:spacing w:line="240" w:lineRule="auto"/>
              <w:ind w:firstLine="0" w:firstLineChars="0"/>
              <w:jc w:val="both"/>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慢性作用</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长期接触可引起头痛、头晕、食欲减退、咳嗽、鼻塞、胸痛等症状。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急救方法</w:t>
            </w:r>
          </w:p>
        </w:tc>
        <w:tc>
          <w:tcPr>
            <w:tcW w:w="6008" w:type="dxa"/>
            <w:gridSpan w:val="5"/>
            <w:tcBorders>
              <w:right w:val="single" w:color="auto" w:sz="4" w:space="0"/>
            </w:tcBorders>
            <w:noWrap w:val="0"/>
            <w:vAlign w:val="center"/>
          </w:tcPr>
          <w:p>
            <w:pPr>
              <w:widowControl w:val="0"/>
              <w:suppressAutoHyphens/>
              <w:wordWrap w:val="0"/>
              <w:topLinePunct/>
              <w:spacing w:line="240" w:lineRule="auto"/>
              <w:ind w:firstLine="0" w:firstLineChars="0"/>
              <w:jc w:val="both"/>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皮肤接触</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立即脱去污染的衣着，用大量流动清水彻底冲洗。</w:t>
            </w:r>
          </w:p>
          <w:p>
            <w:pPr>
              <w:widowControl w:val="0"/>
              <w:suppressAutoHyphens/>
              <w:wordWrap w:val="0"/>
              <w:topLinePunct/>
              <w:spacing w:line="240" w:lineRule="auto"/>
              <w:ind w:firstLine="0" w:firstLineChars="0"/>
              <w:jc w:val="both"/>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眼睛接触</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立即提起眼睑，用流动清水冲洗10分钟或用2%碳酸氢钠溶液冲洗。</w:t>
            </w:r>
          </w:p>
          <w:p>
            <w:pPr>
              <w:widowControl w:val="0"/>
              <w:suppressAutoHyphens/>
              <w:wordWrap w:val="0"/>
              <w:topLinePunct/>
              <w:spacing w:line="240" w:lineRule="auto"/>
              <w:ind w:firstLine="0" w:firstLineChars="0"/>
              <w:jc w:val="both"/>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吸入</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迅速脱离现场至空气新鲜处。注意保暖，保持呼吸道通畅。</w:t>
            </w:r>
          </w:p>
          <w:p>
            <w:pPr>
              <w:widowControl w:val="0"/>
              <w:suppressAutoHyphens/>
              <w:wordWrap w:val="0"/>
              <w:topLinePunct/>
              <w:spacing w:line="240" w:lineRule="auto"/>
              <w:ind w:firstLine="0" w:firstLineChars="0"/>
              <w:jc w:val="both"/>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必要时进行人工呼吸。就医。</w:t>
            </w:r>
          </w:p>
          <w:p>
            <w:pPr>
              <w:widowControl w:val="0"/>
              <w:suppressAutoHyphens/>
              <w:wordWrap w:val="0"/>
              <w:topLinePunct/>
              <w:spacing w:line="240" w:lineRule="auto"/>
              <w:ind w:firstLine="0" w:firstLineChars="0"/>
              <w:jc w:val="both"/>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食入</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患者清醒时立即漱口，给饮牛奶或蛋清。立即就医。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29" w:type="dxa"/>
            <w:vMerge w:val="restart"/>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燃烧爆炸危险特性</w:t>
            </w: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燃烧性</w:t>
            </w:r>
          </w:p>
        </w:tc>
        <w:tc>
          <w:tcPr>
            <w:tcW w:w="2333"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lang w:eastAsia="zh-CN"/>
              </w:rPr>
              <w:t>不</w:t>
            </w:r>
            <w:r>
              <w:rPr>
                <w:rFonts w:hint="default" w:ascii="Times New Roman" w:hAnsi="Times New Roman" w:cs="Times New Roman"/>
                <w:bCs/>
                <w:color w:val="auto"/>
                <w:kern w:val="0"/>
                <w:sz w:val="21"/>
                <w:szCs w:val="21"/>
              </w:rPr>
              <w:t>燃</w:t>
            </w:r>
          </w:p>
        </w:tc>
        <w:tc>
          <w:tcPr>
            <w:tcW w:w="1399"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燃烧分解物</w:t>
            </w:r>
          </w:p>
        </w:tc>
        <w:tc>
          <w:tcPr>
            <w:tcW w:w="2276" w:type="dxa"/>
            <w:gridSpan w:val="2"/>
            <w:tcBorders>
              <w:top w:val="nil"/>
              <w:right w:val="single" w:color="auto" w:sz="4" w:space="0"/>
            </w:tcBorders>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bCs/>
                <w:color w:val="auto"/>
                <w:kern w:val="0"/>
                <w:sz w:val="21"/>
                <w:szCs w:val="21"/>
                <w:lang w:eastAsia="zh-CN"/>
              </w:rPr>
            </w:pPr>
            <w:r>
              <w:rPr>
                <w:rFonts w:hint="eastAsia" w:ascii="Times New Roman" w:hAnsi="Times New Roman" w:cs="Times New Roman"/>
                <w:bCs/>
                <w:color w:val="auto"/>
                <w:kern w:val="0"/>
                <w:sz w:val="21"/>
                <w:szCs w:val="21"/>
                <w:lang w:eastAsia="zh-CN"/>
              </w:rPr>
              <w:t>氯化物、氧化铝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闪点（℃）</w:t>
            </w:r>
          </w:p>
        </w:tc>
        <w:tc>
          <w:tcPr>
            <w:tcW w:w="2333"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w:t>
            </w:r>
          </w:p>
        </w:tc>
        <w:tc>
          <w:tcPr>
            <w:tcW w:w="1399"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爆炸上限</w:t>
            </w:r>
          </w:p>
        </w:tc>
        <w:tc>
          <w:tcPr>
            <w:tcW w:w="2276"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引燃温度（℃）</w:t>
            </w:r>
          </w:p>
        </w:tc>
        <w:tc>
          <w:tcPr>
            <w:tcW w:w="2333"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w:t>
            </w:r>
          </w:p>
        </w:tc>
        <w:tc>
          <w:tcPr>
            <w:tcW w:w="1399"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爆炸下限</w:t>
            </w:r>
          </w:p>
        </w:tc>
        <w:tc>
          <w:tcPr>
            <w:tcW w:w="2276" w:type="dxa"/>
            <w:gridSpan w:val="2"/>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危险特性</w:t>
            </w:r>
          </w:p>
        </w:tc>
        <w:tc>
          <w:tcPr>
            <w:tcW w:w="6008" w:type="dxa"/>
            <w:gridSpan w:val="5"/>
            <w:noWrap w:val="0"/>
            <w:vAlign w:val="center"/>
          </w:tcPr>
          <w:p>
            <w:pPr>
              <w:widowControl w:val="0"/>
              <w:suppressAutoHyphens/>
              <w:wordWrap w:val="0"/>
              <w:topLinePunct/>
              <w:spacing w:line="240" w:lineRule="auto"/>
              <w:ind w:firstLine="0" w:firstLineChars="0"/>
              <w:rPr>
                <w:rFonts w:hint="eastAsia"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rPr>
              <w:t>遇水或水蒸气反应放热并产生有毒的腐蚀性气体。对很多金属尤其是潮湿空气存在下有腐蚀性</w:t>
            </w:r>
            <w:r>
              <w:rPr>
                <w:rFonts w:hint="eastAsia" w:ascii="Times New Roman" w:hAnsi="Times New Roman" w:cs="Times New Roman"/>
                <w:bCs/>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建规火险分级</w:t>
            </w:r>
          </w:p>
        </w:tc>
        <w:tc>
          <w:tcPr>
            <w:tcW w:w="1243"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bCs/>
                <w:color w:val="auto"/>
                <w:kern w:val="0"/>
                <w:sz w:val="21"/>
                <w:szCs w:val="21"/>
                <w:lang w:eastAsia="zh-CN"/>
              </w:rPr>
            </w:pPr>
            <w:r>
              <w:rPr>
                <w:rFonts w:hint="eastAsia" w:ascii="Times New Roman" w:hAnsi="Times New Roman" w:cs="Times New Roman"/>
                <w:bCs/>
                <w:color w:val="auto"/>
                <w:kern w:val="0"/>
                <w:sz w:val="21"/>
                <w:szCs w:val="21"/>
                <w:lang w:eastAsia="zh-CN"/>
              </w:rPr>
              <w:t>戊</w:t>
            </w:r>
          </w:p>
        </w:tc>
        <w:tc>
          <w:tcPr>
            <w:tcW w:w="1090"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稳定性</w:t>
            </w:r>
          </w:p>
        </w:tc>
        <w:tc>
          <w:tcPr>
            <w:tcW w:w="1399"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稳定</w:t>
            </w:r>
          </w:p>
        </w:tc>
        <w:tc>
          <w:tcPr>
            <w:tcW w:w="1245"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聚合危害</w:t>
            </w:r>
          </w:p>
        </w:tc>
        <w:tc>
          <w:tcPr>
            <w:tcW w:w="1031"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lang w:eastAsia="zh-CN"/>
              </w:rPr>
              <w:t>不</w:t>
            </w:r>
            <w:r>
              <w:rPr>
                <w:rFonts w:hint="default" w:ascii="Times New Roman" w:hAnsi="Times New Roman" w:cs="Times New Roman"/>
                <w:bCs/>
                <w:color w:val="auto"/>
                <w:kern w:val="0"/>
                <w:sz w:val="21"/>
                <w:szCs w:val="21"/>
              </w:rPr>
              <w:t>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禁忌物</w:t>
            </w:r>
          </w:p>
        </w:tc>
        <w:tc>
          <w:tcPr>
            <w:tcW w:w="6008" w:type="dxa"/>
            <w:gridSpan w:val="5"/>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lang w:eastAsia="zh-CN"/>
              </w:rPr>
              <w:t>易燃或可燃物、碱类、水、醇类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29" w:type="dxa"/>
            <w:vMerge w:val="continue"/>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p>
        </w:tc>
        <w:tc>
          <w:tcPr>
            <w:tcW w:w="1757" w:type="dxa"/>
            <w:noWrap w:val="0"/>
            <w:vAlign w:val="center"/>
          </w:tcPr>
          <w:p>
            <w:pPr>
              <w:widowControl w:val="0"/>
              <w:suppressAutoHyphens/>
              <w:wordWrap w:val="0"/>
              <w:topLinePunct/>
              <w:spacing w:line="240" w:lineRule="auto"/>
              <w:ind w:firstLine="0" w:firstLineChars="0"/>
              <w:jc w:val="center"/>
              <w:rPr>
                <w:rFonts w:hint="default"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lang w:eastAsia="zh-CN"/>
              </w:rPr>
              <w:t>储运条件与</w:t>
            </w:r>
            <w:r>
              <w:rPr>
                <w:rFonts w:hint="default" w:ascii="Times New Roman" w:hAnsi="Times New Roman" w:cs="Times New Roman"/>
                <w:bCs/>
                <w:color w:val="auto"/>
                <w:kern w:val="0"/>
                <w:sz w:val="21"/>
                <w:szCs w:val="21"/>
              </w:rPr>
              <w:t>泄漏处理</w:t>
            </w:r>
          </w:p>
        </w:tc>
        <w:tc>
          <w:tcPr>
            <w:tcW w:w="6008" w:type="dxa"/>
            <w:gridSpan w:val="5"/>
            <w:noWrap w:val="0"/>
            <w:vAlign w:val="center"/>
          </w:tcPr>
          <w:p>
            <w:pPr>
              <w:widowControl w:val="0"/>
              <w:suppressAutoHyphens/>
              <w:wordWrap w:val="0"/>
              <w:topLinePunct/>
              <w:spacing w:line="240" w:lineRule="auto"/>
              <w:ind w:firstLine="0" w:firstLineChars="0"/>
              <w:rPr>
                <w:rFonts w:hint="eastAsia" w:ascii="Times New Roman" w:hAnsi="Times New Roman" w:cs="Times New Roman"/>
                <w:bCs/>
                <w:color w:val="auto"/>
                <w:kern w:val="0"/>
                <w:sz w:val="21"/>
                <w:szCs w:val="21"/>
                <w:lang w:eastAsia="zh-CN"/>
              </w:rPr>
            </w:pPr>
            <w:r>
              <w:rPr>
                <w:rFonts w:hint="default" w:ascii="Times New Roman" w:hAnsi="Times New Roman" w:cs="Times New Roman"/>
                <w:bCs/>
                <w:color w:val="auto"/>
                <w:kern w:val="0"/>
                <w:sz w:val="21"/>
                <w:szCs w:val="21"/>
              </w:rPr>
              <w:t>储运条件</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储存于阴凉、干燥.通风良好的库房</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远离火种、热源</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相对湿度保持在75%以下。包装必须密封，切勿受潮.应与易</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可</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燃物、碱类、醇类等分开存放，切忌混储</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不宜久存，以免变质</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严禁与易燃物或可燃物、碱类、醇类、食用化学品等混装混运。运输时运输车辆应配备泄漏应急处理设备</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运输途中应防曝晒、雨淋，防高温</w:t>
            </w:r>
            <w:r>
              <w:rPr>
                <w:rFonts w:hint="eastAsia" w:ascii="Times New Roman" w:hAnsi="Times New Roman" w:cs="Times New Roman"/>
                <w:bCs/>
                <w:color w:val="auto"/>
                <w:kern w:val="0"/>
                <w:sz w:val="21"/>
                <w:szCs w:val="21"/>
                <w:lang w:eastAsia="zh-CN"/>
              </w:rPr>
              <w:t>。</w:t>
            </w:r>
          </w:p>
          <w:p>
            <w:pPr>
              <w:widowControl w:val="0"/>
              <w:suppressAutoHyphens/>
              <w:wordWrap w:val="0"/>
              <w:topLinePunct/>
              <w:spacing w:line="240" w:lineRule="auto"/>
              <w:ind w:firstLine="0" w:firstLineChars="0"/>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泄漏处理</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隔离泄漏污染区，周围设警告标志，建议应急处理</w:t>
            </w:r>
            <w:r>
              <w:rPr>
                <w:rFonts w:hint="eastAsia" w:ascii="Times New Roman" w:hAnsi="Times New Roman" w:cs="Times New Roman"/>
                <w:bCs/>
                <w:color w:val="auto"/>
                <w:kern w:val="0"/>
                <w:sz w:val="21"/>
                <w:szCs w:val="21"/>
                <w:lang w:eastAsia="zh-CN"/>
              </w:rPr>
              <w:t>人</w:t>
            </w:r>
            <w:r>
              <w:rPr>
                <w:rFonts w:hint="default" w:ascii="Times New Roman" w:hAnsi="Times New Roman" w:cs="Times New Roman"/>
                <w:bCs/>
                <w:color w:val="auto"/>
                <w:kern w:val="0"/>
                <w:sz w:val="21"/>
                <w:szCs w:val="21"/>
              </w:rPr>
              <w:t>员戴自给式呼吸器，穿化学防护服</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不要直接按触泄漏物，勿使泄漏物与可燃物质</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木材、纸、油等</w:t>
            </w:r>
            <w:r>
              <w:rPr>
                <w:rFonts w:hint="eastAsia"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接触。用清洁的铲子收集于密闭容器中作好标记，等待处理。如果大量泄漏，最好不用水处理，在技术人员指导下清除。</w:t>
            </w:r>
          </w:p>
        </w:tc>
      </w:tr>
    </w:tbl>
    <w:p>
      <w:pPr>
        <w:autoSpaceDE w:val="0"/>
        <w:autoSpaceDN w:val="0"/>
        <w:adjustRightInd w:val="0"/>
        <w:ind w:firstLine="480"/>
        <w:textAlignment w:val="baseline"/>
        <w:rPr>
          <w:rFonts w:hint="eastAsia"/>
          <w:color w:val="auto"/>
          <w:kern w:val="0"/>
          <w:szCs w:val="21"/>
          <w:u w:val="none"/>
        </w:rPr>
      </w:pPr>
      <w:r>
        <w:rPr>
          <w:rFonts w:hint="eastAsia"/>
          <w:color w:val="auto"/>
          <w:kern w:val="0"/>
          <w:szCs w:val="21"/>
          <w:u w:val="none"/>
        </w:rPr>
        <w:t>（3）电量消耗</w:t>
      </w:r>
    </w:p>
    <w:p>
      <w:pPr>
        <w:autoSpaceDE w:val="0"/>
        <w:autoSpaceDN w:val="0"/>
        <w:adjustRightInd w:val="0"/>
        <w:ind w:firstLine="600" w:firstLineChars="250"/>
        <w:textAlignment w:val="baseline"/>
        <w:rPr>
          <w:rFonts w:hint="eastAsia"/>
          <w:color w:val="auto"/>
          <w:kern w:val="0"/>
          <w:u w:val="none"/>
        </w:rPr>
      </w:pPr>
      <w:r>
        <w:rPr>
          <w:rFonts w:hint="eastAsia"/>
          <w:color w:val="auto"/>
          <w:kern w:val="0"/>
          <w:u w:val="none"/>
        </w:rPr>
        <w:t>电量消耗为本项目主要能量消耗，</w:t>
      </w:r>
      <w:r>
        <w:rPr>
          <w:rFonts w:hint="eastAsia"/>
          <w:color w:val="auto"/>
          <w:kern w:val="0"/>
          <w:u w:val="none"/>
          <w:lang w:eastAsia="zh-CN"/>
        </w:rPr>
        <w:t>一期工程</w:t>
      </w:r>
      <w:r>
        <w:rPr>
          <w:rFonts w:hint="eastAsia"/>
          <w:color w:val="auto"/>
          <w:kern w:val="0"/>
          <w:u w:val="none"/>
        </w:rPr>
        <w:t>年</w:t>
      </w:r>
      <w:r>
        <w:rPr>
          <w:rFonts w:hint="eastAsia"/>
          <w:color w:val="auto"/>
          <w:kern w:val="0"/>
          <w:u w:val="none"/>
          <w:lang w:eastAsia="zh-CN"/>
        </w:rPr>
        <w:t>耗电</w:t>
      </w:r>
      <w:r>
        <w:rPr>
          <w:rFonts w:hint="eastAsia"/>
          <w:color w:val="auto"/>
          <w:kern w:val="0"/>
          <w:u w:val="none"/>
        </w:rPr>
        <w:t>量约为</w:t>
      </w:r>
      <w:r>
        <w:rPr>
          <w:color w:val="auto"/>
          <w:kern w:val="0"/>
          <w:u w:val="none"/>
        </w:rPr>
        <w:t>4</w:t>
      </w:r>
      <w:r>
        <w:rPr>
          <w:rFonts w:hint="eastAsia"/>
          <w:color w:val="auto"/>
          <w:kern w:val="0"/>
          <w:u w:val="none"/>
        </w:rPr>
        <w:t>3</w:t>
      </w:r>
      <w:r>
        <w:rPr>
          <w:rFonts w:hint="eastAsia"/>
          <w:color w:val="auto"/>
          <w:kern w:val="0"/>
          <w:u w:val="none"/>
          <w:lang w:val="en-US" w:eastAsia="zh-CN"/>
        </w:rPr>
        <w:t>.6</w:t>
      </w:r>
      <w:r>
        <w:rPr>
          <w:rFonts w:hint="eastAsia"/>
          <w:color w:val="auto"/>
          <w:kern w:val="0"/>
          <w:u w:val="none"/>
        </w:rPr>
        <w:t>万度/</w:t>
      </w:r>
      <w:r>
        <w:rPr>
          <w:color w:val="auto"/>
          <w:kern w:val="0"/>
          <w:u w:val="none"/>
        </w:rPr>
        <w:t>a</w:t>
      </w:r>
      <w:r>
        <w:rPr>
          <w:rFonts w:hint="eastAsia"/>
          <w:color w:val="auto"/>
          <w:kern w:val="0"/>
          <w:u w:val="none"/>
          <w:lang w:eastAsia="zh-CN"/>
        </w:rPr>
        <w:t>，二期工程建成后</w:t>
      </w:r>
      <w:r>
        <w:rPr>
          <w:rFonts w:hint="eastAsia"/>
          <w:color w:val="auto"/>
          <w:kern w:val="0"/>
          <w:u w:val="none"/>
        </w:rPr>
        <w:t>年</w:t>
      </w:r>
      <w:r>
        <w:rPr>
          <w:rFonts w:hint="eastAsia"/>
          <w:color w:val="auto"/>
          <w:kern w:val="0"/>
          <w:u w:val="none"/>
          <w:lang w:eastAsia="zh-CN"/>
        </w:rPr>
        <w:t>耗电</w:t>
      </w:r>
      <w:r>
        <w:rPr>
          <w:rFonts w:hint="eastAsia"/>
          <w:color w:val="auto"/>
          <w:kern w:val="0"/>
          <w:u w:val="none"/>
        </w:rPr>
        <w:t>量约为</w:t>
      </w:r>
      <w:r>
        <w:rPr>
          <w:rFonts w:hint="eastAsia"/>
          <w:color w:val="auto"/>
          <w:kern w:val="0"/>
          <w:u w:val="none"/>
          <w:lang w:val="en-US" w:eastAsia="zh-CN"/>
        </w:rPr>
        <w:t>70</w:t>
      </w:r>
      <w:r>
        <w:rPr>
          <w:rFonts w:hint="eastAsia"/>
          <w:color w:val="auto"/>
          <w:kern w:val="0"/>
          <w:u w:val="none"/>
        </w:rPr>
        <w:t>万度/</w:t>
      </w:r>
      <w:r>
        <w:rPr>
          <w:color w:val="auto"/>
          <w:kern w:val="0"/>
          <w:u w:val="none"/>
        </w:rPr>
        <w:t>a</w:t>
      </w:r>
      <w:r>
        <w:rPr>
          <w:rFonts w:hint="eastAsia"/>
          <w:color w:val="auto"/>
          <w:kern w:val="0"/>
          <w:u w:val="none"/>
          <w:lang w:eastAsia="zh-CN"/>
        </w:rPr>
        <w:t>，</w:t>
      </w:r>
      <w:r>
        <w:rPr>
          <w:rFonts w:hint="eastAsia"/>
          <w:color w:val="auto"/>
          <w:kern w:val="0"/>
          <w:u w:val="none"/>
        </w:rPr>
        <w:t>主要耗电设备为</w:t>
      </w:r>
      <w:r>
        <w:rPr>
          <w:rFonts w:hint="eastAsia"/>
          <w:color w:val="auto"/>
          <w:kern w:val="0"/>
          <w:u w:val="none"/>
          <w:lang w:val="en-US" w:eastAsia="zh-CN"/>
        </w:rPr>
        <w:t>MBR一体化设备、</w:t>
      </w:r>
      <w:r>
        <w:rPr>
          <w:rFonts w:hint="eastAsia"/>
          <w:color w:val="auto"/>
          <w:kern w:val="0"/>
          <w:u w:val="none"/>
        </w:rPr>
        <w:t>水泵、风机等。</w:t>
      </w:r>
    </w:p>
    <w:p>
      <w:pPr>
        <w:pStyle w:val="6"/>
        <w:bidi w:val="0"/>
        <w:rPr>
          <w:rFonts w:hint="eastAsia"/>
        </w:rPr>
      </w:pPr>
      <w:r>
        <w:rPr>
          <w:rFonts w:hint="eastAsia"/>
        </w:rPr>
        <w:t>2.</w:t>
      </w:r>
      <w:r>
        <w:t>2</w:t>
      </w:r>
      <w:r>
        <w:rPr>
          <w:rFonts w:hint="eastAsia"/>
        </w:rPr>
        <w:t>.7征地拆迁及土石方</w:t>
      </w:r>
    </w:p>
    <w:p>
      <w:pPr>
        <w:pStyle w:val="69"/>
        <w:rPr>
          <w:rFonts w:hint="eastAsia"/>
          <w:color w:val="auto"/>
          <w:u w:val="single"/>
        </w:rPr>
      </w:pPr>
      <w:r>
        <w:rPr>
          <w:rFonts w:hint="eastAsia"/>
          <w:color w:val="auto"/>
          <w:u w:val="single"/>
        </w:rPr>
        <w:t>2.</w:t>
      </w:r>
      <w:r>
        <w:rPr>
          <w:color w:val="auto"/>
          <w:u w:val="single"/>
        </w:rPr>
        <w:t>2</w:t>
      </w:r>
      <w:r>
        <w:rPr>
          <w:rFonts w:hint="eastAsia"/>
          <w:color w:val="auto"/>
          <w:u w:val="single"/>
        </w:rPr>
        <w:t>.7.1项目占地及拆迁情况</w:t>
      </w:r>
    </w:p>
    <w:p>
      <w:pPr>
        <w:ind w:firstLine="480"/>
        <w:rPr>
          <w:color w:val="auto"/>
          <w:kern w:val="0"/>
          <w:u w:val="single"/>
        </w:rPr>
      </w:pPr>
      <w:r>
        <w:rPr>
          <w:rFonts w:hint="eastAsia"/>
          <w:color w:val="auto"/>
          <w:kern w:val="0"/>
          <w:szCs w:val="21"/>
          <w:u w:val="single"/>
        </w:rPr>
        <w:t>项目工程包括污水处理厂工程</w:t>
      </w:r>
      <w:r>
        <w:rPr>
          <w:rFonts w:hint="eastAsia"/>
          <w:color w:val="auto"/>
          <w:kern w:val="0"/>
          <w:szCs w:val="21"/>
          <w:u w:val="single"/>
          <w:lang w:eastAsia="zh-CN"/>
        </w:rPr>
        <w:t>及配套管网</w:t>
      </w:r>
      <w:r>
        <w:rPr>
          <w:rFonts w:hint="eastAsia"/>
          <w:color w:val="auto"/>
          <w:kern w:val="0"/>
          <w:szCs w:val="21"/>
          <w:u w:val="single"/>
        </w:rPr>
        <w:t>工程，其中涉及征地有污水处理厂建设中的工程占地，本项目污水处理厂总征地面积为</w:t>
      </w:r>
      <w:r>
        <w:rPr>
          <w:rFonts w:hint="eastAsia"/>
          <w:color w:val="auto"/>
          <w:kern w:val="0"/>
          <w:szCs w:val="21"/>
          <w:u w:val="single"/>
          <w:lang w:val="en-US" w:eastAsia="zh-CN"/>
        </w:rPr>
        <w:t>816.48</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szCs w:val="21"/>
          <w:u w:val="single"/>
        </w:rPr>
        <w:t>，</w:t>
      </w:r>
      <w:r>
        <w:rPr>
          <w:rFonts w:hint="eastAsia"/>
          <w:color w:val="auto"/>
          <w:kern w:val="0"/>
          <w:u w:val="single"/>
        </w:rPr>
        <w:t>根据业主提供资料以及现场调查，本项目未涉及居民拆迁情况，目前场地已平整，为碎石回填区，建设用地未涉及基本农田和公益经济林。</w:t>
      </w:r>
    </w:p>
    <w:p>
      <w:pPr>
        <w:ind w:firstLine="480"/>
        <w:rPr>
          <w:color w:val="auto"/>
          <w:kern w:val="0"/>
          <w:u w:val="single"/>
        </w:rPr>
      </w:pPr>
      <w:r>
        <w:rPr>
          <w:rFonts w:hint="eastAsia"/>
          <w:color w:val="auto"/>
          <w:kern w:val="0"/>
          <w:u w:val="single"/>
        </w:rPr>
        <w:t>项目占地分为临时占地以及永久占地，永久占地主要为项目建成后建筑物永久占地，临时占地包括施工期临时施工营地、建筑材料以及土石方、建筑垃圾堆放的临时占地，项目永久占地以及临时占地的数量情况详见下表</w:t>
      </w:r>
      <w:r>
        <w:rPr>
          <w:rFonts w:hint="eastAsia"/>
          <w:color w:val="auto"/>
          <w:kern w:val="0"/>
          <w:u w:val="single"/>
          <w:lang w:val="en-US" w:eastAsia="zh-CN"/>
        </w:rPr>
        <w:t>2.2-4</w:t>
      </w:r>
      <w:r>
        <w:rPr>
          <w:rFonts w:hint="eastAsia"/>
          <w:color w:val="auto"/>
          <w:kern w:val="0"/>
          <w:u w:val="single"/>
        </w:rPr>
        <w:t>。</w:t>
      </w:r>
    </w:p>
    <w:p>
      <w:pPr>
        <w:ind w:firstLine="422"/>
        <w:jc w:val="center"/>
        <w:rPr>
          <w:b/>
          <w:color w:val="auto"/>
          <w:kern w:val="0"/>
          <w:sz w:val="21"/>
          <w:szCs w:val="21"/>
          <w:u w:val="single"/>
        </w:rPr>
      </w:pPr>
      <w:r>
        <w:rPr>
          <w:b/>
          <w:color w:val="auto"/>
          <w:kern w:val="0"/>
          <w:sz w:val="21"/>
          <w:szCs w:val="21"/>
          <w:u w:val="single"/>
        </w:rPr>
        <w:t>表</w:t>
      </w:r>
      <w:r>
        <w:rPr>
          <w:rFonts w:hint="eastAsia"/>
          <w:b/>
          <w:color w:val="auto"/>
          <w:kern w:val="0"/>
          <w:sz w:val="21"/>
          <w:szCs w:val="21"/>
          <w:u w:val="single"/>
        </w:rPr>
        <w:t>2.</w:t>
      </w:r>
      <w:r>
        <w:rPr>
          <w:b/>
          <w:color w:val="auto"/>
          <w:kern w:val="0"/>
          <w:sz w:val="21"/>
          <w:szCs w:val="21"/>
          <w:u w:val="single"/>
        </w:rPr>
        <w:t>2</w:t>
      </w:r>
      <w:r>
        <w:rPr>
          <w:rFonts w:hint="eastAsia"/>
          <w:b/>
          <w:color w:val="auto"/>
          <w:kern w:val="0"/>
          <w:sz w:val="21"/>
          <w:szCs w:val="21"/>
          <w:u w:val="single"/>
        </w:rPr>
        <w:t>-</w:t>
      </w:r>
      <w:r>
        <w:rPr>
          <w:rFonts w:hint="eastAsia"/>
          <w:b/>
          <w:color w:val="auto"/>
          <w:kern w:val="0"/>
          <w:sz w:val="21"/>
          <w:szCs w:val="21"/>
          <w:u w:val="single"/>
          <w:lang w:val="en-US" w:eastAsia="zh-CN"/>
        </w:rPr>
        <w:t>4</w:t>
      </w:r>
      <w:r>
        <w:rPr>
          <w:b/>
          <w:color w:val="auto"/>
          <w:kern w:val="0"/>
          <w:sz w:val="21"/>
          <w:szCs w:val="21"/>
          <w:u w:val="single"/>
        </w:rPr>
        <w:t xml:space="preserve">  项目占地数量一览表</w:t>
      </w:r>
    </w:p>
    <w:tbl>
      <w:tblPr>
        <w:tblStyle w:val="36"/>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126"/>
        <w:gridCol w:w="3259"/>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01" w:type="dxa"/>
            <w:noWrap w:val="0"/>
            <w:vAlign w:val="center"/>
          </w:tcPr>
          <w:p>
            <w:pPr>
              <w:spacing w:line="240" w:lineRule="auto"/>
              <w:ind w:firstLine="0" w:firstLineChars="0"/>
              <w:jc w:val="center"/>
              <w:rPr>
                <w:b/>
                <w:color w:val="auto"/>
                <w:kern w:val="0"/>
                <w:sz w:val="21"/>
                <w:szCs w:val="21"/>
                <w:u w:val="single"/>
              </w:rPr>
            </w:pPr>
            <w:r>
              <w:rPr>
                <w:rFonts w:hint="eastAsia"/>
                <w:b/>
                <w:color w:val="auto"/>
                <w:kern w:val="0"/>
                <w:sz w:val="21"/>
                <w:szCs w:val="21"/>
                <w:u w:val="single"/>
              </w:rPr>
              <w:t>项目占地</w:t>
            </w:r>
          </w:p>
        </w:tc>
        <w:tc>
          <w:tcPr>
            <w:tcW w:w="2126" w:type="dxa"/>
            <w:noWrap w:val="0"/>
            <w:vAlign w:val="center"/>
          </w:tcPr>
          <w:p>
            <w:pPr>
              <w:spacing w:line="240" w:lineRule="auto"/>
              <w:ind w:firstLine="0" w:firstLineChars="0"/>
              <w:jc w:val="center"/>
              <w:rPr>
                <w:b/>
                <w:color w:val="auto"/>
                <w:kern w:val="0"/>
                <w:sz w:val="21"/>
                <w:szCs w:val="21"/>
                <w:u w:val="single"/>
              </w:rPr>
            </w:pPr>
            <w:r>
              <w:rPr>
                <w:rFonts w:hint="eastAsia"/>
                <w:b/>
                <w:color w:val="auto"/>
                <w:kern w:val="0"/>
                <w:sz w:val="21"/>
                <w:szCs w:val="21"/>
                <w:u w:val="single"/>
              </w:rPr>
              <w:t>占地工程</w:t>
            </w:r>
          </w:p>
        </w:tc>
        <w:tc>
          <w:tcPr>
            <w:tcW w:w="3259" w:type="dxa"/>
            <w:noWrap w:val="0"/>
            <w:vAlign w:val="center"/>
          </w:tcPr>
          <w:p>
            <w:pPr>
              <w:spacing w:line="240" w:lineRule="auto"/>
              <w:ind w:firstLine="0" w:firstLineChars="0"/>
              <w:jc w:val="center"/>
              <w:rPr>
                <w:b/>
                <w:color w:val="auto"/>
                <w:kern w:val="0"/>
                <w:sz w:val="21"/>
                <w:szCs w:val="21"/>
                <w:u w:val="single"/>
              </w:rPr>
            </w:pPr>
            <w:r>
              <w:rPr>
                <w:rFonts w:hint="eastAsia"/>
                <w:b/>
                <w:color w:val="auto"/>
                <w:kern w:val="0"/>
                <w:sz w:val="21"/>
                <w:szCs w:val="21"/>
                <w:u w:val="single"/>
              </w:rPr>
              <w:t>占地面积</w:t>
            </w:r>
            <w:r>
              <w:rPr>
                <w:b/>
                <w:color w:val="auto"/>
                <w:kern w:val="0"/>
                <w:sz w:val="21"/>
                <w:szCs w:val="21"/>
                <w:u w:val="single"/>
              </w:rPr>
              <w:t>（m</w:t>
            </w:r>
            <w:r>
              <w:rPr>
                <w:rFonts w:hint="eastAsia"/>
                <w:b/>
                <w:color w:val="auto"/>
                <w:kern w:val="0"/>
                <w:sz w:val="21"/>
                <w:szCs w:val="21"/>
                <w:u w:val="single"/>
                <w:vertAlign w:val="superscript"/>
                <w:lang w:val="en-US" w:eastAsia="zh-CN"/>
              </w:rPr>
              <w:t>2</w:t>
            </w:r>
            <w:r>
              <w:rPr>
                <w:b/>
                <w:color w:val="auto"/>
                <w:kern w:val="0"/>
                <w:sz w:val="21"/>
                <w:szCs w:val="21"/>
                <w:u w:val="single"/>
              </w:rPr>
              <w:t>）</w:t>
            </w:r>
          </w:p>
        </w:tc>
        <w:tc>
          <w:tcPr>
            <w:tcW w:w="1980" w:type="dxa"/>
            <w:noWrap w:val="0"/>
            <w:vAlign w:val="center"/>
          </w:tcPr>
          <w:p>
            <w:pPr>
              <w:spacing w:line="240" w:lineRule="auto"/>
              <w:ind w:firstLine="0" w:firstLineChars="0"/>
              <w:jc w:val="center"/>
              <w:rPr>
                <w:rFonts w:hint="eastAsia"/>
                <w:b/>
                <w:color w:val="auto"/>
                <w:kern w:val="0"/>
                <w:sz w:val="21"/>
                <w:szCs w:val="21"/>
                <w:u w:val="single"/>
              </w:rPr>
            </w:pPr>
            <w:r>
              <w:rPr>
                <w:rFonts w:hint="eastAsia"/>
                <w:b/>
                <w:color w:val="auto"/>
                <w:kern w:val="0"/>
                <w:sz w:val="21"/>
                <w:szCs w:val="21"/>
                <w:u w:val="single"/>
              </w:rPr>
              <w:t>占地类型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1" w:type="dxa"/>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永久占地</w:t>
            </w:r>
          </w:p>
        </w:tc>
        <w:tc>
          <w:tcPr>
            <w:tcW w:w="2126" w:type="dxa"/>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厂建占地</w:t>
            </w:r>
          </w:p>
        </w:tc>
        <w:tc>
          <w:tcPr>
            <w:tcW w:w="3259" w:type="dxa"/>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lang w:val="en-US" w:eastAsia="zh-CN"/>
              </w:rPr>
              <w:t>816.48</w:t>
            </w:r>
          </w:p>
        </w:tc>
        <w:tc>
          <w:tcPr>
            <w:tcW w:w="1980" w:type="dxa"/>
            <w:vMerge w:val="restart"/>
            <w:noWrap w:val="0"/>
            <w:vAlign w:val="center"/>
          </w:tcPr>
          <w:p>
            <w:pPr>
              <w:pStyle w:val="73"/>
              <w:rPr>
                <w:rFonts w:hint="eastAsia"/>
                <w:color w:val="auto"/>
                <w:u w:val="single"/>
              </w:rPr>
            </w:pPr>
            <w:r>
              <w:rPr>
                <w:rFonts w:hint="eastAsia"/>
                <w:color w:val="auto"/>
                <w:u w:val="single"/>
              </w:rPr>
              <w:t>碎石回填区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01" w:type="dxa"/>
            <w:vMerge w:val="restart"/>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临时占地</w:t>
            </w:r>
          </w:p>
        </w:tc>
        <w:tc>
          <w:tcPr>
            <w:tcW w:w="2126" w:type="dxa"/>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施工期建筑材料堆放</w:t>
            </w:r>
          </w:p>
        </w:tc>
        <w:tc>
          <w:tcPr>
            <w:tcW w:w="3259" w:type="dxa"/>
            <w:vMerge w:val="restart"/>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lang w:val="en-US" w:eastAsia="zh-CN"/>
              </w:rPr>
              <w:t>50</w:t>
            </w:r>
            <w:r>
              <w:rPr>
                <w:rFonts w:hint="eastAsia"/>
                <w:color w:val="auto"/>
                <w:kern w:val="0"/>
                <w:sz w:val="21"/>
                <w:szCs w:val="21"/>
                <w:u w:val="single"/>
              </w:rPr>
              <w:t>m</w:t>
            </w:r>
            <w:r>
              <w:rPr>
                <w:rFonts w:hint="eastAsia"/>
                <w:color w:val="auto"/>
                <w:kern w:val="0"/>
                <w:sz w:val="21"/>
                <w:szCs w:val="21"/>
                <w:u w:val="single"/>
                <w:vertAlign w:val="superscript"/>
              </w:rPr>
              <w:t>2</w:t>
            </w:r>
          </w:p>
        </w:tc>
        <w:tc>
          <w:tcPr>
            <w:tcW w:w="1980" w:type="dxa"/>
            <w:vMerge w:val="continue"/>
            <w:noWrap w:val="0"/>
            <w:vAlign w:val="center"/>
          </w:tcPr>
          <w:p>
            <w:pPr>
              <w:spacing w:line="240" w:lineRule="auto"/>
              <w:ind w:firstLine="0" w:firstLineChars="0"/>
              <w:jc w:val="center"/>
              <w:rPr>
                <w:color w:val="auto"/>
                <w:kern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01" w:type="dxa"/>
            <w:vMerge w:val="continue"/>
            <w:noWrap w:val="0"/>
            <w:vAlign w:val="center"/>
          </w:tcPr>
          <w:p>
            <w:pPr>
              <w:spacing w:line="240" w:lineRule="auto"/>
              <w:ind w:firstLine="0" w:firstLineChars="0"/>
              <w:jc w:val="center"/>
              <w:rPr>
                <w:rFonts w:hint="eastAsia"/>
                <w:color w:val="auto"/>
                <w:kern w:val="0"/>
                <w:sz w:val="21"/>
                <w:szCs w:val="21"/>
                <w:u w:val="single"/>
              </w:rPr>
            </w:pPr>
          </w:p>
        </w:tc>
        <w:tc>
          <w:tcPr>
            <w:tcW w:w="2126" w:type="dxa"/>
            <w:noWrap w:val="0"/>
            <w:vAlign w:val="center"/>
          </w:tcPr>
          <w:p>
            <w:pPr>
              <w:spacing w:line="240" w:lineRule="auto"/>
              <w:ind w:firstLine="0" w:firstLineChars="0"/>
              <w:jc w:val="center"/>
              <w:rPr>
                <w:rFonts w:hint="eastAsia" w:eastAsia="宋体"/>
                <w:color w:val="auto"/>
                <w:kern w:val="0"/>
                <w:sz w:val="21"/>
                <w:szCs w:val="21"/>
                <w:u w:val="single"/>
                <w:lang w:eastAsia="zh-CN"/>
              </w:rPr>
            </w:pPr>
            <w:r>
              <w:rPr>
                <w:rFonts w:hint="eastAsia"/>
                <w:color w:val="auto"/>
                <w:kern w:val="0"/>
                <w:sz w:val="21"/>
                <w:szCs w:val="21"/>
                <w:u w:val="single"/>
                <w:lang w:eastAsia="zh-CN"/>
              </w:rPr>
              <w:t>施工营地</w:t>
            </w:r>
          </w:p>
        </w:tc>
        <w:tc>
          <w:tcPr>
            <w:tcW w:w="3259" w:type="dxa"/>
            <w:vMerge w:val="continue"/>
            <w:noWrap w:val="0"/>
            <w:vAlign w:val="center"/>
          </w:tcPr>
          <w:p>
            <w:pPr>
              <w:spacing w:line="240" w:lineRule="auto"/>
              <w:ind w:firstLine="0" w:firstLineChars="0"/>
              <w:jc w:val="center"/>
              <w:rPr>
                <w:rFonts w:hint="eastAsia"/>
                <w:color w:val="auto"/>
                <w:kern w:val="0"/>
                <w:sz w:val="21"/>
                <w:szCs w:val="21"/>
                <w:u w:val="single"/>
                <w:lang w:val="en-US" w:eastAsia="zh-CN"/>
              </w:rPr>
            </w:pPr>
          </w:p>
        </w:tc>
        <w:tc>
          <w:tcPr>
            <w:tcW w:w="1980" w:type="dxa"/>
            <w:vMerge w:val="continue"/>
            <w:noWrap w:val="0"/>
            <w:vAlign w:val="center"/>
          </w:tcPr>
          <w:p>
            <w:pPr>
              <w:spacing w:line="240" w:lineRule="auto"/>
              <w:ind w:firstLine="0" w:firstLineChars="0"/>
              <w:jc w:val="center"/>
              <w:rPr>
                <w:color w:val="auto"/>
                <w:kern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01" w:type="dxa"/>
            <w:vMerge w:val="continue"/>
            <w:noWrap w:val="0"/>
            <w:vAlign w:val="center"/>
          </w:tcPr>
          <w:p>
            <w:pPr>
              <w:spacing w:line="240" w:lineRule="auto"/>
              <w:ind w:firstLine="0" w:firstLineChars="0"/>
              <w:jc w:val="center"/>
              <w:rPr>
                <w:rFonts w:hint="eastAsia"/>
                <w:color w:val="auto"/>
                <w:kern w:val="0"/>
                <w:sz w:val="21"/>
                <w:szCs w:val="21"/>
                <w:u w:val="single"/>
              </w:rPr>
            </w:pPr>
          </w:p>
        </w:tc>
        <w:tc>
          <w:tcPr>
            <w:tcW w:w="2126" w:type="dxa"/>
            <w:noWrap w:val="0"/>
            <w:vAlign w:val="center"/>
          </w:tcPr>
          <w:p>
            <w:pPr>
              <w:spacing w:line="240" w:lineRule="auto"/>
              <w:ind w:firstLine="0" w:firstLineChars="0"/>
              <w:jc w:val="center"/>
              <w:rPr>
                <w:color w:val="auto"/>
                <w:kern w:val="0"/>
                <w:sz w:val="21"/>
                <w:szCs w:val="21"/>
                <w:u w:val="single"/>
              </w:rPr>
            </w:pPr>
            <w:r>
              <w:rPr>
                <w:color w:val="auto"/>
                <w:kern w:val="0"/>
                <w:sz w:val="21"/>
                <w:szCs w:val="21"/>
                <w:u w:val="single"/>
              </w:rPr>
              <w:t>施工期土石方、建筑垃圾堆放</w:t>
            </w:r>
          </w:p>
        </w:tc>
        <w:tc>
          <w:tcPr>
            <w:tcW w:w="3259" w:type="dxa"/>
            <w:vMerge w:val="continue"/>
            <w:noWrap w:val="0"/>
            <w:vAlign w:val="center"/>
          </w:tcPr>
          <w:p>
            <w:pPr>
              <w:spacing w:line="240" w:lineRule="auto"/>
              <w:ind w:firstLine="0" w:firstLineChars="0"/>
              <w:jc w:val="center"/>
              <w:rPr>
                <w:color w:val="auto"/>
                <w:kern w:val="0"/>
                <w:sz w:val="21"/>
                <w:szCs w:val="21"/>
                <w:u w:val="single"/>
              </w:rPr>
            </w:pPr>
          </w:p>
        </w:tc>
        <w:tc>
          <w:tcPr>
            <w:tcW w:w="1980" w:type="dxa"/>
            <w:vMerge w:val="continue"/>
            <w:noWrap w:val="0"/>
            <w:vAlign w:val="center"/>
          </w:tcPr>
          <w:p>
            <w:pPr>
              <w:spacing w:line="240" w:lineRule="auto"/>
              <w:ind w:firstLine="0" w:firstLineChars="0"/>
              <w:jc w:val="center"/>
              <w:rPr>
                <w:color w:val="auto"/>
                <w:kern w:val="0"/>
                <w:sz w:val="21"/>
                <w:szCs w:val="21"/>
                <w:u w:val="single"/>
              </w:rPr>
            </w:pPr>
          </w:p>
        </w:tc>
      </w:tr>
    </w:tbl>
    <w:p>
      <w:pPr>
        <w:pStyle w:val="69"/>
        <w:rPr>
          <w:rFonts w:hint="eastAsia"/>
          <w:color w:val="auto"/>
          <w:u w:val="single"/>
        </w:rPr>
      </w:pPr>
      <w:r>
        <w:rPr>
          <w:rFonts w:hint="eastAsia"/>
          <w:color w:val="auto"/>
          <w:u w:val="single"/>
        </w:rPr>
        <w:t>2.</w:t>
      </w:r>
      <w:r>
        <w:rPr>
          <w:color w:val="auto"/>
          <w:u w:val="single"/>
        </w:rPr>
        <w:t>2</w:t>
      </w:r>
      <w:r>
        <w:rPr>
          <w:rFonts w:hint="eastAsia"/>
          <w:color w:val="auto"/>
          <w:u w:val="single"/>
        </w:rPr>
        <w:t>.7.2项目土石方</w:t>
      </w:r>
    </w:p>
    <w:p>
      <w:pPr>
        <w:ind w:firstLine="480"/>
        <w:jc w:val="both"/>
        <w:rPr>
          <w:rFonts w:hint="eastAsia"/>
          <w:color w:val="auto"/>
          <w:kern w:val="0"/>
          <w:szCs w:val="21"/>
          <w:u w:val="single"/>
        </w:rPr>
      </w:pPr>
      <w:r>
        <w:rPr>
          <w:rFonts w:hint="eastAsia"/>
          <w:color w:val="auto"/>
          <w:kern w:val="0"/>
          <w:szCs w:val="21"/>
          <w:u w:val="single"/>
          <w:lang w:eastAsia="zh-CN"/>
        </w:rPr>
        <w:t>根据湖南永顺经开区建设投资开发有限责任公司提供的《污水处理站总平面布置图》，</w:t>
      </w:r>
      <w:r>
        <w:rPr>
          <w:rFonts w:hint="eastAsia"/>
          <w:color w:val="auto"/>
          <w:kern w:val="0"/>
          <w:szCs w:val="21"/>
          <w:u w:val="single"/>
        </w:rPr>
        <w:t>地块原始标高为</w:t>
      </w:r>
      <w:r>
        <w:rPr>
          <w:rFonts w:hint="eastAsia"/>
          <w:color w:val="auto"/>
          <w:kern w:val="0"/>
          <w:szCs w:val="21"/>
          <w:u w:val="single"/>
          <w:lang w:val="en-US" w:eastAsia="zh-CN"/>
        </w:rPr>
        <w:t>307</w:t>
      </w:r>
      <w:r>
        <w:rPr>
          <w:rFonts w:hint="eastAsia"/>
          <w:color w:val="auto"/>
          <w:kern w:val="0"/>
          <w:szCs w:val="21"/>
          <w:u w:val="single"/>
        </w:rPr>
        <w:t>m~</w:t>
      </w:r>
      <w:r>
        <w:rPr>
          <w:rFonts w:hint="eastAsia"/>
          <w:color w:val="auto"/>
          <w:kern w:val="0"/>
          <w:szCs w:val="21"/>
          <w:u w:val="single"/>
          <w:lang w:val="en-US" w:eastAsia="zh-CN"/>
        </w:rPr>
        <w:t>287</w:t>
      </w:r>
      <w:r>
        <w:rPr>
          <w:rFonts w:hint="eastAsia"/>
          <w:color w:val="auto"/>
          <w:kern w:val="0"/>
          <w:szCs w:val="21"/>
          <w:u w:val="single"/>
        </w:rPr>
        <w:t>m</w:t>
      </w:r>
      <w:r>
        <w:rPr>
          <w:rFonts w:hint="eastAsia"/>
          <w:color w:val="auto"/>
          <w:kern w:val="0"/>
          <w:szCs w:val="21"/>
          <w:u w:val="single"/>
          <w:lang w:val="en-US" w:eastAsia="zh-CN"/>
        </w:rPr>
        <w:t>，</w:t>
      </w:r>
      <w:r>
        <w:rPr>
          <w:rFonts w:hint="eastAsia"/>
          <w:color w:val="auto"/>
          <w:kern w:val="0"/>
          <w:szCs w:val="21"/>
          <w:u w:val="single"/>
        </w:rPr>
        <w:t>地块为不规则四边形旱地</w:t>
      </w:r>
      <w:r>
        <w:rPr>
          <w:rFonts w:hint="eastAsia"/>
          <w:color w:val="auto"/>
          <w:kern w:val="0"/>
          <w:szCs w:val="21"/>
          <w:u w:val="single"/>
          <w:lang w:eastAsia="zh-CN"/>
        </w:rPr>
        <w:t>，</w:t>
      </w:r>
      <w:r>
        <w:rPr>
          <w:rFonts w:hint="eastAsia"/>
          <w:color w:val="auto"/>
          <w:kern w:val="0"/>
          <w:szCs w:val="21"/>
          <w:u w:val="single"/>
          <w:lang w:val="en-US" w:eastAsia="zh-CN"/>
        </w:rPr>
        <w:t>设计标高292m。污水池（包括进水井、沉砂池、调节池、污泥池）占地107.44m</w:t>
      </w:r>
      <w:r>
        <w:rPr>
          <w:rFonts w:hint="eastAsia"/>
          <w:color w:val="auto"/>
          <w:kern w:val="0"/>
          <w:szCs w:val="21"/>
          <w:u w:val="single"/>
          <w:vertAlign w:val="superscript"/>
          <w:lang w:val="en-US" w:eastAsia="zh-CN"/>
        </w:rPr>
        <w:t>2</w:t>
      </w:r>
      <w:r>
        <w:rPr>
          <w:rFonts w:hint="eastAsia"/>
          <w:color w:val="auto"/>
          <w:kern w:val="0"/>
          <w:szCs w:val="21"/>
          <w:u w:val="single"/>
          <w:lang w:val="en-US" w:eastAsia="zh-CN"/>
        </w:rPr>
        <w:t>，挖深5.68m。</w:t>
      </w:r>
      <w:r>
        <w:rPr>
          <w:rFonts w:hint="eastAsia"/>
          <w:color w:val="auto"/>
          <w:kern w:val="0"/>
          <w:szCs w:val="21"/>
          <w:u w:val="single"/>
        </w:rPr>
        <w:t>地势</w:t>
      </w:r>
      <w:r>
        <w:rPr>
          <w:rFonts w:hint="eastAsia"/>
          <w:color w:val="auto"/>
          <w:kern w:val="0"/>
          <w:szCs w:val="21"/>
          <w:u w:val="single"/>
          <w:lang w:eastAsia="zh-CN"/>
        </w:rPr>
        <w:t>东南侧</w:t>
      </w:r>
      <w:r>
        <w:rPr>
          <w:rFonts w:hint="eastAsia"/>
          <w:color w:val="auto"/>
          <w:kern w:val="0"/>
          <w:szCs w:val="21"/>
          <w:u w:val="single"/>
        </w:rPr>
        <w:t>为最低点，标高为</w:t>
      </w:r>
      <w:r>
        <w:rPr>
          <w:rFonts w:hint="eastAsia"/>
          <w:color w:val="auto"/>
          <w:kern w:val="0"/>
          <w:szCs w:val="21"/>
          <w:u w:val="single"/>
          <w:lang w:val="en-US" w:eastAsia="zh-CN"/>
        </w:rPr>
        <w:t>287</w:t>
      </w:r>
      <w:r>
        <w:rPr>
          <w:rFonts w:hint="eastAsia"/>
          <w:color w:val="auto"/>
          <w:kern w:val="0"/>
          <w:szCs w:val="21"/>
          <w:u w:val="single"/>
        </w:rPr>
        <w:t>m，最高区域为北区，以石方居多，场地平整根据设计标高高挖低填，根据统计，项目区挖方</w:t>
      </w:r>
      <w:r>
        <w:rPr>
          <w:rFonts w:hint="eastAsia"/>
          <w:color w:val="auto"/>
          <w:kern w:val="0"/>
          <w:szCs w:val="21"/>
          <w:u w:val="single"/>
          <w:lang w:val="en-US" w:eastAsia="zh-CN"/>
        </w:rPr>
        <w:t>9190</w:t>
      </w:r>
      <w:r>
        <w:rPr>
          <w:rFonts w:hint="eastAsia"/>
          <w:color w:val="auto"/>
          <w:kern w:val="0"/>
          <w:szCs w:val="21"/>
          <w:u w:val="single"/>
        </w:rPr>
        <w:t>m³，</w:t>
      </w:r>
      <w:r>
        <w:rPr>
          <w:rFonts w:hint="eastAsia"/>
          <w:color w:val="auto"/>
          <w:kern w:val="0"/>
          <w:szCs w:val="21"/>
          <w:u w:val="single"/>
          <w:lang w:eastAsia="zh-CN"/>
        </w:rPr>
        <w:t>部分</w:t>
      </w:r>
      <w:r>
        <w:rPr>
          <w:rFonts w:hint="eastAsia"/>
          <w:color w:val="auto"/>
          <w:kern w:val="0"/>
          <w:szCs w:val="21"/>
          <w:u w:val="single"/>
        </w:rPr>
        <w:t>用于该地块场地平整</w:t>
      </w:r>
      <w:r>
        <w:rPr>
          <w:rFonts w:hint="eastAsia"/>
          <w:color w:val="auto"/>
          <w:kern w:val="0"/>
          <w:szCs w:val="21"/>
          <w:u w:val="single"/>
          <w:lang w:eastAsia="zh-CN"/>
        </w:rPr>
        <w:t>，剩下部分用于园区内场地平整</w:t>
      </w:r>
      <w:r>
        <w:rPr>
          <w:rFonts w:hint="eastAsia"/>
          <w:color w:val="auto"/>
          <w:kern w:val="0"/>
          <w:szCs w:val="21"/>
          <w:u w:val="single"/>
        </w:rPr>
        <w:t>。</w:t>
      </w:r>
      <w:r>
        <w:rPr>
          <w:rFonts w:hint="eastAsia"/>
          <w:color w:val="auto"/>
          <w:kern w:val="0"/>
          <w:szCs w:val="21"/>
          <w:u w:val="single"/>
          <w:lang w:eastAsia="zh-CN"/>
        </w:rPr>
        <w:t>本项目纳污干网及排水管网于一期工程铺设完毕，由于本项目纳污范围不变，二期不再增减管道建设工程，故本项目纳污管道总长度</w:t>
      </w:r>
      <w:r>
        <w:rPr>
          <w:rFonts w:hint="eastAsia"/>
          <w:color w:val="auto"/>
          <w:kern w:val="0"/>
          <w:szCs w:val="21"/>
          <w:u w:val="single"/>
          <w:lang w:val="en-US" w:eastAsia="zh-CN"/>
        </w:rPr>
        <w:t>1500m、排水管道2050m，</w:t>
      </w:r>
      <w:r>
        <w:rPr>
          <w:rFonts w:hint="eastAsia"/>
          <w:color w:val="auto"/>
          <w:kern w:val="0"/>
          <w:u w:val="single"/>
        </w:rPr>
        <w:t>预测</w:t>
      </w:r>
      <w:r>
        <w:rPr>
          <w:rFonts w:hint="eastAsia"/>
          <w:color w:val="auto"/>
          <w:kern w:val="0"/>
          <w:u w:val="single"/>
          <w:lang w:eastAsia="zh-CN"/>
        </w:rPr>
        <w:t>管网</w:t>
      </w:r>
      <w:r>
        <w:rPr>
          <w:rFonts w:hint="eastAsia"/>
          <w:color w:val="auto"/>
          <w:kern w:val="0"/>
          <w:szCs w:val="21"/>
          <w:u w:val="single"/>
        </w:rPr>
        <w:t>工程开挖土石方约为</w:t>
      </w:r>
      <w:r>
        <w:rPr>
          <w:rFonts w:hint="eastAsia"/>
          <w:color w:val="auto"/>
          <w:kern w:val="0"/>
          <w:szCs w:val="21"/>
          <w:u w:val="single"/>
          <w:lang w:val="en-US" w:eastAsia="zh-CN"/>
        </w:rPr>
        <w:t>5000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，回填土石方约</w:t>
      </w:r>
      <w:r>
        <w:rPr>
          <w:rFonts w:hint="eastAsia"/>
          <w:color w:val="auto"/>
          <w:kern w:val="0"/>
          <w:szCs w:val="21"/>
          <w:u w:val="single"/>
          <w:lang w:val="en-US" w:eastAsia="zh-CN"/>
        </w:rPr>
        <w:t>2000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w:t>
      </w:r>
      <w:r>
        <w:rPr>
          <w:rFonts w:hint="eastAsia"/>
          <w:color w:val="auto"/>
          <w:kern w:val="0"/>
          <w:szCs w:val="21"/>
          <w:u w:val="single"/>
          <w:lang w:eastAsia="zh-CN"/>
        </w:rPr>
        <w:t>少量弃方用于园区土地平整</w:t>
      </w:r>
      <w:r>
        <w:rPr>
          <w:rFonts w:hint="eastAsia"/>
          <w:color w:val="auto"/>
          <w:kern w:val="0"/>
          <w:szCs w:val="21"/>
          <w:u w:val="single"/>
        </w:rPr>
        <w:t>。</w:t>
      </w:r>
    </w:p>
    <w:p>
      <w:pPr>
        <w:pStyle w:val="103"/>
        <w:rPr>
          <w:rFonts w:hint="eastAsia"/>
          <w:color w:val="auto"/>
          <w:u w:val="single"/>
        </w:rPr>
      </w:pPr>
      <w:r>
        <w:rPr>
          <w:color w:val="auto"/>
          <w:u w:val="single"/>
        </w:rPr>
        <w:t>表2.2-</w:t>
      </w:r>
      <w:r>
        <w:rPr>
          <w:rFonts w:hint="eastAsia"/>
          <w:color w:val="auto"/>
          <w:u w:val="single"/>
          <w:lang w:val="en-US" w:eastAsia="zh-CN"/>
        </w:rPr>
        <w:t>5</w:t>
      </w:r>
      <w:r>
        <w:rPr>
          <w:color w:val="auto"/>
          <w:u w:val="single"/>
        </w:rPr>
        <w:t>项目土石方平衡估算一览表</w:t>
      </w:r>
      <w:r>
        <w:rPr>
          <w:rFonts w:hint="eastAsia"/>
          <w:color w:val="auto"/>
          <w:u w:val="single"/>
        </w:rPr>
        <w:t xml:space="preserve"> （单位：m</w:t>
      </w:r>
      <w:r>
        <w:rPr>
          <w:rFonts w:hint="eastAsia"/>
          <w:color w:val="auto"/>
          <w:u w:val="single"/>
          <w:vertAlign w:val="superscript"/>
        </w:rPr>
        <w:t>3</w:t>
      </w:r>
      <w:r>
        <w:rPr>
          <w:rFonts w:hint="eastAsia"/>
          <w:color w:val="auto"/>
          <w:u w:val="single"/>
        </w:rPr>
        <w:t>）</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941"/>
        <w:gridCol w:w="4809"/>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0" w:type="dxa"/>
            <w:noWrap w:val="0"/>
            <w:vAlign w:val="center"/>
          </w:tcPr>
          <w:p>
            <w:pPr>
              <w:pStyle w:val="97"/>
              <w:keepNext w:val="0"/>
              <w:keepLines w:val="0"/>
              <w:widowControl w:val="0"/>
              <w:rPr>
                <w:b/>
                <w:bCs/>
                <w:color w:val="auto"/>
                <w:u w:val="single"/>
              </w:rPr>
            </w:pPr>
            <w:r>
              <w:rPr>
                <w:rFonts w:hint="eastAsia"/>
                <w:b/>
                <w:bCs/>
                <w:color w:val="auto"/>
                <w:u w:val="single"/>
              </w:rPr>
              <w:t>工程</w:t>
            </w:r>
          </w:p>
        </w:tc>
        <w:tc>
          <w:tcPr>
            <w:tcW w:w="941" w:type="dxa"/>
            <w:noWrap w:val="0"/>
            <w:vAlign w:val="center"/>
          </w:tcPr>
          <w:p>
            <w:pPr>
              <w:pStyle w:val="97"/>
              <w:keepNext w:val="0"/>
              <w:keepLines w:val="0"/>
              <w:widowControl w:val="0"/>
              <w:rPr>
                <w:b/>
                <w:bCs/>
                <w:color w:val="auto"/>
                <w:u w:val="single"/>
              </w:rPr>
            </w:pPr>
            <w:r>
              <w:rPr>
                <w:rFonts w:hint="eastAsia"/>
                <w:b/>
                <w:bCs/>
                <w:color w:val="auto"/>
                <w:u w:val="single"/>
              </w:rPr>
              <w:t>挖方量</w:t>
            </w:r>
          </w:p>
        </w:tc>
        <w:tc>
          <w:tcPr>
            <w:tcW w:w="4809" w:type="dxa"/>
            <w:noWrap w:val="0"/>
            <w:vAlign w:val="center"/>
          </w:tcPr>
          <w:p>
            <w:pPr>
              <w:pStyle w:val="97"/>
              <w:keepNext w:val="0"/>
              <w:keepLines w:val="0"/>
              <w:widowControl w:val="0"/>
              <w:rPr>
                <w:rFonts w:hint="eastAsia" w:eastAsia="宋体"/>
                <w:b/>
                <w:bCs/>
                <w:color w:val="auto"/>
                <w:u w:val="single"/>
                <w:lang w:eastAsia="zh-CN"/>
              </w:rPr>
            </w:pPr>
            <w:r>
              <w:rPr>
                <w:rFonts w:hint="eastAsia"/>
                <w:b/>
                <w:bCs/>
                <w:color w:val="auto"/>
                <w:u w:val="single"/>
              </w:rPr>
              <w:t>填方量</w:t>
            </w:r>
            <w:r>
              <w:rPr>
                <w:rFonts w:hint="eastAsia"/>
                <w:b/>
                <w:bCs/>
                <w:color w:val="auto"/>
                <w:u w:val="single"/>
                <w:lang w:eastAsia="zh-CN"/>
              </w:rPr>
              <w:t>（用于本项目场地平整，剩下部分用于园区内场地平整）</w:t>
            </w:r>
          </w:p>
        </w:tc>
        <w:tc>
          <w:tcPr>
            <w:tcW w:w="986" w:type="dxa"/>
            <w:noWrap w:val="0"/>
            <w:vAlign w:val="center"/>
          </w:tcPr>
          <w:p>
            <w:pPr>
              <w:pStyle w:val="97"/>
              <w:keepNext w:val="0"/>
              <w:keepLines w:val="0"/>
              <w:widowControl w:val="0"/>
              <w:rPr>
                <w:rFonts w:hint="eastAsia" w:eastAsia="宋体"/>
                <w:b/>
                <w:bCs/>
                <w:color w:val="auto"/>
                <w:u w:val="single"/>
                <w:lang w:eastAsia="zh-CN"/>
              </w:rPr>
            </w:pPr>
            <w:r>
              <w:rPr>
                <w:rFonts w:hint="eastAsia"/>
                <w:b/>
                <w:bCs/>
                <w:color w:val="auto"/>
                <w:u w:val="single"/>
              </w:rPr>
              <w:t>弃方量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0" w:type="dxa"/>
            <w:noWrap w:val="0"/>
            <w:vAlign w:val="center"/>
          </w:tcPr>
          <w:p>
            <w:pPr>
              <w:pStyle w:val="97"/>
              <w:keepNext w:val="0"/>
              <w:keepLines w:val="0"/>
              <w:widowControl w:val="0"/>
              <w:rPr>
                <w:color w:val="auto"/>
                <w:u w:val="single"/>
              </w:rPr>
            </w:pPr>
            <w:r>
              <w:rPr>
                <w:rFonts w:hint="eastAsia"/>
                <w:color w:val="auto"/>
                <w:u w:val="single"/>
              </w:rPr>
              <w:t>污水处理厂工程</w:t>
            </w:r>
          </w:p>
        </w:tc>
        <w:tc>
          <w:tcPr>
            <w:tcW w:w="941" w:type="dxa"/>
            <w:noWrap w:val="0"/>
            <w:vAlign w:val="center"/>
          </w:tcPr>
          <w:p>
            <w:pPr>
              <w:pStyle w:val="97"/>
              <w:keepNext w:val="0"/>
              <w:keepLines w:val="0"/>
              <w:widowControl w:val="0"/>
              <w:rPr>
                <w:rFonts w:hint="default" w:eastAsia="宋体"/>
                <w:color w:val="auto"/>
                <w:u w:val="single"/>
                <w:lang w:val="en-US" w:eastAsia="zh-CN"/>
              </w:rPr>
            </w:pPr>
            <w:r>
              <w:rPr>
                <w:rFonts w:hint="eastAsia"/>
                <w:color w:val="auto"/>
                <w:u w:val="single"/>
                <w:lang w:val="en-US" w:eastAsia="zh-CN"/>
              </w:rPr>
              <w:t>9190</w:t>
            </w:r>
          </w:p>
        </w:tc>
        <w:tc>
          <w:tcPr>
            <w:tcW w:w="4809" w:type="dxa"/>
            <w:noWrap w:val="0"/>
            <w:vAlign w:val="center"/>
          </w:tcPr>
          <w:p>
            <w:pPr>
              <w:pStyle w:val="97"/>
              <w:keepNext w:val="0"/>
              <w:keepLines w:val="0"/>
              <w:widowControl w:val="0"/>
              <w:rPr>
                <w:rFonts w:hint="default" w:eastAsia="宋体"/>
                <w:color w:val="auto"/>
                <w:u w:val="single"/>
                <w:lang w:val="en-US" w:eastAsia="zh-CN"/>
              </w:rPr>
            </w:pPr>
            <w:r>
              <w:rPr>
                <w:rFonts w:hint="eastAsia"/>
                <w:color w:val="auto"/>
                <w:u w:val="single"/>
                <w:lang w:val="en-US" w:eastAsia="zh-CN"/>
              </w:rPr>
              <w:t>9190</w:t>
            </w:r>
          </w:p>
        </w:tc>
        <w:tc>
          <w:tcPr>
            <w:tcW w:w="986" w:type="dxa"/>
            <w:noWrap w:val="0"/>
            <w:vAlign w:val="center"/>
          </w:tcPr>
          <w:p>
            <w:pPr>
              <w:pStyle w:val="97"/>
              <w:keepNext w:val="0"/>
              <w:keepLines w:val="0"/>
              <w:widowControl w:val="0"/>
              <w:rPr>
                <w:rFonts w:hint="eastAsia" w:eastAsia="宋体"/>
                <w:color w:val="auto"/>
                <w:u w:val="single"/>
                <w:lang w:eastAsia="zh-CN"/>
              </w:rPr>
            </w:pPr>
            <w:r>
              <w:rPr>
                <w:rFonts w:hint="eastAsia"/>
                <w:color w:val="auto"/>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0" w:type="dxa"/>
            <w:noWrap w:val="0"/>
            <w:vAlign w:val="center"/>
          </w:tcPr>
          <w:p>
            <w:pPr>
              <w:pStyle w:val="97"/>
              <w:keepNext w:val="0"/>
              <w:keepLines w:val="0"/>
              <w:widowControl w:val="0"/>
              <w:rPr>
                <w:color w:val="auto"/>
                <w:u w:val="single"/>
              </w:rPr>
            </w:pPr>
            <w:r>
              <w:rPr>
                <w:rFonts w:hint="eastAsia"/>
                <w:color w:val="auto"/>
                <w:u w:val="single"/>
              </w:rPr>
              <w:t>管道铺设工程</w:t>
            </w:r>
          </w:p>
        </w:tc>
        <w:tc>
          <w:tcPr>
            <w:tcW w:w="941" w:type="dxa"/>
            <w:noWrap w:val="0"/>
            <w:vAlign w:val="center"/>
          </w:tcPr>
          <w:p>
            <w:pPr>
              <w:pStyle w:val="97"/>
              <w:keepNext w:val="0"/>
              <w:keepLines w:val="0"/>
              <w:widowControl w:val="0"/>
              <w:rPr>
                <w:rFonts w:hint="default" w:eastAsia="宋体"/>
                <w:color w:val="auto"/>
                <w:u w:val="single"/>
                <w:lang w:val="en-US" w:eastAsia="zh-CN"/>
              </w:rPr>
            </w:pPr>
            <w:r>
              <w:rPr>
                <w:rFonts w:hint="eastAsia"/>
                <w:color w:val="auto"/>
                <w:u w:val="single"/>
                <w:lang w:val="en-US" w:eastAsia="zh-CN"/>
              </w:rPr>
              <w:t>5000</w:t>
            </w:r>
          </w:p>
        </w:tc>
        <w:tc>
          <w:tcPr>
            <w:tcW w:w="4809" w:type="dxa"/>
            <w:noWrap w:val="0"/>
            <w:vAlign w:val="center"/>
          </w:tcPr>
          <w:p>
            <w:pPr>
              <w:pStyle w:val="97"/>
              <w:keepNext w:val="0"/>
              <w:keepLines w:val="0"/>
              <w:widowControl w:val="0"/>
              <w:rPr>
                <w:rFonts w:hint="default" w:eastAsia="宋体"/>
                <w:color w:val="auto"/>
                <w:u w:val="single"/>
                <w:lang w:val="en-US" w:eastAsia="zh-CN"/>
              </w:rPr>
            </w:pPr>
            <w:r>
              <w:rPr>
                <w:rFonts w:hint="eastAsia" w:eastAsia="宋体"/>
                <w:color w:val="auto"/>
                <w:u w:val="single"/>
                <w:lang w:val="en-US" w:eastAsia="zh-CN"/>
              </w:rPr>
              <w:t>2000</w:t>
            </w:r>
          </w:p>
        </w:tc>
        <w:tc>
          <w:tcPr>
            <w:tcW w:w="986" w:type="dxa"/>
            <w:noWrap w:val="0"/>
            <w:vAlign w:val="center"/>
          </w:tcPr>
          <w:p>
            <w:pPr>
              <w:pStyle w:val="97"/>
              <w:keepNext w:val="0"/>
              <w:keepLines w:val="0"/>
              <w:widowControl w:val="0"/>
              <w:rPr>
                <w:rFonts w:hint="default" w:eastAsia="宋体"/>
                <w:color w:val="auto"/>
                <w:u w:val="single"/>
                <w:lang w:val="en-US" w:eastAsia="zh-CN"/>
              </w:rPr>
            </w:pPr>
            <w:r>
              <w:rPr>
                <w:rFonts w:hint="eastAsia"/>
                <w:color w:val="auto"/>
                <w:u w:val="single"/>
                <w:lang w:val="en-US" w:eastAsia="zh-CN"/>
              </w:rPr>
              <w:t>0</w:t>
            </w:r>
          </w:p>
        </w:tc>
      </w:tr>
    </w:tbl>
    <w:p>
      <w:pPr>
        <w:pStyle w:val="6"/>
        <w:bidi w:val="0"/>
      </w:pPr>
      <w:bookmarkStart w:id="181" w:name="_Toc489350179"/>
      <w:r>
        <w:rPr>
          <w:rFonts w:hint="eastAsia"/>
        </w:rPr>
        <w:t>2</w:t>
      </w:r>
      <w:r>
        <w:t>.2.8</w:t>
      </w:r>
      <w:r>
        <w:rPr>
          <w:rFonts w:hint="eastAsia"/>
        </w:rPr>
        <w:t>施工计划</w:t>
      </w:r>
    </w:p>
    <w:p>
      <w:pPr>
        <w:ind w:firstLine="480"/>
        <w:jc w:val="both"/>
        <w:rPr>
          <w:rFonts w:hint="eastAsia"/>
          <w:color w:val="auto"/>
          <w:kern w:val="0"/>
          <w:u w:val="single"/>
        </w:rPr>
      </w:pPr>
      <w:r>
        <w:rPr>
          <w:rFonts w:hint="eastAsia"/>
          <w:color w:val="auto"/>
          <w:kern w:val="0"/>
          <w:u w:val="single"/>
          <w:lang w:eastAsia="zh-CN"/>
        </w:rPr>
        <w:t>湖南永顺经济开发区猛洞河产业园污水处理厂建设项目</w:t>
      </w:r>
      <w:r>
        <w:rPr>
          <w:rFonts w:hint="eastAsia"/>
          <w:color w:val="auto"/>
          <w:kern w:val="0"/>
          <w:u w:val="single"/>
        </w:rPr>
        <w:t>建设内容包括污水处理厂建设、</w:t>
      </w:r>
      <w:r>
        <w:rPr>
          <w:rFonts w:hint="eastAsia"/>
          <w:color w:val="auto"/>
          <w:kern w:val="0"/>
          <w:u w:val="single"/>
          <w:lang w:eastAsia="zh-CN"/>
        </w:rPr>
        <w:t>污水管道建设</w:t>
      </w:r>
      <w:r>
        <w:rPr>
          <w:rFonts w:hint="eastAsia"/>
          <w:color w:val="auto"/>
          <w:kern w:val="0"/>
          <w:u w:val="single"/>
        </w:rPr>
        <w:t>，主要用于接收处理</w:t>
      </w:r>
      <w:r>
        <w:rPr>
          <w:rFonts w:hint="eastAsia"/>
          <w:color w:val="auto"/>
          <w:kern w:val="0"/>
          <w:u w:val="single"/>
          <w:lang w:eastAsia="zh-CN"/>
        </w:rPr>
        <w:t>永顺经济开发区猛洞河产业园</w:t>
      </w:r>
      <w:r>
        <w:rPr>
          <w:rFonts w:hint="eastAsia"/>
          <w:color w:val="auto"/>
          <w:kern w:val="0"/>
          <w:u w:val="single"/>
        </w:rPr>
        <w:t>园区的企事业单位污水，污水处理厂总规模为</w:t>
      </w:r>
      <w:r>
        <w:rPr>
          <w:rFonts w:hint="eastAsia"/>
          <w:color w:val="auto"/>
          <w:kern w:val="0"/>
          <w:u w:val="single"/>
          <w:lang w:val="en-US" w:eastAsia="zh-CN"/>
        </w:rPr>
        <w:t>1000</w:t>
      </w:r>
      <w:r>
        <w:rPr>
          <w:rFonts w:hint="eastAsia"/>
          <w:color w:val="auto"/>
          <w:kern w:val="0"/>
          <w:u w:val="single"/>
        </w:rPr>
        <w:t>m</w:t>
      </w:r>
      <w:r>
        <w:rPr>
          <w:rFonts w:hint="eastAsia"/>
          <w:color w:val="auto"/>
          <w:kern w:val="0"/>
          <w:u w:val="single"/>
          <w:vertAlign w:val="superscript"/>
        </w:rPr>
        <w:t>3</w:t>
      </w:r>
      <w:r>
        <w:rPr>
          <w:rFonts w:hint="eastAsia"/>
          <w:color w:val="auto"/>
          <w:kern w:val="0"/>
          <w:u w:val="single"/>
        </w:rPr>
        <w:t>/d</w:t>
      </w:r>
      <w:r>
        <w:rPr>
          <w:rFonts w:hint="eastAsia"/>
          <w:color w:val="auto"/>
          <w:kern w:val="0"/>
          <w:u w:val="single"/>
          <w:lang w:eastAsia="zh-CN"/>
        </w:rPr>
        <w:t>，</w:t>
      </w:r>
      <w:r>
        <w:rPr>
          <w:rFonts w:hint="eastAsia"/>
          <w:kern w:val="0"/>
          <w:u w:val="single"/>
        </w:rPr>
        <w:t>一期规模为</w:t>
      </w:r>
      <w:r>
        <w:rPr>
          <w:rFonts w:hint="eastAsia"/>
          <w:kern w:val="0"/>
          <w:u w:val="single"/>
          <w:lang w:val="en-US" w:eastAsia="zh-CN"/>
        </w:rPr>
        <w:t>400</w:t>
      </w:r>
      <w:r>
        <w:rPr>
          <w:rFonts w:hint="eastAsia"/>
          <w:kern w:val="0"/>
          <w:u w:val="single"/>
        </w:rPr>
        <w:t>m</w:t>
      </w:r>
      <w:r>
        <w:rPr>
          <w:rFonts w:hint="eastAsia"/>
          <w:kern w:val="0"/>
          <w:u w:val="single"/>
          <w:vertAlign w:val="superscript"/>
        </w:rPr>
        <w:t>3</w:t>
      </w:r>
      <w:r>
        <w:rPr>
          <w:rFonts w:hint="eastAsia"/>
          <w:kern w:val="0"/>
          <w:u w:val="single"/>
        </w:rPr>
        <w:t>/d，二期规模增加</w:t>
      </w:r>
      <w:r>
        <w:rPr>
          <w:rFonts w:hint="eastAsia"/>
          <w:kern w:val="0"/>
          <w:u w:val="single"/>
          <w:lang w:eastAsia="zh-CN"/>
        </w:rPr>
        <w:t>至</w:t>
      </w:r>
      <w:r>
        <w:rPr>
          <w:rFonts w:hint="eastAsia"/>
          <w:kern w:val="0"/>
          <w:u w:val="single"/>
          <w:lang w:val="en-US" w:eastAsia="zh-CN"/>
        </w:rPr>
        <w:t>1000</w:t>
      </w:r>
      <w:r>
        <w:rPr>
          <w:rFonts w:hint="eastAsia"/>
          <w:kern w:val="0"/>
          <w:u w:val="single"/>
        </w:rPr>
        <w:t>m</w:t>
      </w:r>
      <w:r>
        <w:rPr>
          <w:rFonts w:hint="eastAsia"/>
          <w:kern w:val="0"/>
          <w:u w:val="single"/>
          <w:vertAlign w:val="superscript"/>
        </w:rPr>
        <w:t>3</w:t>
      </w:r>
      <w:r>
        <w:rPr>
          <w:rFonts w:hint="eastAsia"/>
          <w:kern w:val="0"/>
          <w:u w:val="single"/>
        </w:rPr>
        <w:t>/d。本环评评价</w:t>
      </w:r>
      <w:r>
        <w:rPr>
          <w:rFonts w:hint="eastAsia"/>
          <w:kern w:val="0"/>
          <w:u w:val="single"/>
          <w:lang w:eastAsia="zh-CN"/>
        </w:rPr>
        <w:t>包含</w:t>
      </w:r>
      <w:r>
        <w:rPr>
          <w:rFonts w:hint="eastAsia"/>
          <w:kern w:val="0"/>
          <w:u w:val="single"/>
        </w:rPr>
        <w:t>一期和二期工程</w:t>
      </w:r>
      <w:r>
        <w:rPr>
          <w:rFonts w:hint="eastAsia"/>
          <w:color w:val="auto"/>
          <w:kern w:val="0"/>
          <w:u w:val="single"/>
        </w:rPr>
        <w:t>。</w:t>
      </w:r>
    </w:p>
    <w:p>
      <w:pPr>
        <w:ind w:firstLine="480"/>
        <w:jc w:val="both"/>
        <w:rPr>
          <w:rFonts w:hint="eastAsia"/>
          <w:kern w:val="0"/>
          <w:u w:val="single"/>
        </w:rPr>
      </w:pPr>
      <w:r>
        <w:rPr>
          <w:rFonts w:hint="eastAsia"/>
          <w:kern w:val="0"/>
          <w:u w:val="single"/>
        </w:rPr>
        <w:t>一期工程施工期为2</w:t>
      </w:r>
      <w:r>
        <w:rPr>
          <w:kern w:val="0"/>
          <w:u w:val="single"/>
        </w:rPr>
        <w:t>0</w:t>
      </w:r>
      <w:r>
        <w:rPr>
          <w:rFonts w:hint="eastAsia"/>
          <w:kern w:val="0"/>
          <w:u w:val="single"/>
          <w:lang w:val="en-US" w:eastAsia="zh-CN"/>
        </w:rPr>
        <w:t>23</w:t>
      </w:r>
      <w:r>
        <w:rPr>
          <w:rFonts w:hint="eastAsia"/>
          <w:kern w:val="0"/>
          <w:u w:val="single"/>
        </w:rPr>
        <w:t>年</w:t>
      </w:r>
      <w:r>
        <w:rPr>
          <w:rFonts w:hint="eastAsia"/>
          <w:kern w:val="0"/>
          <w:u w:val="single"/>
          <w:lang w:val="en-US" w:eastAsia="zh-CN"/>
        </w:rPr>
        <w:t>3</w:t>
      </w:r>
      <w:r>
        <w:rPr>
          <w:rFonts w:hint="eastAsia"/>
          <w:kern w:val="0"/>
          <w:u w:val="single"/>
        </w:rPr>
        <w:t>月—2</w:t>
      </w:r>
      <w:r>
        <w:rPr>
          <w:kern w:val="0"/>
          <w:u w:val="single"/>
        </w:rPr>
        <w:t>0</w:t>
      </w:r>
      <w:r>
        <w:rPr>
          <w:rFonts w:hint="eastAsia"/>
          <w:kern w:val="0"/>
          <w:u w:val="single"/>
          <w:lang w:val="en-US" w:eastAsia="zh-CN"/>
        </w:rPr>
        <w:t>23</w:t>
      </w:r>
      <w:r>
        <w:rPr>
          <w:rFonts w:hint="eastAsia"/>
          <w:kern w:val="0"/>
          <w:u w:val="single"/>
        </w:rPr>
        <w:t>年</w:t>
      </w:r>
      <w:r>
        <w:rPr>
          <w:rFonts w:hint="eastAsia"/>
          <w:kern w:val="0"/>
          <w:u w:val="single"/>
          <w:lang w:val="en-US" w:eastAsia="zh-CN"/>
        </w:rPr>
        <w:t>8</w:t>
      </w:r>
      <w:r>
        <w:rPr>
          <w:rFonts w:hint="eastAsia"/>
          <w:kern w:val="0"/>
          <w:u w:val="single"/>
        </w:rPr>
        <w:t>月（共</w:t>
      </w:r>
      <w:r>
        <w:rPr>
          <w:rFonts w:hint="eastAsia"/>
          <w:kern w:val="0"/>
          <w:u w:val="single"/>
          <w:lang w:val="en-US" w:eastAsia="zh-CN"/>
        </w:rPr>
        <w:t>6</w:t>
      </w:r>
      <w:r>
        <w:rPr>
          <w:rFonts w:hint="eastAsia"/>
          <w:kern w:val="0"/>
          <w:u w:val="single"/>
        </w:rPr>
        <w:t>个月），污水处理厂施工人员为</w:t>
      </w:r>
      <w:r>
        <w:rPr>
          <w:rFonts w:hint="eastAsia"/>
          <w:kern w:val="0"/>
          <w:u w:val="single"/>
          <w:lang w:val="en-US" w:eastAsia="zh-CN"/>
        </w:rPr>
        <w:t>8</w:t>
      </w:r>
      <w:r>
        <w:rPr>
          <w:rFonts w:hint="eastAsia"/>
          <w:kern w:val="0"/>
          <w:u w:val="single"/>
        </w:rPr>
        <w:t>人；管道施工人员为1</w:t>
      </w:r>
      <w:r>
        <w:rPr>
          <w:kern w:val="0"/>
          <w:u w:val="single"/>
        </w:rPr>
        <w:t>5</w:t>
      </w:r>
      <w:r>
        <w:rPr>
          <w:rFonts w:hint="eastAsia"/>
          <w:kern w:val="0"/>
          <w:u w:val="single"/>
        </w:rPr>
        <w:t>人，</w:t>
      </w:r>
      <w:r>
        <w:rPr>
          <w:rFonts w:hint="eastAsia"/>
          <w:u w:val="single"/>
        </w:rPr>
        <w:t>一期工程污水处理厂建设内容为</w:t>
      </w:r>
      <w:r>
        <w:rPr>
          <w:rFonts w:hint="eastAsia"/>
          <w:spacing w:val="-8"/>
          <w:u w:val="single"/>
          <w:lang w:eastAsia="zh-CN"/>
        </w:rPr>
        <w:t>格栅渠、沉砂池、调节池、污泥池、</w:t>
      </w:r>
      <w:r>
        <w:rPr>
          <w:rFonts w:hint="eastAsia"/>
          <w:spacing w:val="-8"/>
          <w:u w:val="single"/>
          <w:lang w:val="en-US" w:eastAsia="zh-CN"/>
        </w:rPr>
        <w:t>MBR一体化设备、膜离线清洗池、清水池及辅助用房</w:t>
      </w:r>
      <w:r>
        <w:rPr>
          <w:rFonts w:hint="eastAsia"/>
          <w:kern w:val="0"/>
          <w:u w:val="single"/>
        </w:rPr>
        <w:t>；</w:t>
      </w:r>
      <w:r>
        <w:rPr>
          <w:rFonts w:hint="eastAsia"/>
          <w:u w:val="single"/>
        </w:rPr>
        <w:t>管道工程：</w:t>
      </w:r>
      <w:r>
        <w:rPr>
          <w:rFonts w:hint="eastAsia"/>
          <w:kern w:val="0"/>
          <w:u w:val="single"/>
        </w:rPr>
        <w:t>项目污水收集管网长度为</w:t>
      </w:r>
      <w:r>
        <w:rPr>
          <w:rFonts w:hint="eastAsia"/>
          <w:kern w:val="0"/>
          <w:u w:val="single"/>
          <w:lang w:val="en-US" w:eastAsia="zh-CN"/>
        </w:rPr>
        <w:t>1500</w:t>
      </w:r>
      <w:r>
        <w:rPr>
          <w:rFonts w:hint="eastAsia"/>
          <w:kern w:val="0"/>
          <w:u w:val="single"/>
        </w:rPr>
        <w:t>，尾水排放管网长度为</w:t>
      </w:r>
      <w:r>
        <w:rPr>
          <w:rFonts w:hint="eastAsia"/>
          <w:kern w:val="0"/>
          <w:u w:val="single"/>
          <w:lang w:val="en-US" w:eastAsia="zh-CN"/>
        </w:rPr>
        <w:t>2050</w:t>
      </w:r>
      <w:r>
        <w:rPr>
          <w:rFonts w:hint="eastAsia"/>
          <w:kern w:val="0"/>
          <w:u w:val="single"/>
        </w:rPr>
        <w:t>m。</w:t>
      </w:r>
    </w:p>
    <w:p>
      <w:pPr>
        <w:pStyle w:val="62"/>
        <w:jc w:val="both"/>
        <w:rPr>
          <w:rFonts w:hint="default" w:eastAsia="宋体"/>
          <w:u w:val="single"/>
          <w:lang w:val="en-US" w:eastAsia="zh-CN"/>
        </w:rPr>
      </w:pPr>
      <w:r>
        <w:rPr>
          <w:rFonts w:hint="eastAsia"/>
          <w:u w:val="single"/>
          <w:lang w:eastAsia="zh-CN"/>
        </w:rPr>
        <w:t>二期</w:t>
      </w:r>
      <w:r>
        <w:rPr>
          <w:rFonts w:hint="default" w:ascii="Times New Roman" w:hAnsi="Times New Roman" w:cs="Times New Roman"/>
          <w:u w:val="single"/>
          <w:lang w:eastAsia="zh-CN"/>
        </w:rPr>
        <w:t>工程施工期为20</w:t>
      </w:r>
      <w:r>
        <w:rPr>
          <w:rFonts w:hint="eastAsia" w:ascii="Times New Roman" w:hAnsi="Times New Roman" w:cs="Times New Roman"/>
          <w:u w:val="single"/>
          <w:lang w:val="en-US" w:eastAsia="zh-CN"/>
        </w:rPr>
        <w:t>25</w:t>
      </w:r>
      <w:r>
        <w:rPr>
          <w:rFonts w:hint="default" w:ascii="Times New Roman" w:hAnsi="Times New Roman" w:cs="Times New Roman"/>
          <w:u w:val="single"/>
          <w:lang w:eastAsia="zh-CN"/>
        </w:rPr>
        <w:t>年</w:t>
      </w:r>
      <w:r>
        <w:rPr>
          <w:rFonts w:hint="eastAsia" w:ascii="Times New Roman" w:hAnsi="Times New Roman" w:cs="Times New Roman"/>
          <w:u w:val="single"/>
          <w:lang w:val="en-US" w:eastAsia="zh-CN"/>
        </w:rPr>
        <w:t>1</w:t>
      </w:r>
      <w:r>
        <w:rPr>
          <w:rFonts w:hint="default" w:ascii="Times New Roman" w:hAnsi="Times New Roman" w:cs="Times New Roman"/>
          <w:u w:val="single"/>
          <w:lang w:eastAsia="zh-CN"/>
        </w:rPr>
        <w:t>月—20</w:t>
      </w:r>
      <w:r>
        <w:rPr>
          <w:rFonts w:hint="eastAsia" w:ascii="Times New Roman" w:hAnsi="Times New Roman" w:cs="Times New Roman"/>
          <w:u w:val="single"/>
          <w:lang w:val="en-US" w:eastAsia="zh-CN"/>
        </w:rPr>
        <w:t>25</w:t>
      </w:r>
      <w:r>
        <w:rPr>
          <w:rFonts w:hint="default" w:ascii="Times New Roman" w:hAnsi="Times New Roman" w:cs="Times New Roman"/>
          <w:u w:val="single"/>
          <w:lang w:eastAsia="zh-CN"/>
        </w:rPr>
        <w:t>年</w:t>
      </w:r>
      <w:r>
        <w:rPr>
          <w:rFonts w:hint="eastAsia" w:ascii="Times New Roman" w:hAnsi="Times New Roman" w:cs="Times New Roman"/>
          <w:u w:val="single"/>
          <w:lang w:val="en-US" w:eastAsia="zh-CN"/>
        </w:rPr>
        <w:t>2</w:t>
      </w:r>
      <w:r>
        <w:rPr>
          <w:rFonts w:hint="default" w:ascii="Times New Roman" w:hAnsi="Times New Roman" w:cs="Times New Roman"/>
          <w:u w:val="single"/>
          <w:lang w:eastAsia="zh-CN"/>
        </w:rPr>
        <w:t>月（共</w:t>
      </w:r>
      <w:r>
        <w:rPr>
          <w:rFonts w:hint="default" w:ascii="Times New Roman" w:hAnsi="Times New Roman" w:cs="Times New Roman"/>
          <w:u w:val="single"/>
          <w:lang w:val="en-US" w:eastAsia="zh-CN"/>
        </w:rPr>
        <w:t>1</w:t>
      </w:r>
      <w:r>
        <w:rPr>
          <w:rFonts w:hint="default" w:ascii="Times New Roman" w:hAnsi="Times New Roman" w:cs="Times New Roman"/>
          <w:u w:val="single"/>
          <w:lang w:eastAsia="zh-CN"/>
        </w:rPr>
        <w:t>个月），</w:t>
      </w:r>
      <w:r>
        <w:rPr>
          <w:rFonts w:hint="default" w:ascii="Times New Roman" w:hAnsi="Times New Roman" w:cs="Times New Roman"/>
          <w:kern w:val="0"/>
          <w:u w:val="single"/>
        </w:rPr>
        <w:t>污水处理厂施工人员为</w:t>
      </w:r>
      <w:r>
        <w:rPr>
          <w:rFonts w:hint="eastAsia" w:ascii="Times New Roman" w:hAnsi="Times New Roman" w:cs="Times New Roman"/>
          <w:kern w:val="0"/>
          <w:u w:val="single"/>
          <w:lang w:val="en-US" w:eastAsia="zh-CN"/>
        </w:rPr>
        <w:t>3</w:t>
      </w:r>
      <w:r>
        <w:rPr>
          <w:rFonts w:hint="default" w:ascii="Times New Roman" w:hAnsi="Times New Roman" w:cs="Times New Roman"/>
          <w:kern w:val="0"/>
          <w:u w:val="single"/>
        </w:rPr>
        <w:t>人</w:t>
      </w:r>
      <w:r>
        <w:rPr>
          <w:rFonts w:hint="default" w:ascii="Times New Roman" w:hAnsi="Times New Roman" w:cs="Times New Roman"/>
          <w:kern w:val="0"/>
          <w:u w:val="single"/>
          <w:lang w:eastAsia="zh-CN"/>
        </w:rPr>
        <w:t>，</w:t>
      </w:r>
      <w:r>
        <w:rPr>
          <w:rFonts w:hint="default" w:ascii="Times New Roman" w:hAnsi="Times New Roman" w:cs="Times New Roman"/>
          <w:u w:val="single"/>
          <w:lang w:eastAsia="zh-CN"/>
        </w:rPr>
        <w:t>仅增加</w:t>
      </w:r>
      <w:r>
        <w:rPr>
          <w:rFonts w:hint="default" w:ascii="Times New Roman" w:hAnsi="Times New Roman" w:cs="Times New Roman"/>
          <w:u w:val="single"/>
          <w:lang w:val="en-US" w:eastAsia="zh-CN"/>
        </w:rPr>
        <w:t>3套MBR一</w:t>
      </w:r>
      <w:r>
        <w:rPr>
          <w:rFonts w:hint="eastAsia"/>
          <w:u w:val="single"/>
          <w:lang w:val="en-US" w:eastAsia="zh-CN"/>
        </w:rPr>
        <w:t>体化设备，其他构建筑物、辅助用房及管道工程依托一期工程。</w:t>
      </w:r>
    </w:p>
    <w:p>
      <w:pPr>
        <w:pStyle w:val="76"/>
        <w:spacing w:before="120" w:after="120"/>
        <w:rPr>
          <w:color w:val="auto"/>
          <w:kern w:val="0"/>
          <w:u w:val="none"/>
        </w:rPr>
      </w:pPr>
      <w:bookmarkStart w:id="182" w:name="_Toc30655"/>
      <w:r>
        <w:rPr>
          <w:rFonts w:hint="eastAsia"/>
          <w:color w:val="auto"/>
          <w:kern w:val="0"/>
          <w:u w:val="none"/>
        </w:rPr>
        <w:t>2</w:t>
      </w:r>
      <w:r>
        <w:rPr>
          <w:color w:val="auto"/>
          <w:kern w:val="0"/>
          <w:u w:val="none"/>
        </w:rPr>
        <w:t>.3</w:t>
      </w:r>
      <w:r>
        <w:rPr>
          <w:rFonts w:hint="eastAsia"/>
          <w:color w:val="auto"/>
          <w:kern w:val="0"/>
          <w:u w:val="none"/>
        </w:rPr>
        <w:t>工程分析</w:t>
      </w:r>
      <w:bookmarkEnd w:id="182"/>
    </w:p>
    <w:p>
      <w:pPr>
        <w:pStyle w:val="6"/>
        <w:bidi w:val="0"/>
      </w:pPr>
      <w:r>
        <w:rPr>
          <w:rFonts w:hint="eastAsia"/>
        </w:rPr>
        <w:t>2</w:t>
      </w:r>
      <w:r>
        <w:t>.3.1</w:t>
      </w:r>
      <w:r>
        <w:rPr>
          <w:rFonts w:hint="eastAsia"/>
        </w:rPr>
        <w:t>工艺选择原则</w:t>
      </w:r>
    </w:p>
    <w:p>
      <w:pPr>
        <w:ind w:firstLine="480"/>
        <w:jc w:val="both"/>
      </w:pPr>
      <w:bookmarkStart w:id="183" w:name="_TOC_250071"/>
      <w:bookmarkEnd w:id="183"/>
      <w:r>
        <w:rPr>
          <w:rFonts w:hint="eastAsia"/>
        </w:rPr>
        <w:t>污水处理工艺的选择是污水处理厂设计的关键所在，它直接关系到出水水质指标能否达到要求，运行是否稳定可靠，管理是否方便以及投资和运行成本的高低。污水处理工艺需根据进厂污水水质、出水要求、处理厂规模。污泥处置方案以及当地气温、工程地质、周围环境等条件来慎重选择，同时要考虑经济因素。</w:t>
      </w:r>
    </w:p>
    <w:p>
      <w:pPr>
        <w:ind w:firstLine="480"/>
        <w:jc w:val="both"/>
        <w:rPr>
          <w:rFonts w:hint="eastAsia"/>
          <w:color w:val="auto"/>
          <w:u w:val="none"/>
        </w:rPr>
      </w:pPr>
      <w:r>
        <w:rPr>
          <w:rFonts w:hint="eastAsia"/>
        </w:rPr>
        <w:t>城镇污水处理厂工艺方案的选择一般应满足以下总体要求：因地制宜、技术可行、经济合理。在保证处理效果、运行稳定的前提下，使工程造价和运行费用最为经济合理， 同时工艺方案要运行简单、控制调节方便，占地和能耗小，污泥量少。</w:t>
      </w:r>
    </w:p>
    <w:p>
      <w:pPr>
        <w:pStyle w:val="6"/>
        <w:bidi w:val="0"/>
        <w:rPr>
          <w:color w:val="auto"/>
          <w:u w:val="none"/>
          <w:lang w:val="zh-CN"/>
        </w:rPr>
      </w:pPr>
      <w:bookmarkStart w:id="184" w:name="_TOC_250067"/>
      <w:bookmarkEnd w:id="184"/>
      <w:r>
        <w:rPr>
          <w:rFonts w:hint="eastAsia"/>
          <w:color w:val="auto"/>
          <w:u w:val="none"/>
        </w:rPr>
        <w:t>2</w:t>
      </w:r>
      <w:r>
        <w:rPr>
          <w:color w:val="auto"/>
          <w:u w:val="none"/>
        </w:rPr>
        <w:t>.3.2</w:t>
      </w:r>
      <w:r>
        <w:rPr>
          <w:color w:val="auto"/>
          <w:u w:val="none"/>
          <w:lang w:val="zh-CN"/>
        </w:rPr>
        <w:t>污水处理厂工艺流程</w:t>
      </w:r>
    </w:p>
    <w:p>
      <w:pPr>
        <w:ind w:firstLine="480"/>
        <w:jc w:val="both"/>
        <w:rPr>
          <w:color w:val="auto"/>
          <w:u w:val="none"/>
          <w:lang w:val="zh-CN" w:bidi="zh-CN"/>
        </w:rPr>
      </w:pPr>
      <w:r>
        <w:rPr>
          <w:rFonts w:hint="eastAsia"/>
          <w:color w:val="auto"/>
          <w:kern w:val="0"/>
          <w:u w:val="single"/>
        </w:rPr>
        <w:t>根据</w:t>
      </w:r>
      <w:r>
        <w:rPr>
          <w:rFonts w:hint="eastAsia"/>
          <w:color w:val="auto"/>
          <w:kern w:val="0"/>
          <w:u w:val="single"/>
          <w:lang w:eastAsia="zh-CN"/>
        </w:rPr>
        <w:t>建设单位提供资料</w:t>
      </w:r>
      <w:r>
        <w:rPr>
          <w:rFonts w:hint="eastAsia"/>
          <w:color w:val="auto"/>
          <w:kern w:val="0"/>
          <w:u w:val="single"/>
        </w:rPr>
        <w:t>，</w:t>
      </w:r>
      <w:r>
        <w:rPr>
          <w:rFonts w:hint="eastAsia"/>
          <w:color w:val="auto"/>
          <w:u w:val="single"/>
          <w:lang w:eastAsia="zh-CN"/>
        </w:rPr>
        <w:t>湖南永顺经济开发区猛洞河产业园污水处理厂建设项目</w:t>
      </w:r>
      <w:r>
        <w:rPr>
          <w:rFonts w:hint="eastAsia"/>
          <w:color w:val="auto"/>
          <w:u w:val="single"/>
        </w:rPr>
        <w:t>的生化处理工艺采用</w:t>
      </w:r>
      <w:r>
        <w:rPr>
          <w:rFonts w:hint="eastAsia"/>
          <w:b/>
          <w:color w:val="auto"/>
          <w:u w:val="single"/>
        </w:rPr>
        <w:t>“</w:t>
      </w:r>
      <w:r>
        <w:rPr>
          <w:rFonts w:hint="eastAsia"/>
          <w:b/>
          <w:color w:val="auto"/>
          <w:u w:val="single"/>
          <w:lang w:val="en-US" w:eastAsia="zh-CN"/>
        </w:rPr>
        <w:t>MBR</w:t>
      </w:r>
      <w:r>
        <w:rPr>
          <w:rFonts w:hint="eastAsia"/>
          <w:b/>
          <w:color w:val="auto"/>
          <w:spacing w:val="-5"/>
          <w:u w:val="single"/>
        </w:rPr>
        <w:t>工艺”</w:t>
      </w:r>
      <w:r>
        <w:rPr>
          <w:rFonts w:hint="eastAsia"/>
          <w:color w:val="auto"/>
          <w:spacing w:val="-4"/>
          <w:u w:val="single"/>
        </w:rPr>
        <w:t>，</w:t>
      </w:r>
      <w:r>
        <w:rPr>
          <w:rFonts w:hint="eastAsia"/>
          <w:color w:val="auto"/>
          <w:spacing w:val="-4"/>
          <w:u w:val="single"/>
          <w:lang w:eastAsia="zh-CN"/>
        </w:rPr>
        <w:t>由于</w:t>
      </w:r>
      <w:r>
        <w:rPr>
          <w:rFonts w:hint="eastAsia"/>
          <w:color w:val="auto"/>
          <w:spacing w:val="-4"/>
          <w:u w:val="single"/>
          <w:lang w:val="en-US" w:eastAsia="zh-CN"/>
        </w:rPr>
        <w:t>MBR工的特点，</w:t>
      </w:r>
      <w:r>
        <w:rPr>
          <w:rFonts w:hint="eastAsia"/>
          <w:color w:val="auto"/>
          <w:u w:val="single"/>
        </w:rPr>
        <w:t>该工艺可以作为传统污水处理工艺的深度处理单元</w:t>
      </w:r>
      <w:r>
        <w:rPr>
          <w:rFonts w:hint="eastAsia"/>
          <w:color w:val="auto"/>
          <w:spacing w:val="-6"/>
          <w:u w:val="single"/>
          <w:lang w:eastAsia="zh-CN"/>
        </w:rPr>
        <w:t>。</w:t>
      </w:r>
      <w:r>
        <w:rPr>
          <w:rFonts w:hint="eastAsia"/>
          <w:color w:val="auto"/>
          <w:spacing w:val="-6"/>
          <w:u w:val="single"/>
        </w:rPr>
        <w:t>出水消毒采用</w:t>
      </w:r>
      <w:r>
        <w:rPr>
          <w:rFonts w:hint="eastAsia"/>
          <w:b/>
          <w:color w:val="auto"/>
          <w:spacing w:val="-6"/>
          <w:u w:val="single"/>
        </w:rPr>
        <w:t>“紫外消毒工艺”</w:t>
      </w:r>
      <w:r>
        <w:rPr>
          <w:rFonts w:hint="eastAsia"/>
          <w:b/>
          <w:color w:val="auto"/>
          <w:spacing w:val="-6"/>
          <w:u w:val="single"/>
          <w:lang w:eastAsia="zh-CN"/>
        </w:rPr>
        <w:t>，</w:t>
      </w:r>
      <w:r>
        <w:rPr>
          <w:rFonts w:hint="eastAsia"/>
          <w:b w:val="0"/>
          <w:bCs/>
          <w:color w:val="auto"/>
          <w:spacing w:val="-6"/>
          <w:u w:val="single"/>
          <w:lang w:eastAsia="zh-CN"/>
        </w:rPr>
        <w:t>紫外消毒管位于</w:t>
      </w:r>
      <w:r>
        <w:rPr>
          <w:rFonts w:hint="eastAsia"/>
          <w:b w:val="0"/>
          <w:bCs/>
          <w:color w:val="auto"/>
          <w:spacing w:val="-6"/>
          <w:u w:val="single"/>
          <w:lang w:val="en-US" w:eastAsia="zh-CN"/>
        </w:rPr>
        <w:t>MBR一体化设备内</w:t>
      </w:r>
      <w:r>
        <w:rPr>
          <w:rFonts w:hint="eastAsia"/>
          <w:color w:val="auto"/>
          <w:spacing w:val="-3"/>
          <w:u w:val="single"/>
        </w:rPr>
        <w:t>。污泥经</w:t>
      </w:r>
      <w:r>
        <w:rPr>
          <w:rFonts w:hint="eastAsia"/>
          <w:color w:val="auto"/>
          <w:u w:val="single"/>
        </w:rPr>
        <w:t>叠螺式污泥脱水机</w:t>
      </w:r>
      <w:r>
        <w:rPr>
          <w:rFonts w:hint="eastAsia"/>
          <w:color w:val="auto"/>
          <w:spacing w:val="-3"/>
          <w:u w:val="single"/>
        </w:rPr>
        <w:t>浓缩脱水后含水率</w:t>
      </w:r>
      <w:r>
        <w:rPr>
          <w:rFonts w:hint="eastAsia"/>
          <w:color w:val="auto"/>
          <w:spacing w:val="-3"/>
          <w:u w:val="single"/>
          <w:lang w:eastAsia="zh-CN"/>
        </w:rPr>
        <w:t>达到</w:t>
      </w:r>
      <w:r>
        <w:rPr>
          <w:rFonts w:hint="eastAsia"/>
          <w:color w:val="auto"/>
          <w:spacing w:val="-3"/>
          <w:u w:val="single"/>
          <w:lang w:val="en-US" w:eastAsia="zh-CN"/>
        </w:rPr>
        <w:t>80</w:t>
      </w:r>
      <w:r>
        <w:rPr>
          <w:color w:val="auto"/>
          <w:spacing w:val="-3"/>
          <w:u w:val="single"/>
        </w:rPr>
        <w:t>%</w:t>
      </w:r>
      <w:r>
        <w:rPr>
          <w:rFonts w:hint="eastAsia"/>
          <w:color w:val="auto"/>
          <w:spacing w:val="-3"/>
          <w:u w:val="single"/>
          <w:lang w:val="en-US" w:eastAsia="zh-CN"/>
        </w:rPr>
        <w:t>，鉴定为一般固废后</w:t>
      </w:r>
      <w:r>
        <w:rPr>
          <w:rFonts w:hint="eastAsia"/>
          <w:color w:val="auto"/>
          <w:spacing w:val="-3"/>
          <w:u w:val="single"/>
        </w:rPr>
        <w:t>外运</w:t>
      </w:r>
      <w:r>
        <w:rPr>
          <w:rFonts w:hint="eastAsia"/>
          <w:color w:val="auto"/>
          <w:spacing w:val="-3"/>
          <w:u w:val="single"/>
          <w:lang w:eastAsia="zh-CN"/>
        </w:rPr>
        <w:t>至永顺县</w:t>
      </w:r>
      <w:r>
        <w:rPr>
          <w:rFonts w:hint="eastAsia"/>
          <w:color w:val="auto"/>
          <w:spacing w:val="-3"/>
          <w:u w:val="single"/>
        </w:rPr>
        <w:t>生活垃圾填埋场填埋</w:t>
      </w:r>
      <w:r>
        <w:rPr>
          <w:rFonts w:hint="eastAsia"/>
          <w:color w:val="auto"/>
          <w:spacing w:val="-3"/>
          <w:u w:val="single"/>
          <w:lang w:eastAsia="zh-CN"/>
        </w:rPr>
        <w:t>，如为危险废物则委托有资质单位处置</w:t>
      </w:r>
      <w:r>
        <w:rPr>
          <w:rFonts w:hint="eastAsia"/>
          <w:color w:val="auto"/>
          <w:spacing w:val="-3"/>
          <w:u w:val="single"/>
        </w:rPr>
        <w:t>。本环评直接引用其结论，不再比选，本环评仅针对确定后的工艺（</w:t>
      </w:r>
      <w:r>
        <w:rPr>
          <w:rFonts w:hint="eastAsia"/>
          <w:color w:val="auto"/>
          <w:u w:val="single"/>
        </w:rPr>
        <w:t>“</w:t>
      </w:r>
      <w:r>
        <w:rPr>
          <w:rFonts w:hint="eastAsia"/>
          <w:color w:val="auto"/>
          <w:u w:val="single"/>
          <w:lang w:eastAsia="zh-CN"/>
        </w:rPr>
        <w:t>格栅渠</w:t>
      </w:r>
      <w:r>
        <w:rPr>
          <w:rFonts w:hint="eastAsia"/>
          <w:color w:val="auto"/>
          <w:u w:val="single"/>
        </w:rPr>
        <w:t>→沉砂池→调节池→</w:t>
      </w:r>
      <w:r>
        <w:rPr>
          <w:rFonts w:hint="eastAsia"/>
          <w:color w:val="auto"/>
          <w:u w:val="single"/>
          <w:lang w:val="en-US" w:eastAsia="zh-CN"/>
        </w:rPr>
        <w:t>MBR一体化设备</w:t>
      </w:r>
      <w:r>
        <w:rPr>
          <w:rFonts w:hint="eastAsia"/>
          <w:color w:val="auto"/>
          <w:u w:val="single"/>
        </w:rPr>
        <w:t>→紫外消毒→</w:t>
      </w:r>
      <w:r>
        <w:rPr>
          <w:rFonts w:hint="eastAsia"/>
          <w:color w:val="auto"/>
          <w:u w:val="single"/>
          <w:lang w:eastAsia="zh-CN"/>
        </w:rPr>
        <w:t>清水池</w:t>
      </w:r>
      <w:r>
        <w:rPr>
          <w:rFonts w:hint="eastAsia"/>
          <w:color w:val="auto"/>
          <w:u w:val="single"/>
        </w:rPr>
        <w:t>”</w:t>
      </w:r>
      <w:r>
        <w:rPr>
          <w:rFonts w:hint="eastAsia"/>
          <w:color w:val="auto"/>
          <w:spacing w:val="-3"/>
          <w:u w:val="single"/>
        </w:rPr>
        <w:t>）进行分析。项目</w:t>
      </w:r>
      <w:r>
        <w:rPr>
          <w:rFonts w:hint="eastAsia"/>
          <w:color w:val="auto"/>
          <w:u w:val="single"/>
          <w:lang w:val="zh-CN" w:bidi="zh-CN"/>
        </w:rPr>
        <w:t>污水处理厂工艺流程见下图。</w:t>
      </w:r>
    </w:p>
    <w:p>
      <w:pPr>
        <w:ind w:firstLine="480"/>
        <w:jc w:val="center"/>
        <w:rPr>
          <w:rFonts w:hint="eastAsia"/>
          <w:color w:val="auto"/>
          <w:u w:val="none"/>
          <w:lang w:val="zh-CN" w:bidi="zh-CN"/>
        </w:rPr>
      </w:pPr>
      <w:r>
        <w:rPr>
          <w:color w:val="auto"/>
        </w:rPr>
        <w:object>
          <v:shape id="_x0000_i1027" o:spt="75" type="#_x0000_t75" style="height:477.75pt;width:390.75pt;" o:ole="t" filled="f" o:preferrelative="t" stroked="f" coordsize="21600,21600">
            <v:path/>
            <v:fill on="f" focussize="0,0"/>
            <v:stroke on="f"/>
            <v:imagedata r:id="rId34" o:title=""/>
            <o:lock v:ext="edit" aspectratio="t"/>
            <w10:wrap type="none"/>
            <w10:anchorlock/>
          </v:shape>
          <o:OLEObject Type="Embed" ProgID="Visio.Drawing.11" ShapeID="_x0000_i1027" DrawAspect="Content" ObjectID="_1468075727" r:id="rId33">
            <o:LockedField>false</o:LockedField>
          </o:OLEObject>
        </w:object>
      </w:r>
      <w:r>
        <w:rPr>
          <w:rFonts w:hint="eastAsia"/>
          <w:b/>
          <w:bCs/>
          <w:color w:val="auto"/>
          <w:sz w:val="21"/>
          <w:szCs w:val="21"/>
          <w:u w:val="none"/>
          <w:lang w:val="zh-CN" w:bidi="zh-CN"/>
        </w:rPr>
        <w:t>图</w:t>
      </w:r>
      <w:r>
        <w:rPr>
          <w:b/>
          <w:bCs/>
          <w:color w:val="auto"/>
          <w:sz w:val="21"/>
          <w:szCs w:val="21"/>
          <w:u w:val="none"/>
          <w:lang w:val="zh-CN" w:bidi="zh-CN"/>
        </w:rPr>
        <w:t>2.3-1</w:t>
      </w:r>
      <w:r>
        <w:rPr>
          <w:rFonts w:hint="eastAsia"/>
          <w:b/>
          <w:bCs/>
          <w:color w:val="auto"/>
          <w:sz w:val="21"/>
          <w:szCs w:val="21"/>
          <w:u w:val="none"/>
          <w:lang w:val="zh-CN" w:bidi="zh-CN"/>
        </w:rPr>
        <w:t>污水处理厂工艺流程</w:t>
      </w:r>
    </w:p>
    <w:p>
      <w:pPr>
        <w:ind w:firstLine="480"/>
        <w:jc w:val="both"/>
        <w:rPr>
          <w:color w:val="auto"/>
          <w:u w:val="none"/>
        </w:rPr>
      </w:pPr>
      <w:r>
        <w:rPr>
          <w:rFonts w:hint="eastAsia"/>
          <w:color w:val="auto"/>
          <w:u w:val="none"/>
        </w:rPr>
        <w:t>园区污水进入污水处理厂首先进入格栅</w:t>
      </w:r>
      <w:r>
        <w:rPr>
          <w:rFonts w:hint="eastAsia"/>
          <w:color w:val="auto"/>
          <w:u w:val="none"/>
          <w:lang w:eastAsia="zh-CN"/>
        </w:rPr>
        <w:t>渠</w:t>
      </w:r>
      <w:r>
        <w:rPr>
          <w:rFonts w:hint="eastAsia"/>
          <w:color w:val="auto"/>
          <w:u w:val="none"/>
        </w:rPr>
        <w:t>经</w:t>
      </w:r>
      <w:r>
        <w:rPr>
          <w:rFonts w:hint="eastAsia"/>
          <w:color w:val="auto"/>
          <w:u w:val="none"/>
          <w:lang w:eastAsia="zh-CN"/>
        </w:rPr>
        <w:t>格栅除污机拦</w:t>
      </w:r>
      <w:r>
        <w:rPr>
          <w:rFonts w:hint="eastAsia"/>
          <w:color w:val="auto"/>
          <w:u w:val="none"/>
        </w:rPr>
        <w:t>截污水中</w:t>
      </w:r>
      <w:r>
        <w:rPr>
          <w:rFonts w:hint="eastAsia"/>
          <w:color w:val="auto"/>
          <w:u w:val="none"/>
          <w:lang w:eastAsia="zh-CN"/>
        </w:rPr>
        <w:t>悬浮物和</w:t>
      </w:r>
      <w:r>
        <w:rPr>
          <w:rFonts w:hint="eastAsia"/>
          <w:color w:val="auto"/>
          <w:u w:val="none"/>
        </w:rPr>
        <w:t>漂浮物后，经提升泵提升至沉砂池，沉砂池采用除砂效率高、有机物去除效率高、能适应水量在较大范围内波动的旋流沉砂池</w:t>
      </w:r>
      <w:r>
        <w:rPr>
          <w:rFonts w:hint="eastAsia"/>
          <w:color w:val="auto"/>
          <w:u w:val="none"/>
          <w:lang w:eastAsia="zh-CN"/>
        </w:rPr>
        <w:t>，内置一台提砂泵</w:t>
      </w:r>
      <w:r>
        <w:rPr>
          <w:rFonts w:hint="eastAsia"/>
          <w:color w:val="auto"/>
          <w:u w:val="none"/>
        </w:rPr>
        <w:t>，分离并去除污水中砂粒；沉砂池出水自流进入调节池</w:t>
      </w:r>
      <w:r>
        <w:rPr>
          <w:rFonts w:hint="eastAsia"/>
          <w:color w:val="auto"/>
          <w:u w:val="none"/>
          <w:lang w:eastAsia="zh-CN"/>
        </w:rPr>
        <w:t>，</w:t>
      </w:r>
      <w:r>
        <w:rPr>
          <w:rFonts w:hint="eastAsia" w:ascii="宋体" w:hAnsi="宋体"/>
          <w:color w:val="auto"/>
          <w:kern w:val="0"/>
        </w:rPr>
        <w:t>进行水质水量调节，调节池内设置调节池提升泵，污水经泵提升后通过自清洗过滤器进入一</w:t>
      </w:r>
      <w:r>
        <w:rPr>
          <w:rFonts w:hint="default" w:ascii="Times New Roman" w:hAnsi="Times New Roman" w:cs="Times New Roman"/>
          <w:color w:val="auto"/>
          <w:kern w:val="0"/>
        </w:rPr>
        <w:t>体化MBR污水处</w:t>
      </w:r>
      <w:r>
        <w:rPr>
          <w:rFonts w:hint="eastAsia" w:ascii="宋体" w:hAnsi="宋体"/>
          <w:color w:val="auto"/>
          <w:kern w:val="0"/>
        </w:rPr>
        <w:t>理装置</w:t>
      </w:r>
      <w:r>
        <w:rPr>
          <w:rFonts w:hint="eastAsia" w:ascii="宋体" w:hAnsi="宋体"/>
          <w:color w:val="auto"/>
          <w:kern w:val="0"/>
          <w:lang w:eastAsia="zh-CN"/>
        </w:rPr>
        <w:t>，</w:t>
      </w:r>
      <w:r>
        <w:rPr>
          <w:rFonts w:hint="eastAsia" w:ascii="宋体" w:hAnsi="宋体"/>
          <w:color w:val="auto"/>
          <w:kern w:val="0"/>
        </w:rPr>
        <w:t>该装置由厌氧、缺氧、</w:t>
      </w:r>
      <w:r>
        <w:rPr>
          <w:rFonts w:hint="default" w:ascii="Times New Roman" w:hAnsi="Times New Roman" w:cs="Times New Roman"/>
          <w:color w:val="auto"/>
          <w:kern w:val="0"/>
        </w:rPr>
        <w:t>好氧和MBR膜组合而成，并集合紫外消毒管和电磁流量计，该阶段主要去除有机物、氨氮、SS和总P。MBR出</w:t>
      </w:r>
      <w:r>
        <w:rPr>
          <w:rFonts w:hint="eastAsia" w:ascii="宋体" w:hAnsi="宋体"/>
          <w:color w:val="auto"/>
          <w:kern w:val="0"/>
        </w:rPr>
        <w:t>水通过清水池经提升后达标排放</w:t>
      </w:r>
      <w:r>
        <w:rPr>
          <w:rFonts w:hint="eastAsia"/>
          <w:color w:val="auto"/>
          <w:u w:val="none"/>
        </w:rPr>
        <w:t>。</w:t>
      </w:r>
    </w:p>
    <w:p>
      <w:pPr>
        <w:ind w:firstLine="480"/>
        <w:rPr>
          <w:rFonts w:hint="eastAsia"/>
          <w:color w:val="auto"/>
          <w:u w:val="none"/>
        </w:rPr>
      </w:pPr>
      <w:r>
        <w:rPr>
          <w:rFonts w:hint="default" w:ascii="Times New Roman" w:hAnsi="Times New Roman" w:cs="Times New Roman"/>
          <w:color w:val="auto"/>
          <w:kern w:val="0"/>
        </w:rPr>
        <w:t>MBR一体化设备剩余污</w:t>
      </w:r>
      <w:r>
        <w:rPr>
          <w:rFonts w:hint="eastAsia" w:ascii="宋体" w:hAnsi="宋体"/>
          <w:color w:val="auto"/>
          <w:kern w:val="0"/>
        </w:rPr>
        <w:t>泥定期排入污泥池</w:t>
      </w:r>
      <w:r>
        <w:rPr>
          <w:rFonts w:hint="eastAsia" w:ascii="宋体" w:hAnsi="宋体"/>
          <w:color w:val="auto"/>
          <w:kern w:val="0"/>
          <w:lang w:eastAsia="zh-CN"/>
        </w:rPr>
        <w:t>进行浓缩处理</w:t>
      </w:r>
      <w:r>
        <w:rPr>
          <w:rFonts w:hint="eastAsia" w:ascii="宋体" w:hAnsi="宋体"/>
          <w:color w:val="auto"/>
          <w:kern w:val="0"/>
        </w:rPr>
        <w:t>，</w:t>
      </w:r>
      <w:r>
        <w:rPr>
          <w:rFonts w:hint="eastAsia" w:ascii="宋体" w:hAnsi="宋体"/>
          <w:color w:val="auto"/>
          <w:kern w:val="0"/>
          <w:lang w:eastAsia="zh-CN"/>
        </w:rPr>
        <w:t>浓缩后</w:t>
      </w:r>
      <w:r>
        <w:rPr>
          <w:rFonts w:hint="eastAsia" w:ascii="宋体" w:hAnsi="宋体"/>
          <w:color w:val="auto"/>
          <w:kern w:val="0"/>
        </w:rPr>
        <w:t>通过污泥脱水机经脱水处理后，泥饼外运至</w:t>
      </w:r>
      <w:r>
        <w:rPr>
          <w:rFonts w:hint="eastAsia" w:ascii="宋体" w:hAnsi="宋体"/>
          <w:color w:val="auto"/>
          <w:kern w:val="0"/>
          <w:lang w:eastAsia="zh-CN"/>
        </w:rPr>
        <w:t>永顺县垃圾填埋场进行填埋处置</w:t>
      </w:r>
      <w:r>
        <w:rPr>
          <w:rFonts w:hint="eastAsia"/>
          <w:color w:val="auto"/>
          <w:u w:val="none"/>
        </w:rPr>
        <w:t>。</w:t>
      </w:r>
    </w:p>
    <w:p>
      <w:pPr>
        <w:pStyle w:val="69"/>
        <w:rPr>
          <w:color w:val="auto"/>
          <w:u w:val="none"/>
        </w:rPr>
      </w:pPr>
      <w:r>
        <w:rPr>
          <w:rFonts w:hint="eastAsia"/>
          <w:color w:val="auto"/>
          <w:u w:val="none"/>
        </w:rPr>
        <w:t>2</w:t>
      </w:r>
      <w:r>
        <w:rPr>
          <w:color w:val="auto"/>
          <w:u w:val="none"/>
        </w:rPr>
        <w:t>.3.2.1</w:t>
      </w:r>
      <w:r>
        <w:rPr>
          <w:rFonts w:hint="eastAsia"/>
          <w:color w:val="auto"/>
          <w:u w:val="none"/>
        </w:rPr>
        <w:t>预处理工艺</w:t>
      </w:r>
    </w:p>
    <w:p>
      <w:pPr>
        <w:ind w:firstLine="480"/>
        <w:rPr>
          <w:rFonts w:hint="eastAsia"/>
          <w:color w:val="auto"/>
          <w:u w:val="none"/>
        </w:rPr>
      </w:pPr>
      <w:r>
        <w:rPr>
          <w:rFonts w:hint="eastAsia"/>
          <w:color w:val="auto"/>
          <w:u w:val="none"/>
        </w:rPr>
        <w:t>污水预处理工艺包括格栅</w:t>
      </w:r>
      <w:r>
        <w:rPr>
          <w:rFonts w:hint="eastAsia"/>
          <w:color w:val="auto"/>
          <w:u w:val="none"/>
          <w:lang w:eastAsia="zh-CN"/>
        </w:rPr>
        <w:t>渠</w:t>
      </w:r>
      <w:r>
        <w:rPr>
          <w:rFonts w:hint="eastAsia"/>
          <w:color w:val="auto"/>
          <w:u w:val="none"/>
        </w:rPr>
        <w:t>、沉砂池及</w:t>
      </w:r>
      <w:r>
        <w:rPr>
          <w:rFonts w:hint="eastAsia"/>
          <w:color w:val="auto"/>
          <w:u w:val="none"/>
          <w:lang w:eastAsia="zh-CN"/>
        </w:rPr>
        <w:t>调节</w:t>
      </w:r>
      <w:r>
        <w:rPr>
          <w:rFonts w:hint="eastAsia"/>
          <w:color w:val="auto"/>
          <w:u w:val="none"/>
        </w:rPr>
        <w:t>池。格栅主要用于截留污水中较大的漂浮物，一般布置在污水处理进水泵站的进口处和沉砂池前面，以防止管道、机械设备以及其他装置的堵塞。</w:t>
      </w:r>
    </w:p>
    <w:p>
      <w:pPr>
        <w:ind w:firstLine="480"/>
        <w:rPr>
          <w:color w:val="auto"/>
          <w:u w:val="none"/>
        </w:rPr>
      </w:pPr>
      <w:r>
        <w:rPr>
          <w:rFonts w:hint="eastAsia"/>
          <w:color w:val="auto"/>
          <w:u w:val="none"/>
        </w:rPr>
        <w:t>污水处理中设置沉砂池主要是去除污水中一定直径的砂粒，以保证后续的处理能正常运行；同时亦应去除污水中部分浮渣及油脂等，保证生化处理中微生物的正常生长。本设计中沉砂池推荐采用旋流沉砂池。</w:t>
      </w:r>
    </w:p>
    <w:p>
      <w:pPr>
        <w:ind w:firstLine="472"/>
        <w:rPr>
          <w:rFonts w:hint="eastAsia" w:eastAsia="宋体"/>
          <w:color w:val="auto"/>
          <w:u w:val="none"/>
          <w:lang w:eastAsia="zh-CN"/>
        </w:rPr>
      </w:pPr>
      <w:r>
        <w:rPr>
          <w:rFonts w:hint="eastAsia"/>
          <w:color w:val="auto"/>
          <w:spacing w:val="-3"/>
          <w:u w:val="none"/>
          <w:lang w:eastAsia="zh-CN"/>
        </w:rPr>
        <w:t>由于厌氧反应对水质、水量和冲击</w:t>
      </w:r>
      <w:r>
        <w:rPr>
          <w:rFonts w:hint="eastAsia"/>
          <w:color w:val="auto"/>
          <w:spacing w:val="-3"/>
          <w:u w:val="none"/>
          <w:lang w:eastAsia="zh-CN"/>
        </w:rPr>
        <w:fldChar w:fldCharType="begin"/>
      </w:r>
      <w:r>
        <w:rPr>
          <w:rFonts w:hint="eastAsia"/>
          <w:color w:val="auto"/>
          <w:spacing w:val="-3"/>
          <w:u w:val="none"/>
          <w:lang w:eastAsia="zh-CN"/>
        </w:rPr>
        <w:instrText xml:space="preserve"> HYPERLINK "https://baike.so.com/doc/1982165.html" \t "https://baike.so.com/doc/_blank" </w:instrText>
      </w:r>
      <w:r>
        <w:rPr>
          <w:rFonts w:hint="eastAsia"/>
          <w:color w:val="auto"/>
          <w:spacing w:val="-3"/>
          <w:u w:val="none"/>
          <w:lang w:eastAsia="zh-CN"/>
        </w:rPr>
        <w:fldChar w:fldCharType="separate"/>
      </w:r>
      <w:r>
        <w:rPr>
          <w:rFonts w:hint="eastAsia"/>
          <w:color w:val="auto"/>
          <w:spacing w:val="-3"/>
          <w:u w:val="none"/>
          <w:lang w:eastAsia="zh-CN"/>
        </w:rPr>
        <w:t>负荷</w:t>
      </w:r>
      <w:r>
        <w:rPr>
          <w:rFonts w:hint="eastAsia"/>
          <w:color w:val="auto"/>
          <w:spacing w:val="-3"/>
          <w:u w:val="none"/>
          <w:lang w:eastAsia="zh-CN"/>
        </w:rPr>
        <w:fldChar w:fldCharType="end"/>
      </w:r>
      <w:r>
        <w:rPr>
          <w:rFonts w:hint="eastAsia"/>
          <w:color w:val="auto"/>
          <w:spacing w:val="-3"/>
          <w:u w:val="none"/>
          <w:lang w:eastAsia="zh-CN"/>
        </w:rPr>
        <w:t>较为敏感，故本项目在生化反应前设置调节池，主要对项目污水水质、水量进行调节，还兼有沉淀的功能</w:t>
      </w:r>
      <w:r>
        <w:rPr>
          <w:rFonts w:hint="eastAsia" w:ascii="宋体" w:hAnsi="宋体"/>
          <w:color w:val="auto"/>
          <w:kern w:val="0"/>
        </w:rPr>
        <w:t>，调节池内设置调节池提升泵，污水经泵提升后通过自清洗过滤器进入一</w:t>
      </w:r>
      <w:r>
        <w:rPr>
          <w:rFonts w:hint="default" w:ascii="Times New Roman" w:hAnsi="Times New Roman" w:cs="Times New Roman"/>
          <w:color w:val="auto"/>
          <w:kern w:val="0"/>
        </w:rPr>
        <w:t>体化MBR污</w:t>
      </w:r>
      <w:r>
        <w:rPr>
          <w:rFonts w:hint="eastAsia" w:ascii="宋体" w:hAnsi="宋体"/>
          <w:color w:val="auto"/>
          <w:kern w:val="0"/>
        </w:rPr>
        <w:t>水处理装置</w:t>
      </w:r>
      <w:r>
        <w:rPr>
          <w:rFonts w:hint="eastAsia" w:ascii="宋体" w:hAnsi="宋体"/>
          <w:color w:val="auto"/>
          <w:kern w:val="0"/>
          <w:lang w:eastAsia="zh-CN"/>
        </w:rPr>
        <w:t>。</w:t>
      </w:r>
    </w:p>
    <w:p>
      <w:pPr>
        <w:pStyle w:val="69"/>
        <w:bidi w:val="0"/>
        <w:rPr>
          <w:rFonts w:hint="eastAsia"/>
          <w:color w:val="auto"/>
        </w:rPr>
      </w:pPr>
      <w:r>
        <w:rPr>
          <w:rFonts w:hint="eastAsia"/>
          <w:color w:val="auto"/>
        </w:rPr>
        <w:t>2</w:t>
      </w:r>
      <w:r>
        <w:rPr>
          <w:color w:val="auto"/>
        </w:rPr>
        <w:t>.3.2.2</w:t>
      </w:r>
      <w:r>
        <w:rPr>
          <w:rFonts w:hint="eastAsia"/>
          <w:color w:val="auto"/>
          <w:lang w:eastAsia="zh-CN"/>
        </w:rPr>
        <w:t>生化</w:t>
      </w:r>
      <w:r>
        <w:rPr>
          <w:rFonts w:hint="eastAsia"/>
          <w:color w:val="auto"/>
        </w:rPr>
        <w:t>处理工艺</w:t>
      </w:r>
    </w:p>
    <w:p>
      <w:pPr>
        <w:ind w:firstLine="480"/>
        <w:jc w:val="both"/>
        <w:rPr>
          <w:color w:val="auto"/>
        </w:rPr>
      </w:pPr>
      <w:r>
        <w:rPr>
          <w:rFonts w:hint="eastAsia"/>
          <w:color w:val="auto"/>
        </w:rPr>
        <w:t>MBR又称膜生物反应器（Membrane Bio-Reactor），是一种由膜分离单元与生物处理单元相结合的新型水处理技术。</w:t>
      </w:r>
      <w:r>
        <w:rPr>
          <w:rFonts w:hint="eastAsia"/>
          <w:color w:val="auto"/>
          <w:lang w:eastAsia="zh-CN"/>
        </w:rPr>
        <w:t>本项目</w:t>
      </w:r>
      <w:r>
        <w:rPr>
          <w:rFonts w:hint="eastAsia"/>
          <w:color w:val="auto"/>
        </w:rPr>
        <w:t>生物反应器</w:t>
      </w:r>
      <w:r>
        <w:rPr>
          <w:rFonts w:hint="eastAsia"/>
          <w:color w:val="auto"/>
          <w:lang w:eastAsia="zh-CN"/>
        </w:rPr>
        <w:t>采用</w:t>
      </w:r>
      <w:r>
        <w:rPr>
          <w:rFonts w:hint="eastAsia"/>
          <w:color w:val="auto"/>
        </w:rPr>
        <w:t>固液分离型膜</w:t>
      </w:r>
      <w:r>
        <w:rPr>
          <w:rFonts w:hint="eastAsia"/>
          <w:color w:val="auto"/>
          <w:lang w:eastAsia="zh-CN"/>
        </w:rPr>
        <w:t>，经过好氧曝气和生物处理后的水，由泵通过滤膜过滤后抽出，利用膜分离设备将生化反应池中活性污泥和大分子有机物截留住，省掉二沉池。</w:t>
      </w:r>
      <w:r>
        <w:rPr>
          <w:rFonts w:hint="eastAsia"/>
          <w:color w:val="auto"/>
        </w:rPr>
        <w:t>同时，MBR由于占地面积小，可做成一体化的污水处理设备。工艺流程如下：</w:t>
      </w:r>
    </w:p>
    <w:p>
      <w:pPr>
        <w:ind w:firstLine="0" w:firstLineChars="0"/>
        <w:jc w:val="center"/>
        <w:rPr>
          <w:color w:val="auto"/>
        </w:rPr>
      </w:pPr>
      <w:r>
        <w:rPr>
          <w:color w:val="auto"/>
        </w:rPr>
        <w:drawing>
          <wp:inline distT="0" distB="0" distL="114300" distR="114300">
            <wp:extent cx="5105400" cy="182880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5"/>
                    <a:stretch>
                      <a:fillRect/>
                    </a:stretch>
                  </pic:blipFill>
                  <pic:spPr>
                    <a:xfrm>
                      <a:off x="0" y="0"/>
                      <a:ext cx="5105400" cy="1828800"/>
                    </a:xfrm>
                    <a:prstGeom prst="rect">
                      <a:avLst/>
                    </a:prstGeom>
                    <a:noFill/>
                    <a:ln>
                      <a:noFill/>
                    </a:ln>
                  </pic:spPr>
                </pic:pic>
              </a:graphicData>
            </a:graphic>
          </wp:inline>
        </w:drawing>
      </w:r>
    </w:p>
    <w:p>
      <w:pPr>
        <w:ind w:firstLine="0" w:firstLineChars="0"/>
        <w:jc w:val="center"/>
        <w:rPr>
          <w:color w:val="auto"/>
        </w:rPr>
      </w:pPr>
      <w:r>
        <w:rPr>
          <w:rFonts w:hint="eastAsia"/>
          <w:color w:val="auto"/>
        </w:rPr>
        <w:t>图</w:t>
      </w:r>
      <w:r>
        <w:rPr>
          <w:rFonts w:hint="eastAsia"/>
          <w:color w:val="auto"/>
          <w:lang w:val="en-US" w:eastAsia="zh-CN"/>
        </w:rPr>
        <w:t xml:space="preserve">2.3-2  </w:t>
      </w:r>
      <w:r>
        <w:rPr>
          <w:rFonts w:hint="eastAsia"/>
          <w:color w:val="auto"/>
        </w:rPr>
        <w:t xml:space="preserve"> MBR工艺</w:t>
      </w:r>
    </w:p>
    <w:p>
      <w:pPr>
        <w:pStyle w:val="69"/>
        <w:rPr>
          <w:color w:val="auto"/>
          <w:u w:val="none"/>
        </w:rPr>
      </w:pPr>
      <w:r>
        <w:rPr>
          <w:rFonts w:hint="eastAsia"/>
          <w:color w:val="auto"/>
          <w:u w:val="none"/>
        </w:rPr>
        <w:t>2</w:t>
      </w:r>
      <w:r>
        <w:rPr>
          <w:color w:val="auto"/>
          <w:u w:val="none"/>
        </w:rPr>
        <w:t>.3.2.3</w:t>
      </w:r>
      <w:r>
        <w:rPr>
          <w:rFonts w:hint="eastAsia"/>
          <w:color w:val="auto"/>
          <w:u w:val="none"/>
        </w:rPr>
        <w:t>深度处理工艺</w:t>
      </w:r>
    </w:p>
    <w:p>
      <w:pPr>
        <w:ind w:firstLine="480"/>
        <w:rPr>
          <w:rFonts w:hint="eastAsia"/>
          <w:color w:val="auto"/>
          <w:u w:val="none"/>
        </w:rPr>
      </w:pPr>
      <w:r>
        <w:rPr>
          <w:rFonts w:hint="eastAsia"/>
          <w:color w:val="auto"/>
          <w:spacing w:val="-4"/>
          <w:u w:val="none"/>
          <w:lang w:eastAsia="zh-CN"/>
        </w:rPr>
        <w:t>由于</w:t>
      </w:r>
      <w:r>
        <w:rPr>
          <w:rFonts w:hint="eastAsia"/>
          <w:color w:val="auto"/>
          <w:spacing w:val="-4"/>
          <w:u w:val="none"/>
          <w:lang w:val="en-US" w:eastAsia="zh-CN"/>
        </w:rPr>
        <w:t>MBR工的特点，</w:t>
      </w:r>
      <w:r>
        <w:rPr>
          <w:rFonts w:hint="eastAsia"/>
          <w:color w:val="auto"/>
        </w:rPr>
        <w:t>该工艺可以作为传统污水处理工艺的深度处理单元</w:t>
      </w:r>
      <w:r>
        <w:rPr>
          <w:rFonts w:hint="eastAsia"/>
          <w:color w:val="auto"/>
          <w:u w:val="none"/>
        </w:rPr>
        <w:t>。</w:t>
      </w:r>
    </w:p>
    <w:p>
      <w:pPr>
        <w:pStyle w:val="69"/>
        <w:rPr>
          <w:color w:val="auto"/>
          <w:u w:val="none"/>
        </w:rPr>
      </w:pPr>
      <w:r>
        <w:rPr>
          <w:rFonts w:hint="eastAsia"/>
          <w:color w:val="auto"/>
          <w:u w:val="none"/>
        </w:rPr>
        <w:t>2</w:t>
      </w:r>
      <w:r>
        <w:rPr>
          <w:color w:val="auto"/>
          <w:u w:val="none"/>
        </w:rPr>
        <w:t>.3.2.4</w:t>
      </w:r>
      <w:r>
        <w:rPr>
          <w:rFonts w:hint="eastAsia"/>
          <w:color w:val="auto"/>
          <w:u w:val="none"/>
        </w:rPr>
        <w:t>消毒工艺选择</w:t>
      </w:r>
    </w:p>
    <w:p>
      <w:pPr>
        <w:ind w:firstLine="480"/>
        <w:rPr>
          <w:color w:val="auto"/>
          <w:u w:val="none"/>
        </w:rPr>
      </w:pPr>
      <w:r>
        <w:rPr>
          <w:rFonts w:hint="eastAsia"/>
          <w:color w:val="auto"/>
          <w:u w:val="none"/>
        </w:rPr>
        <w:t>本工程推荐采用紫外线消毒工艺主要是基于以下一些因素：</w:t>
      </w:r>
    </w:p>
    <w:p>
      <w:pPr>
        <w:ind w:firstLine="480"/>
        <w:rPr>
          <w:rFonts w:hint="eastAsia"/>
          <w:color w:val="auto"/>
          <w:u w:val="none"/>
        </w:rPr>
      </w:pPr>
      <w:r>
        <w:rPr>
          <w:rFonts w:hint="eastAsia"/>
          <w:color w:val="auto"/>
          <w:u w:val="none"/>
        </w:rPr>
        <w:t>1）工艺已经成熟可靠，具有实际运行经验，操作管理简便易行。</w:t>
      </w:r>
    </w:p>
    <w:p>
      <w:pPr>
        <w:ind w:firstLine="480"/>
        <w:rPr>
          <w:rFonts w:hint="eastAsia"/>
          <w:color w:val="auto"/>
          <w:u w:val="none"/>
        </w:rPr>
      </w:pPr>
      <w:r>
        <w:rPr>
          <w:rFonts w:hint="eastAsia"/>
          <w:color w:val="auto"/>
          <w:u w:val="none"/>
        </w:rPr>
        <w:t>2）灭菌效率高，作用时间短。</w:t>
      </w:r>
    </w:p>
    <w:p>
      <w:pPr>
        <w:ind w:firstLine="480"/>
        <w:rPr>
          <w:rFonts w:hint="eastAsia"/>
          <w:color w:val="auto"/>
          <w:u w:val="none"/>
        </w:rPr>
      </w:pPr>
      <w:r>
        <w:rPr>
          <w:rFonts w:hint="eastAsia"/>
          <w:color w:val="auto"/>
          <w:u w:val="none"/>
        </w:rPr>
        <w:t>3）设备系统安全性高，维护检修方便。</w:t>
      </w:r>
    </w:p>
    <w:p>
      <w:pPr>
        <w:ind w:firstLine="480"/>
        <w:rPr>
          <w:color w:val="auto"/>
          <w:u w:val="none"/>
        </w:rPr>
      </w:pPr>
      <w:r>
        <w:rPr>
          <w:rFonts w:hint="eastAsia"/>
          <w:color w:val="auto"/>
          <w:u w:val="none"/>
        </w:rPr>
        <w:t>4）紫外消毒操作管理安全、方便，无二次污染、无副产物和投资、运行费用低。</w:t>
      </w:r>
    </w:p>
    <w:p>
      <w:pPr>
        <w:ind w:firstLine="480"/>
        <w:rPr>
          <w:color w:val="auto"/>
          <w:u w:val="none"/>
        </w:rPr>
      </w:pPr>
      <w:r>
        <w:rPr>
          <w:rFonts w:hint="eastAsia"/>
          <w:color w:val="auto"/>
          <w:u w:val="none"/>
        </w:rPr>
        <w:t>5）占地面积和土建费用大大减少。</w:t>
      </w:r>
    </w:p>
    <w:p>
      <w:pPr>
        <w:pStyle w:val="69"/>
        <w:rPr>
          <w:rFonts w:hint="eastAsia"/>
          <w:color w:val="auto"/>
          <w:u w:val="none"/>
        </w:rPr>
      </w:pPr>
      <w:r>
        <w:rPr>
          <w:color w:val="auto"/>
          <w:u w:val="none"/>
        </w:rPr>
        <w:t>2.3</w:t>
      </w:r>
      <w:r>
        <w:rPr>
          <w:rFonts w:hint="eastAsia"/>
          <w:color w:val="auto"/>
          <w:u w:val="none"/>
        </w:rPr>
        <w:t>.2.</w:t>
      </w:r>
      <w:r>
        <w:rPr>
          <w:rFonts w:hint="eastAsia"/>
          <w:color w:val="auto"/>
          <w:u w:val="none"/>
          <w:lang w:val="en-US" w:eastAsia="zh-CN"/>
        </w:rPr>
        <w:t>5</w:t>
      </w:r>
      <w:r>
        <w:rPr>
          <w:rFonts w:hint="eastAsia"/>
          <w:color w:val="auto"/>
          <w:u w:val="none"/>
        </w:rPr>
        <w:t>污泥处理工艺</w:t>
      </w:r>
    </w:p>
    <w:p>
      <w:pPr>
        <w:ind w:firstLine="480"/>
        <w:rPr>
          <w:rFonts w:hint="eastAsia"/>
          <w:color w:val="auto"/>
          <w:u w:val="none"/>
        </w:rPr>
      </w:pPr>
      <w:r>
        <w:rPr>
          <w:rFonts w:hint="eastAsia"/>
          <w:color w:val="auto"/>
          <w:u w:val="none"/>
          <w:lang w:eastAsia="zh-CN"/>
        </w:rPr>
        <w:t>鉴于本项目规模较小，</w:t>
      </w:r>
      <w:r>
        <w:rPr>
          <w:rFonts w:hint="eastAsia"/>
          <w:color w:val="auto"/>
        </w:rPr>
        <w:t>污水处理后的剩余污泥排放量也较小，尤其是采用生物膜法的生物接触氧化工艺，污泥产量更少，因此，结合满足简单实用、投资省的原则，</w:t>
      </w:r>
      <w:r>
        <w:rPr>
          <w:rFonts w:hint="eastAsia"/>
          <w:color w:val="auto"/>
          <w:highlight w:val="red"/>
        </w:rPr>
        <w:t>本项目考虑剩余污泥经</w:t>
      </w:r>
      <w:r>
        <w:rPr>
          <w:rFonts w:hint="eastAsia"/>
          <w:color w:val="auto"/>
          <w:highlight w:val="red"/>
          <w:lang w:eastAsia="zh-CN"/>
        </w:rPr>
        <w:t>污泥池简单</w:t>
      </w:r>
      <w:r>
        <w:rPr>
          <w:rFonts w:hint="eastAsia"/>
          <w:color w:val="auto"/>
          <w:highlight w:val="red"/>
        </w:rPr>
        <w:t>浓缩</w:t>
      </w:r>
      <w:r>
        <w:rPr>
          <w:rFonts w:hint="eastAsia"/>
          <w:color w:val="auto"/>
          <w:highlight w:val="red"/>
          <w:lang w:eastAsia="zh-CN"/>
        </w:rPr>
        <w:t>后</w:t>
      </w:r>
      <w:r>
        <w:rPr>
          <w:rFonts w:hint="eastAsia"/>
          <w:color w:val="auto"/>
          <w:highlight w:val="red"/>
        </w:rPr>
        <w:t>直接采用</w:t>
      </w:r>
      <w:r>
        <w:rPr>
          <w:rFonts w:hint="eastAsia"/>
          <w:color w:val="auto"/>
          <w:highlight w:val="red"/>
          <w:lang w:eastAsia="zh-CN"/>
        </w:rPr>
        <w:t>叠螺式</w:t>
      </w:r>
      <w:r>
        <w:rPr>
          <w:rFonts w:hint="eastAsia"/>
          <w:color w:val="auto"/>
          <w:highlight w:val="red"/>
        </w:rPr>
        <w:t>脱水机进行脱水处理</w:t>
      </w:r>
      <w:r>
        <w:rPr>
          <w:rFonts w:hint="eastAsia"/>
          <w:color w:val="auto"/>
          <w:u w:val="none"/>
        </w:rPr>
        <w:t>。</w:t>
      </w:r>
    </w:p>
    <w:p>
      <w:pPr>
        <w:pStyle w:val="69"/>
        <w:rPr>
          <w:rFonts w:hint="eastAsia"/>
          <w:color w:val="auto"/>
          <w:u w:val="none"/>
        </w:rPr>
      </w:pPr>
      <w:r>
        <w:rPr>
          <w:color w:val="auto"/>
          <w:u w:val="none"/>
        </w:rPr>
        <w:t>2.3</w:t>
      </w:r>
      <w:r>
        <w:rPr>
          <w:rFonts w:hint="eastAsia"/>
          <w:color w:val="auto"/>
          <w:u w:val="none"/>
        </w:rPr>
        <w:t>.2.</w:t>
      </w:r>
      <w:r>
        <w:rPr>
          <w:rFonts w:hint="eastAsia"/>
          <w:color w:val="auto"/>
          <w:u w:val="none"/>
          <w:lang w:val="en-US" w:eastAsia="zh-CN"/>
        </w:rPr>
        <w:t>6</w:t>
      </w:r>
      <w:r>
        <w:rPr>
          <w:rFonts w:hint="eastAsia"/>
          <w:color w:val="auto"/>
          <w:u w:val="none"/>
        </w:rPr>
        <w:t>臭气处理工艺</w:t>
      </w:r>
    </w:p>
    <w:p>
      <w:pPr>
        <w:ind w:firstLine="480"/>
        <w:rPr>
          <w:rFonts w:hint="eastAsia"/>
          <w:color w:val="auto"/>
          <w:u w:val="none"/>
        </w:rPr>
      </w:pPr>
      <w:r>
        <w:rPr>
          <w:rFonts w:hint="eastAsia"/>
          <w:color w:val="auto"/>
          <w:u w:val="none"/>
        </w:rPr>
        <w:t>本项目臭气主要产生点为格栅</w:t>
      </w:r>
      <w:r>
        <w:rPr>
          <w:rFonts w:hint="eastAsia"/>
          <w:color w:val="auto"/>
          <w:u w:val="none"/>
          <w:lang w:eastAsia="zh-CN"/>
        </w:rPr>
        <w:t>渠</w:t>
      </w:r>
      <w:r>
        <w:rPr>
          <w:rFonts w:hint="eastAsia"/>
          <w:color w:val="auto"/>
          <w:u w:val="none"/>
        </w:rPr>
        <w:t>、</w:t>
      </w:r>
      <w:r>
        <w:rPr>
          <w:rFonts w:hint="eastAsia"/>
          <w:color w:val="auto"/>
          <w:u w:val="none"/>
          <w:lang w:eastAsia="zh-CN"/>
        </w:rPr>
        <w:t>沉砂池、</w:t>
      </w:r>
      <w:r>
        <w:rPr>
          <w:rFonts w:hint="eastAsia"/>
          <w:color w:val="auto"/>
          <w:u w:val="none"/>
        </w:rPr>
        <w:t>调节池、</w:t>
      </w:r>
      <w:r>
        <w:rPr>
          <w:rFonts w:hint="eastAsia"/>
          <w:color w:val="auto"/>
          <w:u w:val="none"/>
          <w:lang w:val="en-US" w:eastAsia="zh-CN"/>
        </w:rPr>
        <w:t>MBR一体化设备</w:t>
      </w:r>
      <w:r>
        <w:rPr>
          <w:rFonts w:hint="eastAsia"/>
          <w:color w:val="auto"/>
          <w:u w:val="none"/>
        </w:rPr>
        <w:t>、污泥池</w:t>
      </w:r>
      <w:r>
        <w:rPr>
          <w:rFonts w:hint="eastAsia"/>
          <w:color w:val="auto"/>
          <w:u w:val="none"/>
          <w:lang w:eastAsia="zh-CN"/>
        </w:rPr>
        <w:t>及污泥脱水间</w:t>
      </w:r>
      <w:r>
        <w:rPr>
          <w:rFonts w:hint="eastAsia"/>
          <w:color w:val="auto"/>
          <w:u w:val="none"/>
        </w:rPr>
        <w:t>。</w:t>
      </w:r>
    </w:p>
    <w:p>
      <w:pPr>
        <w:ind w:firstLine="480"/>
        <w:rPr>
          <w:color w:val="auto"/>
          <w:u w:val="none"/>
        </w:rPr>
      </w:pPr>
      <w:r>
        <w:rPr>
          <w:rFonts w:hint="eastAsia"/>
          <w:color w:val="auto"/>
          <w:u w:val="none"/>
        </w:rPr>
        <w:t>污泥脱水间排出的臭气通过废气收集系统一收集输送至废气处装置，除臭的具体工艺流程为：臭气收集→抽风机→活性炭吸附→排气。活性炭除臭主要原理是利用活性炭的物理吸附原理</w:t>
      </w:r>
      <w:r>
        <w:rPr>
          <w:rFonts w:hint="eastAsia"/>
          <w:color w:val="auto"/>
          <w:u w:val="none"/>
          <w:lang w:eastAsia="zh-CN"/>
        </w:rPr>
        <w:t>，</w:t>
      </w:r>
      <w:r>
        <w:rPr>
          <w:rFonts w:hint="eastAsia"/>
          <w:color w:val="auto"/>
          <w:u w:val="none"/>
        </w:rPr>
        <w:t>在作用过程中，依靠空气作为媒介，吸附臭气。</w:t>
      </w:r>
    </w:p>
    <w:p>
      <w:pPr>
        <w:ind w:firstLine="480"/>
        <w:rPr>
          <w:color w:val="auto"/>
          <w:u w:val="none"/>
        </w:rPr>
      </w:pPr>
      <w:r>
        <w:rPr>
          <w:rFonts w:hint="eastAsia"/>
          <w:color w:val="auto"/>
          <w:u w:val="none"/>
        </w:rPr>
        <w:t>格栅</w:t>
      </w:r>
      <w:r>
        <w:rPr>
          <w:rFonts w:hint="eastAsia"/>
          <w:color w:val="auto"/>
          <w:u w:val="none"/>
          <w:lang w:eastAsia="zh-CN"/>
        </w:rPr>
        <w:t>渠、沉砂池、调节池、</w:t>
      </w:r>
      <w:r>
        <w:rPr>
          <w:rFonts w:hint="eastAsia"/>
          <w:color w:val="auto"/>
          <w:u w:val="none"/>
          <w:lang w:val="en-US" w:eastAsia="zh-CN"/>
        </w:rPr>
        <w:t>膜离线清洗池</w:t>
      </w:r>
      <w:r>
        <w:rPr>
          <w:rFonts w:hint="eastAsia"/>
          <w:color w:val="auto"/>
          <w:u w:val="none"/>
          <w:lang w:eastAsia="zh-CN"/>
        </w:rPr>
        <w:t>、污泥池</w:t>
      </w:r>
      <w:r>
        <w:rPr>
          <w:rFonts w:hint="eastAsia"/>
          <w:color w:val="auto"/>
          <w:u w:val="none"/>
        </w:rPr>
        <w:t>采用钢筋混凝土加盖的形式</w:t>
      </w:r>
      <w:r>
        <w:rPr>
          <w:rFonts w:hint="eastAsia"/>
          <w:color w:val="auto"/>
          <w:u w:val="none"/>
          <w:lang w:eastAsia="zh-CN"/>
        </w:rPr>
        <w:t>，</w:t>
      </w:r>
      <w:r>
        <w:rPr>
          <w:rFonts w:hint="eastAsia"/>
          <w:color w:val="auto"/>
          <w:u w:val="none"/>
          <w:lang w:val="en-US" w:eastAsia="zh-CN"/>
        </w:rPr>
        <w:t>MBR污水处理设备为厂家提供的全封闭一体化设备</w:t>
      </w:r>
      <w:r>
        <w:rPr>
          <w:rFonts w:hint="eastAsia"/>
          <w:color w:val="auto"/>
          <w:u w:val="none"/>
        </w:rPr>
        <w:t>，</w:t>
      </w:r>
      <w:r>
        <w:rPr>
          <w:rFonts w:hint="eastAsia"/>
          <w:color w:val="auto"/>
          <w:u w:val="none"/>
          <w:lang w:eastAsia="zh-CN"/>
        </w:rPr>
        <w:t>污水处理构筑物周边及厂区</w:t>
      </w:r>
      <w:r>
        <w:rPr>
          <w:rFonts w:hint="eastAsia"/>
          <w:color w:val="auto"/>
          <w:u w:val="none"/>
        </w:rPr>
        <w:t>定期喷洒植物除臭剂，同时加强周边绿化。</w:t>
      </w:r>
    </w:p>
    <w:p>
      <w:pPr>
        <w:pStyle w:val="5"/>
        <w:bidi w:val="0"/>
        <w:rPr>
          <w:rFonts w:hint="eastAsia"/>
        </w:rPr>
      </w:pPr>
      <w:bookmarkStart w:id="185" w:name="_Toc32436"/>
      <w:r>
        <w:rPr>
          <w:rFonts w:hint="eastAsia"/>
        </w:rPr>
        <w:t>2.</w:t>
      </w:r>
      <w:bookmarkStart w:id="186" w:name="_Toc489349360"/>
      <w:r>
        <w:t>4</w:t>
      </w:r>
      <w:r>
        <w:rPr>
          <w:rFonts w:hint="eastAsia"/>
        </w:rPr>
        <w:t>工程污染源分析</w:t>
      </w:r>
      <w:bookmarkEnd w:id="181"/>
      <w:bookmarkEnd w:id="185"/>
      <w:bookmarkEnd w:id="186"/>
    </w:p>
    <w:p>
      <w:pPr>
        <w:ind w:firstLine="480"/>
        <w:jc w:val="both"/>
        <w:rPr>
          <w:rFonts w:hint="eastAsia"/>
          <w:color w:val="auto"/>
          <w:u w:val="none"/>
        </w:rPr>
      </w:pPr>
      <w:bookmarkStart w:id="187" w:name="_Toc489350014"/>
      <w:bookmarkStart w:id="188" w:name="_Toc489350281"/>
      <w:bookmarkStart w:id="189" w:name="_Toc489350180"/>
      <w:bookmarkStart w:id="190" w:name="_Toc489349361"/>
      <w:r>
        <w:rPr>
          <w:rFonts w:hint="eastAsia"/>
          <w:color w:val="auto"/>
          <w:u w:val="none"/>
        </w:rPr>
        <w:t>项目</w:t>
      </w:r>
      <w:r>
        <w:rPr>
          <w:rFonts w:hint="eastAsia"/>
          <w:color w:val="auto"/>
          <w:u w:val="none"/>
          <w:lang w:eastAsia="zh-CN"/>
        </w:rPr>
        <w:t>一期</w:t>
      </w:r>
      <w:r>
        <w:rPr>
          <w:rFonts w:hint="eastAsia"/>
          <w:color w:val="auto"/>
          <w:u w:val="none"/>
        </w:rPr>
        <w:t>工程包括污水处理厂土建工程、配套管网工程，</w:t>
      </w:r>
      <w:r>
        <w:rPr>
          <w:rFonts w:hint="eastAsia"/>
          <w:color w:val="auto"/>
          <w:u w:val="none"/>
          <w:lang w:eastAsia="zh-CN"/>
        </w:rPr>
        <w:t>二期工程仅安装</w:t>
      </w:r>
      <w:r>
        <w:rPr>
          <w:rFonts w:hint="eastAsia"/>
          <w:color w:val="auto"/>
          <w:u w:val="none"/>
          <w:lang w:val="en-US" w:eastAsia="zh-CN"/>
        </w:rPr>
        <w:t>3套MBR一体化设备，一期工程已预留设备基台，无需进行土石方工程，其预处理设备、辅助设备及管道均依托一期工程，故施工期仅对一期工程进行分析，其</w:t>
      </w:r>
      <w:r>
        <w:rPr>
          <w:rFonts w:hint="eastAsia"/>
          <w:color w:val="auto"/>
          <w:u w:val="none"/>
        </w:rPr>
        <w:t>各工程在施工过程中均会对周围环境造成一定影响。</w:t>
      </w:r>
    </w:p>
    <w:p>
      <w:pPr>
        <w:pStyle w:val="6"/>
        <w:bidi w:val="0"/>
      </w:pPr>
      <w:r>
        <w:rPr>
          <w:rFonts w:hint="eastAsia"/>
        </w:rPr>
        <w:t>2</w:t>
      </w:r>
      <w:r>
        <w:t>.</w:t>
      </w:r>
      <w:r>
        <w:rPr>
          <w:rFonts w:hint="eastAsia"/>
        </w:rPr>
        <w:t>4</w:t>
      </w:r>
      <w:r>
        <w:t>.1施工期主要污染工序</w:t>
      </w:r>
      <w:bookmarkEnd w:id="187"/>
      <w:bookmarkEnd w:id="188"/>
      <w:bookmarkEnd w:id="189"/>
      <w:bookmarkEnd w:id="190"/>
    </w:p>
    <w:p>
      <w:pPr>
        <w:pStyle w:val="3"/>
        <w:spacing w:before="46"/>
        <w:ind w:left="0" w:firstLine="480" w:firstLineChars="200"/>
        <w:jc w:val="both"/>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1）</w:t>
      </w:r>
      <w:r>
        <w:rPr>
          <w:rFonts w:hint="eastAsia" w:ascii="Times New Roman" w:hAnsi="Times New Roman" w:cs="Times New Roman"/>
          <w:color w:val="auto"/>
          <w:u w:val="none"/>
          <w:lang w:eastAsia="zh-CN"/>
        </w:rPr>
        <w:t>基础工程</w:t>
      </w:r>
    </w:p>
    <w:p>
      <w:pPr>
        <w:pStyle w:val="3"/>
        <w:ind w:firstLine="480" w:firstLineChars="200"/>
        <w:jc w:val="both"/>
        <w:rPr>
          <w:rFonts w:ascii="Times New Roman" w:hAnsi="Times New Roman" w:cs="Times New Roman"/>
          <w:color w:val="auto"/>
          <w:u w:val="none"/>
          <w:lang w:eastAsia="zh-CN"/>
        </w:rPr>
      </w:pPr>
      <w:r>
        <w:rPr>
          <w:rFonts w:ascii="Times New Roman" w:hAnsi="Times New Roman" w:cs="Times New Roman"/>
          <w:color w:val="auto"/>
          <w:u w:val="none"/>
          <w:lang w:eastAsia="zh-CN"/>
        </w:rPr>
        <w:t>包括地基处理（岩土工程）与基础工程施工，挖掘机、推土机、打夯机、打桩机、振捣机、装载机等运行时将主要产生施工噪声、施工扬尘。</w:t>
      </w:r>
    </w:p>
    <w:p>
      <w:pPr>
        <w:pStyle w:val="3"/>
        <w:spacing w:before="46"/>
        <w:ind w:left="0" w:firstLine="480" w:firstLineChars="200"/>
        <w:jc w:val="both"/>
        <w:rPr>
          <w:rFonts w:ascii="Times New Roman" w:hAnsi="Times New Roman" w:cs="Times New Roman"/>
          <w:color w:val="auto"/>
          <w:u w:val="none"/>
          <w:lang w:eastAsia="zh-CN"/>
        </w:rPr>
      </w:pP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2）主体工程及管线工程</w:t>
      </w:r>
    </w:p>
    <w:p>
      <w:pPr>
        <w:pStyle w:val="3"/>
        <w:spacing w:before="46"/>
        <w:ind w:left="0" w:firstLine="480" w:firstLineChars="200"/>
        <w:jc w:val="both"/>
        <w:rPr>
          <w:rFonts w:ascii="Times New Roman" w:hAnsi="Times New Roman" w:cs="Times New Roman"/>
          <w:color w:val="auto"/>
          <w:u w:val="none"/>
          <w:lang w:eastAsia="zh-CN"/>
        </w:rPr>
      </w:pPr>
      <w:r>
        <w:rPr>
          <w:rFonts w:ascii="Times New Roman" w:hAnsi="Times New Roman" w:cs="Times New Roman"/>
          <w:color w:val="auto"/>
          <w:u w:val="none"/>
          <w:lang w:eastAsia="zh-CN"/>
        </w:rPr>
        <w:t>将产生混凝土输送泵、混凝土振捣棒、卷扬机、钢筋切割机等施工机械的运行噪声；在挖土、堆场、建材搬运和汽车运输过程中会产生扬尘等环境问题；</w:t>
      </w:r>
      <w:r>
        <w:rPr>
          <w:rFonts w:hint="eastAsia" w:ascii="Times New Roman" w:hAnsi="Times New Roman" w:cs="Times New Roman"/>
          <w:color w:val="auto"/>
          <w:u w:val="none"/>
          <w:lang w:eastAsia="zh-CN"/>
        </w:rPr>
        <w:t>同时，工程施工占地将会对附近生态环境造成一定影响。</w:t>
      </w:r>
    </w:p>
    <w:p>
      <w:pPr>
        <w:pStyle w:val="3"/>
        <w:spacing w:before="44"/>
        <w:ind w:left="0" w:firstLine="480" w:firstLineChars="200"/>
        <w:jc w:val="both"/>
        <w:rPr>
          <w:rFonts w:ascii="Times New Roman" w:hAnsi="Times New Roman" w:cs="Times New Roman"/>
          <w:color w:val="auto"/>
          <w:u w:val="none"/>
          <w:lang w:eastAsia="zh-CN"/>
        </w:rPr>
      </w:pP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3）设备安装及配套装饰工程施工</w:t>
      </w:r>
    </w:p>
    <w:p>
      <w:pPr>
        <w:pStyle w:val="3"/>
        <w:spacing w:before="6"/>
        <w:ind w:left="0" w:right="90" w:firstLine="480" w:firstLineChars="200"/>
        <w:jc w:val="both"/>
        <w:rPr>
          <w:rFonts w:ascii="Times New Roman" w:hAnsi="Times New Roman" w:cs="Times New Roman"/>
          <w:color w:val="auto"/>
          <w:u w:val="none"/>
          <w:lang w:eastAsia="zh-CN"/>
        </w:rPr>
      </w:pPr>
      <w:r>
        <w:rPr>
          <w:rFonts w:ascii="Times New Roman" w:hAnsi="Times New Roman" w:cs="Times New Roman"/>
          <w:color w:val="auto"/>
          <w:u w:val="none"/>
          <w:lang w:eastAsia="zh-CN"/>
        </w:rPr>
        <w:t>在对构筑物、设备进行装饰及安装施工时（如表面粉刷、油漆、喷涂、裱糊、镶贴装饰等），钻机、电锤、切割机等产生噪声；油漆、喷涂、建筑及装饰材料等产生废气、废弃物料及极少量的洗涤污水。</w:t>
      </w:r>
    </w:p>
    <w:p>
      <w:pPr>
        <w:pStyle w:val="3"/>
        <w:spacing w:before="26"/>
        <w:ind w:left="0" w:right="90" w:firstLine="480" w:firstLineChars="200"/>
        <w:jc w:val="both"/>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本工程包括污水处理厂工程</w:t>
      </w:r>
      <w:r>
        <w:rPr>
          <w:rFonts w:hint="eastAsia" w:ascii="Times New Roman" w:hAnsi="Times New Roman" w:cs="Times New Roman"/>
          <w:color w:val="auto"/>
          <w:u w:val="none"/>
          <w:lang w:eastAsia="zh-CN"/>
        </w:rPr>
        <w:t>、配套</w:t>
      </w:r>
      <w:r>
        <w:rPr>
          <w:rFonts w:ascii="Times New Roman" w:hAnsi="Times New Roman" w:cs="Times New Roman"/>
          <w:color w:val="auto"/>
          <w:u w:val="none"/>
          <w:lang w:eastAsia="zh-CN"/>
        </w:rPr>
        <w:t>管网工程，在其施工过程中将对周边环境产生一定的污染。从上述污染工序分析可知，施工期环境污染问题主要是：施工扬尘和废气</w:t>
      </w: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施工噪声</w:t>
      </w:r>
      <w:r>
        <w:rPr>
          <w:rFonts w:hint="eastAsia" w:ascii="Times New Roman" w:hAnsi="Times New Roman" w:cs="Times New Roman"/>
          <w:color w:val="auto"/>
          <w:u w:val="none"/>
          <w:lang w:eastAsia="zh-CN"/>
        </w:rPr>
        <w:t>、施工期生态环境影响、</w:t>
      </w:r>
      <w:r>
        <w:rPr>
          <w:rFonts w:ascii="Times New Roman" w:hAnsi="Times New Roman" w:cs="Times New Roman"/>
          <w:color w:val="auto"/>
          <w:u w:val="none"/>
          <w:lang w:eastAsia="zh-CN"/>
        </w:rPr>
        <w:t>工程养护废水</w:t>
      </w:r>
      <w:r>
        <w:rPr>
          <w:rFonts w:hint="eastAsia" w:ascii="Times New Roman" w:hAnsi="Times New Roman" w:cs="Times New Roman"/>
          <w:color w:val="auto"/>
          <w:u w:val="none"/>
          <w:lang w:eastAsia="zh-CN"/>
        </w:rPr>
        <w:t>和</w:t>
      </w:r>
      <w:r>
        <w:rPr>
          <w:rFonts w:ascii="Times New Roman" w:hAnsi="Times New Roman" w:cs="Times New Roman"/>
          <w:color w:val="auto"/>
          <w:u w:val="none"/>
          <w:lang w:eastAsia="zh-CN"/>
        </w:rPr>
        <w:t>施工垃圾。这些污染几乎发生于整个施工过程，但不同污染因子在不同施工段污染强度不同</w:t>
      </w:r>
      <w:r>
        <w:rPr>
          <w:rFonts w:hint="eastAsia" w:ascii="Times New Roman" w:hAnsi="Times New Roman" w:cs="Times New Roman"/>
          <w:color w:val="auto"/>
          <w:u w:val="none"/>
          <w:lang w:eastAsia="zh-CN"/>
        </w:rPr>
        <w:t>，工程施工期工艺流程以及产污节点详见下图。</w:t>
      </w:r>
    </w:p>
    <w:p>
      <w:pPr>
        <w:pStyle w:val="3"/>
        <w:spacing w:before="26"/>
        <w:ind w:right="90"/>
        <w:jc w:val="both"/>
        <w:rPr>
          <w:rFonts w:ascii="Times New Roman" w:hAnsi="Times New Roman" w:cs="Times New Roman"/>
          <w:color w:val="auto"/>
          <w:u w:val="none"/>
          <w:lang w:eastAsia="zh-CN"/>
        </w:rPr>
      </w:pPr>
      <w:r>
        <w:rPr>
          <w:rFonts w:ascii="Times New Roman" w:hAnsi="Times New Roman"/>
          <w:color w:val="auto"/>
          <w:u w:val="none"/>
        </w:rPr>
        <w:drawing>
          <wp:inline distT="0" distB="0" distL="114300" distR="114300">
            <wp:extent cx="4984115" cy="2829560"/>
            <wp:effectExtent l="0" t="0" r="14605" b="5080"/>
            <wp:docPr id="14" name="图片 152" descr="QQ截图2018010509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2" descr="QQ截图20180105091553"/>
                    <pic:cNvPicPr>
                      <a:picLocks noChangeAspect="1"/>
                    </pic:cNvPicPr>
                  </pic:nvPicPr>
                  <pic:blipFill>
                    <a:blip r:embed="rId36"/>
                    <a:stretch>
                      <a:fillRect/>
                    </a:stretch>
                  </pic:blipFill>
                  <pic:spPr>
                    <a:xfrm>
                      <a:off x="0" y="0"/>
                      <a:ext cx="4984115" cy="2829560"/>
                    </a:xfrm>
                    <a:prstGeom prst="rect">
                      <a:avLst/>
                    </a:prstGeom>
                    <a:noFill/>
                    <a:ln>
                      <a:noFill/>
                    </a:ln>
                  </pic:spPr>
                </pic:pic>
              </a:graphicData>
            </a:graphic>
          </wp:inline>
        </w:drawing>
      </w:r>
    </w:p>
    <w:p>
      <w:pPr>
        <w:pStyle w:val="103"/>
        <w:rPr>
          <w:rFonts w:hint="eastAsia"/>
          <w:color w:val="auto"/>
          <w:u w:val="none"/>
        </w:rPr>
      </w:pPr>
      <w:bookmarkStart w:id="191" w:name="_Toc489350015"/>
      <w:bookmarkStart w:id="192" w:name="_Toc489350181"/>
      <w:bookmarkStart w:id="193" w:name="_Toc489350282"/>
      <w:bookmarkStart w:id="194" w:name="_Toc489349362"/>
      <w:r>
        <w:rPr>
          <w:rFonts w:hint="eastAsia"/>
          <w:color w:val="auto"/>
          <w:u w:val="none"/>
        </w:rPr>
        <w:t>图2.4-1污水处理厂建设工艺流程及产污节点图</w:t>
      </w:r>
    </w:p>
    <w:p>
      <w:pPr>
        <w:pStyle w:val="103"/>
        <w:rPr>
          <w:rFonts w:hint="eastAsia"/>
          <w:color w:val="auto"/>
          <w:u w:val="none"/>
        </w:rPr>
      </w:pPr>
      <w:r>
        <w:rPr>
          <w:rFonts w:hint="eastAsia"/>
          <w:color w:val="auto"/>
          <w:u w:val="none"/>
        </w:rPr>
        <w:drawing>
          <wp:inline distT="0" distB="0" distL="114300" distR="114300">
            <wp:extent cx="5436235" cy="2376170"/>
            <wp:effectExtent l="0" t="0" r="4445"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7"/>
                    <a:stretch>
                      <a:fillRect/>
                    </a:stretch>
                  </pic:blipFill>
                  <pic:spPr>
                    <a:xfrm>
                      <a:off x="0" y="0"/>
                      <a:ext cx="5436235" cy="2376170"/>
                    </a:xfrm>
                    <a:prstGeom prst="rect">
                      <a:avLst/>
                    </a:prstGeom>
                    <a:noFill/>
                    <a:ln>
                      <a:noFill/>
                    </a:ln>
                  </pic:spPr>
                </pic:pic>
              </a:graphicData>
            </a:graphic>
          </wp:inline>
        </w:drawing>
      </w:r>
    </w:p>
    <w:p>
      <w:pPr>
        <w:pStyle w:val="103"/>
        <w:rPr>
          <w:color w:val="auto"/>
          <w:u w:val="none"/>
        </w:rPr>
      </w:pPr>
      <w:r>
        <w:rPr>
          <w:color w:val="auto"/>
          <w:u w:val="none"/>
        </w:rPr>
        <w:t>图</w:t>
      </w:r>
      <w:r>
        <w:rPr>
          <w:rFonts w:hint="eastAsia"/>
          <w:color w:val="auto"/>
          <w:u w:val="none"/>
        </w:rPr>
        <w:t>2.4-2</w:t>
      </w:r>
      <w:r>
        <w:rPr>
          <w:color w:val="auto"/>
          <w:u w:val="none"/>
        </w:rPr>
        <w:t>管道铺设工程</w:t>
      </w:r>
      <w:r>
        <w:rPr>
          <w:rFonts w:hint="eastAsia"/>
          <w:color w:val="auto"/>
          <w:u w:val="none"/>
        </w:rPr>
        <w:t>工艺流程及</w:t>
      </w:r>
      <w:r>
        <w:rPr>
          <w:color w:val="auto"/>
          <w:u w:val="none"/>
        </w:rPr>
        <w:t>产污节点图</w:t>
      </w:r>
    </w:p>
    <w:p>
      <w:pPr>
        <w:pStyle w:val="6"/>
        <w:bidi w:val="0"/>
      </w:pPr>
      <w:r>
        <w:rPr>
          <w:rFonts w:hint="eastAsia"/>
        </w:rPr>
        <w:t>2.4.2施工期</w:t>
      </w:r>
      <w:r>
        <w:t>污染源分析</w:t>
      </w:r>
      <w:bookmarkEnd w:id="191"/>
      <w:bookmarkEnd w:id="192"/>
      <w:bookmarkEnd w:id="193"/>
      <w:bookmarkEnd w:id="194"/>
    </w:p>
    <w:p>
      <w:pPr>
        <w:pStyle w:val="69"/>
        <w:rPr>
          <w:rFonts w:hint="eastAsia"/>
          <w:color w:val="auto"/>
          <w:u w:val="none"/>
        </w:rPr>
      </w:pPr>
      <w:r>
        <w:rPr>
          <w:rFonts w:hint="eastAsia"/>
          <w:color w:val="auto"/>
          <w:u w:val="none"/>
        </w:rPr>
        <w:t>2</w:t>
      </w:r>
      <w:r>
        <w:rPr>
          <w:color w:val="auto"/>
          <w:u w:val="none"/>
        </w:rPr>
        <w:t>.4.2.1水污染源</w:t>
      </w:r>
    </w:p>
    <w:p>
      <w:pPr>
        <w:ind w:firstLine="482"/>
        <w:rPr>
          <w:rFonts w:hint="eastAsia"/>
          <w:b/>
          <w:color w:val="auto"/>
          <w:kern w:val="0"/>
          <w:u w:val="none"/>
        </w:rPr>
      </w:pPr>
      <w:r>
        <w:rPr>
          <w:rFonts w:hint="eastAsia"/>
          <w:b/>
          <w:color w:val="auto"/>
          <w:kern w:val="0"/>
          <w:u w:val="none"/>
        </w:rPr>
        <w:t>（1）污水处理厂工程</w:t>
      </w:r>
    </w:p>
    <w:p>
      <w:pPr>
        <w:ind w:firstLine="480"/>
        <w:jc w:val="both"/>
        <w:rPr>
          <w:rFonts w:hint="eastAsia"/>
          <w:b/>
          <w:color w:val="auto"/>
          <w:kern w:val="0"/>
          <w:u w:val="none"/>
        </w:rPr>
      </w:pPr>
      <w:r>
        <w:rPr>
          <w:rFonts w:hint="eastAsia"/>
          <w:color w:val="auto"/>
          <w:kern w:val="0"/>
          <w:u w:val="none"/>
        </w:rPr>
        <w:t>污水处理厂工程中的水污染源主要为</w:t>
      </w:r>
      <w:r>
        <w:rPr>
          <w:color w:val="auto"/>
          <w:kern w:val="0"/>
          <w:u w:val="none"/>
        </w:rPr>
        <w:t>建筑物砼浇筑、冲洗与养护</w:t>
      </w:r>
      <w:r>
        <w:rPr>
          <w:rFonts w:hint="eastAsia"/>
          <w:color w:val="auto"/>
          <w:kern w:val="0"/>
          <w:u w:val="none"/>
        </w:rPr>
        <w:t>施工废水，</w:t>
      </w:r>
      <w:r>
        <w:rPr>
          <w:rFonts w:hint="eastAsia"/>
          <w:color w:val="auto"/>
          <w:kern w:val="0"/>
          <w:u w:val="none"/>
          <w:lang w:eastAsia="zh-CN"/>
        </w:rPr>
        <w:t>一期</w:t>
      </w:r>
      <w:r>
        <w:rPr>
          <w:rFonts w:hint="eastAsia"/>
          <w:color w:val="auto"/>
          <w:kern w:val="0"/>
          <w:u w:val="none"/>
        </w:rPr>
        <w:t>工程施工人员约为</w:t>
      </w:r>
      <w:r>
        <w:rPr>
          <w:rFonts w:hint="eastAsia"/>
          <w:color w:val="auto"/>
          <w:kern w:val="0"/>
          <w:u w:val="none"/>
          <w:lang w:val="en-US" w:eastAsia="zh-CN"/>
        </w:rPr>
        <w:t>8</w:t>
      </w:r>
      <w:r>
        <w:rPr>
          <w:rFonts w:hint="eastAsia"/>
          <w:color w:val="auto"/>
          <w:kern w:val="0"/>
          <w:u w:val="none"/>
        </w:rPr>
        <w:t>人</w:t>
      </w:r>
      <w:r>
        <w:rPr>
          <w:rFonts w:hint="eastAsia"/>
          <w:color w:val="auto"/>
          <w:kern w:val="0"/>
          <w:u w:val="none"/>
          <w:lang w:eastAsia="zh-CN"/>
        </w:rPr>
        <w:t>，二期工程</w:t>
      </w:r>
      <w:r>
        <w:rPr>
          <w:rFonts w:hint="eastAsia"/>
          <w:color w:val="auto"/>
          <w:kern w:val="0"/>
          <w:u w:val="none"/>
        </w:rPr>
        <w:t>施工人员约为</w:t>
      </w:r>
      <w:r>
        <w:rPr>
          <w:rFonts w:hint="eastAsia"/>
          <w:color w:val="auto"/>
          <w:kern w:val="0"/>
          <w:u w:val="none"/>
          <w:lang w:val="en-US" w:eastAsia="zh-CN"/>
        </w:rPr>
        <w:t>3</w:t>
      </w:r>
      <w:r>
        <w:rPr>
          <w:rFonts w:hint="eastAsia"/>
          <w:color w:val="auto"/>
          <w:kern w:val="0"/>
          <w:u w:val="none"/>
        </w:rPr>
        <w:t>人，项目在施工</w:t>
      </w:r>
      <w:r>
        <w:rPr>
          <w:rFonts w:hint="eastAsia"/>
          <w:color w:val="auto"/>
          <w:kern w:val="0"/>
          <w:u w:val="none"/>
          <w:lang w:eastAsia="zh-CN"/>
        </w:rPr>
        <w:t>场地</w:t>
      </w:r>
      <w:r>
        <w:rPr>
          <w:rFonts w:hint="eastAsia"/>
          <w:color w:val="auto"/>
          <w:kern w:val="0"/>
          <w:u w:val="none"/>
        </w:rPr>
        <w:t>设置临时施工营地</w:t>
      </w:r>
      <w:r>
        <w:rPr>
          <w:rFonts w:hint="eastAsia"/>
          <w:color w:val="auto"/>
          <w:kern w:val="0"/>
          <w:u w:val="none"/>
          <w:lang w:eastAsia="zh-CN"/>
        </w:rPr>
        <w:t>仅用于施工场地办公</w:t>
      </w:r>
      <w:r>
        <w:rPr>
          <w:rFonts w:hint="eastAsia"/>
          <w:color w:val="auto"/>
          <w:kern w:val="0"/>
          <w:u w:val="none"/>
        </w:rPr>
        <w:t>，</w:t>
      </w:r>
      <w:r>
        <w:rPr>
          <w:rFonts w:hint="eastAsia"/>
          <w:color w:val="auto"/>
          <w:kern w:val="0"/>
          <w:u w:val="none"/>
          <w:lang w:eastAsia="zh-CN"/>
        </w:rPr>
        <w:t>不设置施工人员食宿场地，因此施工场地不产生生活污水</w:t>
      </w:r>
      <w:r>
        <w:rPr>
          <w:rFonts w:hint="eastAsia"/>
          <w:color w:val="auto"/>
          <w:kern w:val="0"/>
          <w:u w:val="none"/>
        </w:rPr>
        <w:t>；</w:t>
      </w:r>
      <w:r>
        <w:rPr>
          <w:color w:val="auto"/>
          <w:kern w:val="0"/>
          <w:u w:val="none"/>
        </w:rPr>
        <w:t>施工废水中主要污染物为SS</w:t>
      </w:r>
      <w:r>
        <w:rPr>
          <w:rFonts w:hint="eastAsia"/>
          <w:color w:val="auto"/>
          <w:kern w:val="0"/>
          <w:u w:val="none"/>
        </w:rPr>
        <w:t>，</w:t>
      </w:r>
      <w:r>
        <w:rPr>
          <w:color w:val="auto"/>
          <w:kern w:val="0"/>
          <w:u w:val="none"/>
        </w:rPr>
        <w:t>施工废水中含SS浓度较高，据类比调查，施工废水悬浮物含量约</w:t>
      </w:r>
      <w:r>
        <w:rPr>
          <w:rFonts w:hint="eastAsia"/>
          <w:color w:val="auto"/>
          <w:kern w:val="0"/>
          <w:u w:val="none"/>
        </w:rPr>
        <w:t>2000</w:t>
      </w:r>
      <w:r>
        <w:rPr>
          <w:color w:val="auto"/>
          <w:kern w:val="0"/>
          <w:u w:val="none"/>
        </w:rPr>
        <w:t>mg/L，</w:t>
      </w:r>
      <w:r>
        <w:rPr>
          <w:rFonts w:hint="eastAsia"/>
          <w:color w:val="auto"/>
          <w:kern w:val="0"/>
          <w:u w:val="none"/>
        </w:rPr>
        <w:t>由于施工过程中用水量的不确定性，本环评对其水量不做定量分析。</w:t>
      </w:r>
    </w:p>
    <w:p>
      <w:pPr>
        <w:ind w:firstLine="482"/>
        <w:rPr>
          <w:rFonts w:hint="eastAsia"/>
          <w:b/>
          <w:color w:val="auto"/>
          <w:kern w:val="0"/>
          <w:u w:val="none"/>
        </w:rPr>
      </w:pPr>
      <w:r>
        <w:rPr>
          <w:rFonts w:hint="eastAsia"/>
          <w:b/>
          <w:color w:val="auto"/>
          <w:kern w:val="0"/>
          <w:u w:val="none"/>
        </w:rPr>
        <w:t>（2）管道铺设工程</w:t>
      </w:r>
    </w:p>
    <w:p>
      <w:pPr>
        <w:ind w:firstLine="480"/>
        <w:jc w:val="both"/>
        <w:rPr>
          <w:rFonts w:hint="eastAsia"/>
          <w:color w:val="auto"/>
          <w:u w:val="none"/>
        </w:rPr>
      </w:pPr>
      <w:r>
        <w:rPr>
          <w:rFonts w:hint="eastAsia"/>
          <w:color w:val="auto"/>
          <w:u w:val="none"/>
          <w:lang w:eastAsia="zh-CN"/>
        </w:rPr>
        <w:t>污水收集管道沿现有道路铺设</w:t>
      </w:r>
      <w:r>
        <w:rPr>
          <w:rFonts w:hint="eastAsia"/>
          <w:color w:val="auto"/>
          <w:kern w:val="0"/>
        </w:rPr>
        <w:t>接收</w:t>
      </w:r>
      <w:r>
        <w:rPr>
          <w:rFonts w:hint="eastAsia"/>
          <w:color w:val="auto"/>
          <w:kern w:val="0"/>
          <w:lang w:eastAsia="zh-CN"/>
        </w:rPr>
        <w:t>永顺经济开发区猛洞河产业园内的企事业污水</w:t>
      </w:r>
      <w:r>
        <w:rPr>
          <w:rFonts w:hint="eastAsia"/>
          <w:color w:val="auto"/>
          <w:u w:val="none"/>
          <w:lang w:eastAsia="zh-CN"/>
        </w:rPr>
        <w:t>。</w:t>
      </w:r>
      <w:r>
        <w:rPr>
          <w:rFonts w:hint="eastAsia"/>
          <w:color w:val="auto"/>
          <w:u w:val="none"/>
        </w:rPr>
        <w:t>尾水排放管道沿</w:t>
      </w:r>
      <w:r>
        <w:rPr>
          <w:rFonts w:hint="eastAsia"/>
          <w:color w:val="auto"/>
          <w:u w:val="none"/>
          <w:lang w:eastAsia="zh-CN"/>
        </w:rPr>
        <w:t>岔那</w:t>
      </w:r>
      <w:r>
        <w:rPr>
          <w:rFonts w:hint="eastAsia"/>
          <w:color w:val="auto"/>
          <w:u w:val="none"/>
        </w:rPr>
        <w:t>大道</w:t>
      </w:r>
      <w:r>
        <w:rPr>
          <w:rFonts w:hint="eastAsia"/>
          <w:color w:val="auto"/>
          <w:u w:val="none"/>
          <w:lang w:eastAsia="zh-CN"/>
        </w:rPr>
        <w:t>南</w:t>
      </w:r>
      <w:r>
        <w:rPr>
          <w:rFonts w:hint="eastAsia"/>
          <w:color w:val="auto"/>
          <w:u w:val="none"/>
        </w:rPr>
        <w:t>侧通过自流管道排放至</w:t>
      </w:r>
      <w:r>
        <w:rPr>
          <w:rFonts w:hint="eastAsia"/>
          <w:color w:val="auto"/>
          <w:u w:val="none"/>
          <w:lang w:eastAsia="zh-CN"/>
        </w:rPr>
        <w:t>猛洞</w:t>
      </w:r>
      <w:r>
        <w:rPr>
          <w:rFonts w:hint="eastAsia"/>
          <w:color w:val="auto"/>
          <w:u w:val="none"/>
        </w:rPr>
        <w:t>河。</w:t>
      </w:r>
    </w:p>
    <w:p>
      <w:pPr>
        <w:ind w:firstLine="480"/>
        <w:jc w:val="both"/>
        <w:rPr>
          <w:rFonts w:hint="eastAsia"/>
          <w:b/>
          <w:color w:val="auto"/>
          <w:kern w:val="0"/>
          <w:u w:val="none"/>
        </w:rPr>
      </w:pPr>
      <w:r>
        <w:rPr>
          <w:rFonts w:hint="eastAsia"/>
          <w:color w:val="auto"/>
          <w:kern w:val="0"/>
          <w:u w:val="none"/>
        </w:rPr>
        <w:t>管道铺设工程中的水污染源主要为管道铺设前开挖废水以及管道铺设后管道闭水实验废水。本工程施工人员约15人，</w:t>
      </w:r>
      <w:r>
        <w:rPr>
          <w:rFonts w:hint="eastAsia"/>
          <w:color w:val="auto"/>
          <w:kern w:val="0"/>
          <w:u w:val="none"/>
          <w:lang w:eastAsia="zh-CN"/>
        </w:rPr>
        <w:t>管道施工区</w:t>
      </w:r>
      <w:r>
        <w:rPr>
          <w:rFonts w:hint="eastAsia"/>
          <w:color w:val="auto"/>
          <w:kern w:val="0"/>
          <w:u w:val="none"/>
        </w:rPr>
        <w:t>不设置临时施工营地，</w:t>
      </w:r>
      <w:r>
        <w:rPr>
          <w:rFonts w:hint="eastAsia"/>
          <w:color w:val="auto"/>
          <w:kern w:val="0"/>
          <w:u w:val="none"/>
          <w:lang w:eastAsia="zh-CN"/>
        </w:rPr>
        <w:t>因此施工场地不产生生活污水</w:t>
      </w:r>
      <w:r>
        <w:rPr>
          <w:color w:val="auto"/>
          <w:kern w:val="0"/>
          <w:u w:val="none"/>
        </w:rPr>
        <w:t>，</w:t>
      </w:r>
      <w:r>
        <w:rPr>
          <w:rFonts w:hint="eastAsia"/>
          <w:color w:val="auto"/>
          <w:kern w:val="0"/>
          <w:u w:val="none"/>
        </w:rPr>
        <w:t>管道开挖废水为开挖基础时排出的泥浆水，以及冲洗机械和车辆产生的泥浆水，一般水量较小，主要污染物为悬浮物，管道闭水实验废水为管道施工完成后需进行分段管道闭水试验，类比相似工程本工程管道闭水实验废水量约为</w:t>
      </w:r>
      <w:r>
        <w:rPr>
          <w:rFonts w:hint="eastAsia"/>
          <w:color w:val="auto"/>
          <w:kern w:val="0"/>
          <w:u w:val="none"/>
          <w:lang w:val="en-US" w:eastAsia="zh-CN"/>
        </w:rPr>
        <w:t>7</w:t>
      </w:r>
      <w:r>
        <w:rPr>
          <w:rFonts w:hint="eastAsia"/>
          <w:color w:val="auto"/>
          <w:kern w:val="0"/>
          <w:u w:val="none"/>
        </w:rPr>
        <w:t>t，闭水实验废水较为简单，其成分主要为少量悬浮物。</w:t>
      </w:r>
    </w:p>
    <w:p>
      <w:pPr>
        <w:pStyle w:val="69"/>
        <w:rPr>
          <w:color w:val="auto"/>
          <w:u w:val="none"/>
        </w:rPr>
      </w:pPr>
      <w:r>
        <w:rPr>
          <w:rFonts w:hint="eastAsia"/>
          <w:color w:val="auto"/>
          <w:u w:val="none"/>
        </w:rPr>
        <w:t>2</w:t>
      </w:r>
      <w:r>
        <w:rPr>
          <w:color w:val="auto"/>
          <w:u w:val="none"/>
        </w:rPr>
        <w:t>.4.2.2大气污染源</w:t>
      </w:r>
    </w:p>
    <w:p>
      <w:pPr>
        <w:ind w:firstLine="482"/>
        <w:rPr>
          <w:rFonts w:hint="eastAsia"/>
          <w:b/>
          <w:color w:val="auto"/>
          <w:kern w:val="0"/>
          <w:u w:val="none"/>
        </w:rPr>
      </w:pPr>
      <w:r>
        <w:rPr>
          <w:rFonts w:hint="eastAsia"/>
          <w:b/>
          <w:color w:val="auto"/>
          <w:kern w:val="0"/>
          <w:u w:val="none"/>
        </w:rPr>
        <w:t>（1）污水处理厂建设工程</w:t>
      </w:r>
    </w:p>
    <w:p>
      <w:pPr>
        <w:ind w:firstLine="480"/>
        <w:jc w:val="both"/>
        <w:rPr>
          <w:rFonts w:hint="eastAsia"/>
          <w:color w:val="auto"/>
          <w:kern w:val="0"/>
          <w:u w:val="none"/>
        </w:rPr>
      </w:pPr>
      <w:r>
        <w:rPr>
          <w:rFonts w:hint="eastAsia"/>
          <w:color w:val="auto"/>
          <w:kern w:val="0"/>
          <w:u w:val="none"/>
        </w:rPr>
        <w:t>①</w:t>
      </w:r>
      <w:r>
        <w:rPr>
          <w:color w:val="auto"/>
          <w:kern w:val="0"/>
          <w:u w:val="none"/>
        </w:rPr>
        <w:t>扬尘</w:t>
      </w:r>
    </w:p>
    <w:p>
      <w:pPr>
        <w:ind w:firstLine="480"/>
        <w:jc w:val="both"/>
        <w:rPr>
          <w:color w:val="auto"/>
          <w:kern w:val="0"/>
          <w:u w:val="none"/>
        </w:rPr>
      </w:pPr>
      <w:r>
        <w:rPr>
          <w:color w:val="auto"/>
          <w:kern w:val="0"/>
          <w:u w:val="none"/>
        </w:rPr>
        <w:t>本</w:t>
      </w:r>
      <w:r>
        <w:rPr>
          <w:rFonts w:hint="eastAsia"/>
          <w:color w:val="auto"/>
          <w:kern w:val="0"/>
          <w:u w:val="none"/>
        </w:rPr>
        <w:t>工程</w:t>
      </w:r>
      <w:r>
        <w:rPr>
          <w:color w:val="auto"/>
          <w:kern w:val="0"/>
          <w:u w:val="none"/>
        </w:rPr>
        <w:t>工程施工过程扰动地表，污水处理厂</w:t>
      </w:r>
      <w:r>
        <w:rPr>
          <w:rFonts w:hint="eastAsia"/>
          <w:color w:val="auto"/>
          <w:kern w:val="0"/>
          <w:u w:val="none"/>
          <w:lang w:eastAsia="zh-CN"/>
        </w:rPr>
        <w:t>施工过程中的</w:t>
      </w:r>
      <w:r>
        <w:rPr>
          <w:color w:val="auto"/>
          <w:kern w:val="0"/>
          <w:u w:val="none"/>
        </w:rPr>
        <w:t>渣土堆放，运输车辆行驶或大风都可导致扬尘产生。据有关资料显示，施工扬尘的主要来源是运输车辆行驶而形成，约占扬尘总量的60%，扬尘量的大小与天气干燥程度、道路路况、车辆行驶速度、风速大小有关；类比同类</w:t>
      </w:r>
      <w:r>
        <w:rPr>
          <w:rFonts w:hint="eastAsia"/>
          <w:color w:val="auto"/>
          <w:kern w:val="0"/>
          <w:u w:val="none"/>
        </w:rPr>
        <w:t>项目</w:t>
      </w:r>
      <w:r>
        <w:rPr>
          <w:color w:val="auto"/>
          <w:kern w:val="0"/>
          <w:u w:val="none"/>
        </w:rPr>
        <w:t>施工场地，施工车辆运输行驶于泥土路面而扬起的灰土，其灰尘的浓度可达到1～3g/m</w:t>
      </w:r>
      <w:r>
        <w:rPr>
          <w:rFonts w:hint="eastAsia"/>
          <w:color w:val="auto"/>
          <w:kern w:val="0"/>
          <w:u w:val="none"/>
          <w:vertAlign w:val="superscript"/>
        </w:rPr>
        <w:t>3</w:t>
      </w:r>
      <w:r>
        <w:rPr>
          <w:color w:val="auto"/>
          <w:kern w:val="0"/>
          <w:u w:val="none"/>
        </w:rPr>
        <w:t>。另外由于在污水处理厂挖方过程中破坏了地表结构，造成地面扬尘污染环境，扬尘的大小因施工现场工作条件、施工季节、施工阶段、管理水平、机械化程度及土质、天气条件的不同而差异较大。一般情况下，在自然风作用下，扬尘受重力、浮力和气流运动的作用，可以发生沉降、上升和扩散，扬尘影响范围在80m以内。在大风天气，扬尘量及影响范围将有所扩大。施工中的弃土、砂料、石灰等，若堆放时被覆不当或装卸运输时散落，也会造成施工扬尘，影响范围在50m左右。</w:t>
      </w:r>
    </w:p>
    <w:p>
      <w:pPr>
        <w:pStyle w:val="3"/>
        <w:spacing w:before="15"/>
        <w:ind w:left="0" w:firstLine="480" w:firstLineChars="200"/>
        <w:jc w:val="both"/>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②</w:t>
      </w:r>
      <w:r>
        <w:rPr>
          <w:rFonts w:ascii="Times New Roman" w:hAnsi="Times New Roman" w:cs="Times New Roman"/>
          <w:color w:val="auto"/>
          <w:u w:val="none"/>
          <w:lang w:eastAsia="zh-CN"/>
        </w:rPr>
        <w:t>燃油废气</w:t>
      </w:r>
    </w:p>
    <w:p>
      <w:pPr>
        <w:pStyle w:val="3"/>
        <w:spacing w:before="15"/>
        <w:ind w:left="0" w:firstLine="480" w:firstLineChars="200"/>
        <w:jc w:val="both"/>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材料运输车辆、施工小型柴油机运行等将产生一定量的燃油废气，以CO、NOx、THC为主，对大气环境有一定影响，但其产生量小，影响范围仅限于施工区局部地区。机动车污染源主要为NO</w:t>
      </w:r>
      <w:r>
        <w:rPr>
          <w:rFonts w:hint="eastAsia" w:ascii="Times New Roman" w:hAnsi="Times New Roman" w:cs="Times New Roman"/>
          <w:color w:val="auto"/>
          <w:u w:val="none"/>
          <w:vertAlign w:val="subscript"/>
          <w:lang w:eastAsia="zh-CN"/>
        </w:rPr>
        <w:t>2</w:t>
      </w:r>
      <w:r>
        <w:rPr>
          <w:rFonts w:ascii="Times New Roman" w:hAnsi="Times New Roman" w:cs="Times New Roman"/>
          <w:color w:val="auto"/>
          <w:u w:val="none"/>
          <w:lang w:eastAsia="zh-CN"/>
        </w:rPr>
        <w:t>的排放。</w:t>
      </w:r>
    </w:p>
    <w:p>
      <w:pPr>
        <w:pStyle w:val="3"/>
        <w:spacing w:before="15"/>
        <w:ind w:left="0" w:firstLine="480" w:firstLineChars="200"/>
        <w:jc w:val="both"/>
        <w:rPr>
          <w:rFonts w:hint="eastAsia" w:ascii="Times New Roman" w:hAnsi="Times New Roman"/>
          <w:color w:val="auto"/>
          <w:u w:val="none"/>
          <w:lang w:eastAsia="zh-CN"/>
        </w:rPr>
      </w:pPr>
      <w:r>
        <w:rPr>
          <w:rFonts w:hint="eastAsia" w:ascii="Times New Roman" w:hAnsi="Times New Roman" w:cs="Times New Roman"/>
          <w:color w:val="auto"/>
          <w:u w:val="none"/>
          <w:lang w:eastAsia="zh-CN"/>
        </w:rPr>
        <w:t>③</w:t>
      </w:r>
      <w:r>
        <w:rPr>
          <w:rFonts w:ascii="Times New Roman" w:hAnsi="Times New Roman"/>
          <w:color w:val="auto"/>
          <w:u w:val="none"/>
          <w:lang w:eastAsia="zh-CN"/>
        </w:rPr>
        <w:t>装修废气：施工期的装修废气主要为外墙粉刷的粉尘及室内装修废气，室内空气质量污染主要来源于无机非金属建筑材料和装修材料。主要污染物为甲醛污染物、总挥发性有机化合物（TVOC）、游离甲醛和苯污染物。</w:t>
      </w:r>
    </w:p>
    <w:p>
      <w:pPr>
        <w:ind w:firstLine="482"/>
        <w:jc w:val="both"/>
        <w:rPr>
          <w:b/>
          <w:color w:val="auto"/>
          <w:kern w:val="0"/>
          <w:u w:val="none"/>
        </w:rPr>
      </w:pPr>
      <w:r>
        <w:rPr>
          <w:rFonts w:hint="eastAsia"/>
          <w:b/>
          <w:color w:val="auto"/>
          <w:kern w:val="0"/>
          <w:u w:val="none"/>
        </w:rPr>
        <w:t>（2）管道铺设工程</w:t>
      </w:r>
    </w:p>
    <w:p>
      <w:pPr>
        <w:adjustRightInd w:val="0"/>
        <w:snapToGrid w:val="0"/>
        <w:ind w:firstLine="480"/>
        <w:jc w:val="both"/>
        <w:rPr>
          <w:rFonts w:hint="eastAsia"/>
          <w:color w:val="auto"/>
          <w:kern w:val="0"/>
          <w:u w:val="none"/>
        </w:rPr>
      </w:pPr>
      <w:r>
        <w:rPr>
          <w:color w:val="auto"/>
          <w:kern w:val="0"/>
          <w:u w:val="none"/>
        </w:rPr>
        <w:t>施工期对环境空气的影响来源主要是：</w:t>
      </w:r>
    </w:p>
    <w:p>
      <w:pPr>
        <w:adjustRightInd w:val="0"/>
        <w:snapToGrid w:val="0"/>
        <w:ind w:firstLine="480"/>
        <w:jc w:val="both"/>
        <w:rPr>
          <w:rFonts w:hint="eastAsia"/>
          <w:color w:val="auto"/>
          <w:kern w:val="0"/>
          <w:u w:val="none"/>
        </w:rPr>
      </w:pPr>
      <w:r>
        <w:rPr>
          <w:rFonts w:hint="eastAsia" w:cs="宋体"/>
          <w:color w:val="auto"/>
          <w:kern w:val="0"/>
          <w:u w:val="none"/>
        </w:rPr>
        <w:t>①</w:t>
      </w:r>
      <w:r>
        <w:rPr>
          <w:color w:val="auto"/>
          <w:kern w:val="0"/>
          <w:u w:val="none"/>
        </w:rPr>
        <w:t>施工过程中地面的开挖、堆放和运输土方以及运输、堆放和使用黄砂、水泥等建材产生的扬尘；</w:t>
      </w:r>
    </w:p>
    <w:p>
      <w:pPr>
        <w:adjustRightInd w:val="0"/>
        <w:snapToGrid w:val="0"/>
        <w:ind w:firstLine="480"/>
        <w:jc w:val="both"/>
        <w:rPr>
          <w:rFonts w:hint="eastAsia"/>
          <w:color w:val="auto"/>
          <w:kern w:val="0"/>
          <w:u w:val="none"/>
        </w:rPr>
      </w:pPr>
      <w:r>
        <w:rPr>
          <w:rFonts w:hint="eastAsia" w:cs="宋体"/>
          <w:color w:val="auto"/>
          <w:kern w:val="0"/>
          <w:u w:val="none"/>
        </w:rPr>
        <w:t>②</w:t>
      </w:r>
      <w:r>
        <w:rPr>
          <w:color w:val="auto"/>
          <w:kern w:val="0"/>
          <w:u w:val="none"/>
        </w:rPr>
        <w:t>施工机械和运输车辆燃油排放的尾气。</w:t>
      </w:r>
      <w:r>
        <w:rPr>
          <w:rFonts w:hint="eastAsia"/>
          <w:color w:val="auto"/>
          <w:kern w:val="0"/>
          <w:u w:val="none"/>
        </w:rPr>
        <w:t>以上废气均属于无组织排放源，</w:t>
      </w:r>
      <w:r>
        <w:rPr>
          <w:color w:val="auto"/>
          <w:kern w:val="0"/>
          <w:u w:val="none"/>
        </w:rPr>
        <w:t>据类比调查，在一般气象条件，施工现场扬尘</w:t>
      </w:r>
      <w:r>
        <w:rPr>
          <w:rFonts w:hint="eastAsia"/>
          <w:color w:val="auto"/>
          <w:kern w:val="0"/>
          <w:u w:val="none"/>
        </w:rPr>
        <w:t>产生</w:t>
      </w:r>
      <w:r>
        <w:rPr>
          <w:color w:val="auto"/>
          <w:kern w:val="0"/>
          <w:u w:val="none"/>
        </w:rPr>
        <w:t>状况见表</w:t>
      </w:r>
      <w:r>
        <w:rPr>
          <w:rFonts w:hint="eastAsia"/>
          <w:color w:val="auto"/>
          <w:kern w:val="0"/>
          <w:u w:val="none"/>
        </w:rPr>
        <w:t>2.4-1</w:t>
      </w:r>
      <w:r>
        <w:rPr>
          <w:color w:val="auto"/>
          <w:kern w:val="0"/>
          <w:u w:val="none"/>
        </w:rPr>
        <w:t>。</w:t>
      </w:r>
    </w:p>
    <w:p>
      <w:pPr>
        <w:adjustRightInd w:val="0"/>
        <w:snapToGrid w:val="0"/>
        <w:ind w:firstLine="422"/>
        <w:jc w:val="center"/>
        <w:rPr>
          <w:b/>
          <w:color w:val="auto"/>
          <w:kern w:val="0"/>
          <w:sz w:val="21"/>
          <w:szCs w:val="21"/>
          <w:u w:val="none"/>
        </w:rPr>
      </w:pPr>
      <w:r>
        <w:rPr>
          <w:b/>
          <w:color w:val="auto"/>
          <w:kern w:val="0"/>
          <w:sz w:val="21"/>
          <w:szCs w:val="21"/>
          <w:u w:val="none"/>
        </w:rPr>
        <w:t>表</w:t>
      </w:r>
      <w:r>
        <w:rPr>
          <w:rFonts w:hint="eastAsia"/>
          <w:b/>
          <w:color w:val="auto"/>
          <w:kern w:val="0"/>
          <w:sz w:val="21"/>
          <w:szCs w:val="21"/>
          <w:u w:val="none"/>
        </w:rPr>
        <w:t>2.4</w:t>
      </w:r>
      <w:r>
        <w:rPr>
          <w:b/>
          <w:color w:val="auto"/>
          <w:kern w:val="0"/>
          <w:sz w:val="21"/>
          <w:szCs w:val="21"/>
          <w:u w:val="none"/>
        </w:rPr>
        <w:t>-</w:t>
      </w:r>
      <w:r>
        <w:rPr>
          <w:rFonts w:hint="eastAsia"/>
          <w:b/>
          <w:color w:val="auto"/>
          <w:kern w:val="0"/>
          <w:sz w:val="21"/>
          <w:szCs w:val="21"/>
          <w:u w:val="none"/>
        </w:rPr>
        <w:t>1</w:t>
      </w:r>
      <w:r>
        <w:rPr>
          <w:b/>
          <w:color w:val="auto"/>
          <w:kern w:val="0"/>
          <w:sz w:val="21"/>
          <w:szCs w:val="21"/>
          <w:u w:val="none"/>
        </w:rPr>
        <w:t>施工现场扬尘TSP</w:t>
      </w:r>
      <w:r>
        <w:rPr>
          <w:rFonts w:hint="eastAsia"/>
          <w:b/>
          <w:color w:val="auto"/>
          <w:kern w:val="0"/>
          <w:sz w:val="21"/>
          <w:szCs w:val="21"/>
          <w:u w:val="none"/>
        </w:rPr>
        <w:t>产生</w:t>
      </w:r>
      <w:r>
        <w:rPr>
          <w:b/>
          <w:color w:val="auto"/>
          <w:kern w:val="0"/>
          <w:sz w:val="21"/>
          <w:szCs w:val="21"/>
          <w:u w:val="none"/>
        </w:rPr>
        <w:t>状况单位：μg/m</w:t>
      </w:r>
      <w:r>
        <w:rPr>
          <w:b/>
          <w:color w:val="auto"/>
          <w:kern w:val="0"/>
          <w:sz w:val="21"/>
          <w:szCs w:val="21"/>
          <w:u w:val="none"/>
          <w:vertAlign w:val="superscript"/>
        </w:rPr>
        <w:t>3</w:t>
      </w:r>
    </w:p>
    <w:tbl>
      <w:tblPr>
        <w:tblStyle w:val="36"/>
        <w:tblW w:w="0" w:type="auto"/>
        <w:jc w:val="center"/>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37"/>
        <w:gridCol w:w="850"/>
        <w:gridCol w:w="1045"/>
        <w:gridCol w:w="1081"/>
        <w:gridCol w:w="1045"/>
        <w:gridCol w:w="1063"/>
        <w:gridCol w:w="920"/>
      </w:tblGrid>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137" w:type="dxa"/>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降尘措施</w:t>
            </w:r>
          </w:p>
        </w:tc>
        <w:tc>
          <w:tcPr>
            <w:tcW w:w="6004" w:type="dxa"/>
            <w:gridSpan w:val="6"/>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工地下风向距离</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137" w:type="dxa"/>
            <w:vMerge w:val="continue"/>
            <w:noWrap w:val="0"/>
            <w:vAlign w:val="center"/>
          </w:tcPr>
          <w:p>
            <w:pPr>
              <w:pStyle w:val="73"/>
              <w:rPr>
                <w:rFonts w:hint="default" w:ascii="Times New Roman" w:hAnsi="Times New Roman" w:cs="Times New Roman"/>
                <w:color w:val="auto"/>
                <w:u w:val="none"/>
              </w:rPr>
            </w:pPr>
          </w:p>
        </w:tc>
        <w:tc>
          <w:tcPr>
            <w:tcW w:w="85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20m</w:t>
            </w:r>
          </w:p>
        </w:tc>
        <w:tc>
          <w:tcPr>
            <w:tcW w:w="104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50m</w:t>
            </w:r>
          </w:p>
        </w:tc>
        <w:tc>
          <w:tcPr>
            <w:tcW w:w="108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100m</w:t>
            </w:r>
          </w:p>
        </w:tc>
        <w:tc>
          <w:tcPr>
            <w:tcW w:w="104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150m</w:t>
            </w:r>
          </w:p>
        </w:tc>
        <w:tc>
          <w:tcPr>
            <w:tcW w:w="106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200m</w:t>
            </w:r>
          </w:p>
        </w:tc>
        <w:tc>
          <w:tcPr>
            <w:tcW w:w="9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250m</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13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无</w:t>
            </w:r>
          </w:p>
        </w:tc>
        <w:tc>
          <w:tcPr>
            <w:tcW w:w="85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1003</w:t>
            </w:r>
          </w:p>
        </w:tc>
        <w:tc>
          <w:tcPr>
            <w:tcW w:w="104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522</w:t>
            </w:r>
          </w:p>
        </w:tc>
        <w:tc>
          <w:tcPr>
            <w:tcW w:w="108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302</w:t>
            </w:r>
          </w:p>
        </w:tc>
        <w:tc>
          <w:tcPr>
            <w:tcW w:w="104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215</w:t>
            </w:r>
          </w:p>
        </w:tc>
        <w:tc>
          <w:tcPr>
            <w:tcW w:w="106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190</w:t>
            </w:r>
          </w:p>
        </w:tc>
        <w:tc>
          <w:tcPr>
            <w:tcW w:w="9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170</w:t>
            </w:r>
          </w:p>
        </w:tc>
      </w:tr>
    </w:tbl>
    <w:p>
      <w:pPr>
        <w:pStyle w:val="69"/>
        <w:rPr>
          <w:rFonts w:hint="eastAsia"/>
          <w:color w:val="auto"/>
          <w:u w:val="none"/>
        </w:rPr>
      </w:pPr>
      <w:r>
        <w:rPr>
          <w:color w:val="auto"/>
          <w:u w:val="none"/>
        </w:rPr>
        <w:t>2.4.2.3</w:t>
      </w:r>
      <w:r>
        <w:rPr>
          <w:rFonts w:hint="eastAsia"/>
          <w:color w:val="auto"/>
          <w:u w:val="none"/>
        </w:rPr>
        <w:t>声环境污染源</w:t>
      </w:r>
    </w:p>
    <w:p>
      <w:pPr>
        <w:pStyle w:val="3"/>
        <w:spacing w:before="15"/>
        <w:ind w:left="0" w:firstLine="482" w:firstLineChars="200"/>
        <w:jc w:val="both"/>
        <w:rPr>
          <w:rFonts w:hint="eastAsia" w:ascii="Times New Roman" w:hAnsi="Times New Roman" w:cs="Times New Roman"/>
          <w:b/>
          <w:color w:val="auto"/>
          <w:u w:val="none"/>
          <w:lang w:eastAsia="zh-CN"/>
        </w:rPr>
      </w:pPr>
      <w:r>
        <w:rPr>
          <w:rFonts w:hint="eastAsia" w:ascii="Times New Roman" w:hAnsi="Times New Roman" w:cs="Times New Roman"/>
          <w:b/>
          <w:color w:val="auto"/>
          <w:u w:val="none"/>
          <w:lang w:eastAsia="zh-CN"/>
        </w:rPr>
        <w:t>（1）污水处理厂建设工程</w:t>
      </w:r>
    </w:p>
    <w:p>
      <w:pPr>
        <w:tabs>
          <w:tab w:val="left" w:pos="624"/>
        </w:tabs>
        <w:adjustRightInd w:val="0"/>
        <w:snapToGrid w:val="0"/>
        <w:ind w:firstLine="480"/>
        <w:jc w:val="both"/>
        <w:rPr>
          <w:color w:val="auto"/>
          <w:kern w:val="0"/>
          <w:u w:val="none"/>
        </w:rPr>
      </w:pPr>
      <w:r>
        <w:rPr>
          <w:rFonts w:hint="eastAsia"/>
          <w:color w:val="auto"/>
          <w:kern w:val="0"/>
          <w:u w:val="none"/>
        </w:rPr>
        <w:t>工程</w:t>
      </w:r>
      <w:r>
        <w:rPr>
          <w:color w:val="auto"/>
          <w:kern w:val="0"/>
          <w:u w:val="none"/>
        </w:rPr>
        <w:t>施工过程产生的噪声主要源于施工机械设备和运输车辆。噪声源强一般为75～105dB(A)不等，其特点是声级高，流动性较大，噪声传播较远。</w:t>
      </w:r>
    </w:p>
    <w:p>
      <w:pPr>
        <w:tabs>
          <w:tab w:val="left" w:pos="624"/>
        </w:tabs>
        <w:adjustRightInd w:val="0"/>
        <w:snapToGrid w:val="0"/>
        <w:ind w:firstLine="480"/>
        <w:jc w:val="both"/>
        <w:rPr>
          <w:color w:val="auto"/>
          <w:kern w:val="0"/>
          <w:u w:val="none"/>
        </w:rPr>
      </w:pPr>
      <w:r>
        <w:rPr>
          <w:color w:val="auto"/>
          <w:kern w:val="0"/>
          <w:u w:val="none"/>
        </w:rPr>
        <w:t>1）项目施工所用工程机械的噪声污染源</w:t>
      </w:r>
    </w:p>
    <w:p>
      <w:pPr>
        <w:tabs>
          <w:tab w:val="left" w:pos="624"/>
        </w:tabs>
        <w:adjustRightInd w:val="0"/>
        <w:snapToGrid w:val="0"/>
        <w:ind w:firstLine="480"/>
        <w:jc w:val="both"/>
        <w:rPr>
          <w:color w:val="auto"/>
          <w:kern w:val="0"/>
          <w:u w:val="none"/>
        </w:rPr>
      </w:pPr>
      <w:r>
        <w:rPr>
          <w:color w:val="auto"/>
          <w:kern w:val="0"/>
          <w:u w:val="none"/>
        </w:rPr>
        <w:t>项目施工所使用的主要工程机械：推土机、空压机、挖土机、振捣棒、电钻、电锤、电锯、电焊机等。工程机械在运行时产生的噪声较高。项目在各施工阶段的主要噪声源及噪声变化范围见表</w:t>
      </w:r>
      <w:r>
        <w:rPr>
          <w:rFonts w:hint="eastAsia"/>
          <w:color w:val="auto"/>
          <w:kern w:val="0"/>
          <w:u w:val="none"/>
        </w:rPr>
        <w:t>2.4</w:t>
      </w:r>
      <w:r>
        <w:rPr>
          <w:color w:val="auto"/>
          <w:kern w:val="0"/>
          <w:u w:val="none"/>
        </w:rPr>
        <w:t>-2。</w:t>
      </w:r>
    </w:p>
    <w:p>
      <w:pPr>
        <w:tabs>
          <w:tab w:val="left" w:pos="624"/>
        </w:tabs>
        <w:adjustRightInd w:val="0"/>
        <w:snapToGrid w:val="0"/>
        <w:ind w:firstLine="316" w:firstLineChars="150"/>
        <w:jc w:val="center"/>
        <w:rPr>
          <w:rFonts w:hint="eastAsia"/>
          <w:b/>
          <w:color w:val="auto"/>
          <w:kern w:val="0"/>
          <w:sz w:val="21"/>
          <w:szCs w:val="21"/>
          <w:u w:val="none"/>
        </w:rPr>
      </w:pPr>
      <w:r>
        <w:rPr>
          <w:b/>
          <w:color w:val="auto"/>
          <w:kern w:val="0"/>
          <w:sz w:val="21"/>
          <w:szCs w:val="21"/>
          <w:u w:val="none"/>
        </w:rPr>
        <w:t>表</w:t>
      </w:r>
      <w:r>
        <w:rPr>
          <w:rFonts w:hint="eastAsia"/>
          <w:b/>
          <w:color w:val="auto"/>
          <w:kern w:val="0"/>
          <w:sz w:val="21"/>
          <w:szCs w:val="21"/>
          <w:u w:val="none"/>
        </w:rPr>
        <w:t>2.4</w:t>
      </w:r>
      <w:r>
        <w:rPr>
          <w:b/>
          <w:color w:val="auto"/>
          <w:kern w:val="0"/>
          <w:sz w:val="21"/>
          <w:szCs w:val="21"/>
          <w:u w:val="none"/>
        </w:rPr>
        <w:t>-</w:t>
      </w:r>
      <w:r>
        <w:rPr>
          <w:rFonts w:hint="eastAsia"/>
          <w:b/>
          <w:color w:val="auto"/>
          <w:kern w:val="0"/>
          <w:sz w:val="21"/>
          <w:szCs w:val="21"/>
          <w:u w:val="none"/>
        </w:rPr>
        <w:t>2</w:t>
      </w:r>
      <w:r>
        <w:rPr>
          <w:b/>
          <w:color w:val="auto"/>
          <w:kern w:val="0"/>
          <w:sz w:val="21"/>
          <w:szCs w:val="21"/>
          <w:u w:val="none"/>
        </w:rPr>
        <w:t xml:space="preserve"> 主要施工阶段噪声源及噪声变化范围表</w:t>
      </w:r>
    </w:p>
    <w:tbl>
      <w:tblPr>
        <w:tblStyle w:val="36"/>
        <w:tblW w:w="8522" w:type="dxa"/>
        <w:jc w:val="center"/>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473"/>
        <w:gridCol w:w="577"/>
        <w:gridCol w:w="656"/>
        <w:gridCol w:w="659"/>
        <w:gridCol w:w="692"/>
        <w:gridCol w:w="795"/>
        <w:gridCol w:w="795"/>
        <w:gridCol w:w="692"/>
        <w:gridCol w:w="692"/>
        <w:gridCol w:w="720"/>
      </w:tblGrid>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1" w:type="dxa"/>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施工</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阶段</w:t>
            </w:r>
          </w:p>
        </w:tc>
        <w:tc>
          <w:tcPr>
            <w:tcW w:w="1473" w:type="dxa"/>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机械</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577" w:type="dxa"/>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噪声</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源强</w:t>
            </w:r>
          </w:p>
        </w:tc>
        <w:tc>
          <w:tcPr>
            <w:tcW w:w="1315" w:type="dxa"/>
            <w:gridSpan w:val="2"/>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场界标</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准限值</w:t>
            </w:r>
          </w:p>
        </w:tc>
        <w:tc>
          <w:tcPr>
            <w:tcW w:w="4386" w:type="dxa"/>
            <w:gridSpan w:val="6"/>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距离施工机械不同距离（m）</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时的噪声预测值</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1" w:type="dxa"/>
            <w:vMerge w:val="continue"/>
            <w:noWrap w:val="0"/>
            <w:vAlign w:val="center"/>
          </w:tcPr>
          <w:p>
            <w:pPr>
              <w:pStyle w:val="73"/>
              <w:rPr>
                <w:rFonts w:hint="default" w:ascii="Times New Roman" w:hAnsi="Times New Roman" w:cs="Times New Roman"/>
                <w:color w:val="auto"/>
                <w:u w:val="none"/>
              </w:rPr>
            </w:pPr>
          </w:p>
        </w:tc>
        <w:tc>
          <w:tcPr>
            <w:tcW w:w="1473" w:type="dxa"/>
            <w:vMerge w:val="continue"/>
            <w:noWrap w:val="0"/>
            <w:vAlign w:val="center"/>
          </w:tcPr>
          <w:p>
            <w:pPr>
              <w:pStyle w:val="73"/>
              <w:rPr>
                <w:rFonts w:hint="default" w:ascii="Times New Roman" w:hAnsi="Times New Roman" w:cs="Times New Roman"/>
                <w:color w:val="auto"/>
                <w:u w:val="none"/>
              </w:rPr>
            </w:pPr>
          </w:p>
        </w:tc>
        <w:tc>
          <w:tcPr>
            <w:tcW w:w="577" w:type="dxa"/>
            <w:vMerge w:val="continue"/>
            <w:noWrap w:val="0"/>
            <w:vAlign w:val="center"/>
          </w:tcPr>
          <w:p>
            <w:pPr>
              <w:pStyle w:val="73"/>
              <w:rPr>
                <w:rFonts w:hint="default" w:ascii="Times New Roman" w:hAnsi="Times New Roman" w:cs="Times New Roman"/>
                <w:color w:val="auto"/>
                <w:u w:val="none"/>
              </w:rPr>
            </w:pPr>
          </w:p>
        </w:tc>
        <w:tc>
          <w:tcPr>
            <w:tcW w:w="1315" w:type="dxa"/>
            <w:gridSpan w:val="2"/>
            <w:vMerge w:val="continue"/>
            <w:noWrap w:val="0"/>
            <w:vAlign w:val="center"/>
          </w:tcPr>
          <w:p>
            <w:pPr>
              <w:pStyle w:val="73"/>
              <w:rPr>
                <w:rFonts w:hint="default" w:ascii="Times New Roman" w:hAnsi="Times New Roman" w:cs="Times New Roman"/>
                <w:color w:val="auto"/>
                <w:u w:val="none"/>
              </w:rPr>
            </w:pPr>
          </w:p>
        </w:tc>
        <w:tc>
          <w:tcPr>
            <w:tcW w:w="4386" w:type="dxa"/>
            <w:gridSpan w:val="6"/>
            <w:vMerge w:val="continue"/>
            <w:noWrap w:val="0"/>
            <w:vAlign w:val="center"/>
          </w:tcPr>
          <w:p>
            <w:pPr>
              <w:pStyle w:val="73"/>
              <w:rPr>
                <w:rFonts w:hint="default" w:ascii="Times New Roman" w:hAnsi="Times New Roman" w:cs="Times New Roman"/>
                <w:color w:val="auto"/>
                <w:u w:val="none"/>
              </w:rPr>
            </w:pP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71" w:type="dxa"/>
            <w:vMerge w:val="continue"/>
            <w:noWrap w:val="0"/>
            <w:vAlign w:val="center"/>
          </w:tcPr>
          <w:p>
            <w:pPr>
              <w:pStyle w:val="73"/>
              <w:rPr>
                <w:rFonts w:hint="default" w:ascii="Times New Roman" w:hAnsi="Times New Roman" w:cs="Times New Roman"/>
                <w:color w:val="auto"/>
                <w:u w:val="none"/>
              </w:rPr>
            </w:pPr>
          </w:p>
        </w:tc>
        <w:tc>
          <w:tcPr>
            <w:tcW w:w="1473" w:type="dxa"/>
            <w:vMerge w:val="continue"/>
            <w:noWrap w:val="0"/>
            <w:vAlign w:val="center"/>
          </w:tcPr>
          <w:p>
            <w:pPr>
              <w:pStyle w:val="73"/>
              <w:rPr>
                <w:rFonts w:hint="default" w:ascii="Times New Roman" w:hAnsi="Times New Roman" w:cs="Times New Roman"/>
                <w:color w:val="auto"/>
                <w:u w:val="none"/>
              </w:rPr>
            </w:pPr>
          </w:p>
        </w:tc>
        <w:tc>
          <w:tcPr>
            <w:tcW w:w="577" w:type="dxa"/>
            <w:vMerge w:val="continue"/>
            <w:noWrap w:val="0"/>
            <w:vAlign w:val="center"/>
          </w:tcPr>
          <w:p>
            <w:pPr>
              <w:pStyle w:val="73"/>
              <w:rPr>
                <w:rFonts w:hint="default" w:ascii="Times New Roman" w:hAnsi="Times New Roman" w:cs="Times New Roman"/>
                <w:color w:val="auto"/>
                <w:u w:val="none"/>
              </w:rPr>
            </w:pPr>
          </w:p>
        </w:tc>
        <w:tc>
          <w:tcPr>
            <w:tcW w:w="65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昼间</w:t>
            </w:r>
          </w:p>
        </w:tc>
        <w:tc>
          <w:tcPr>
            <w:tcW w:w="659"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夜间</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30</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100</w:t>
            </w:r>
          </w:p>
        </w:tc>
        <w:tc>
          <w:tcPr>
            <w:tcW w:w="7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71"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基础阶段</w:t>
            </w:r>
          </w:p>
        </w:tc>
        <w:tc>
          <w:tcPr>
            <w:tcW w:w="147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装载机</w:t>
            </w:r>
          </w:p>
        </w:tc>
        <w:tc>
          <w:tcPr>
            <w:tcW w:w="57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95</w:t>
            </w:r>
          </w:p>
        </w:tc>
        <w:tc>
          <w:tcPr>
            <w:tcW w:w="656"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70</w:t>
            </w:r>
          </w:p>
        </w:tc>
        <w:tc>
          <w:tcPr>
            <w:tcW w:w="659"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55</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75.0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69.0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65.5</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59.4</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55.0</w:t>
            </w:r>
          </w:p>
        </w:tc>
        <w:tc>
          <w:tcPr>
            <w:tcW w:w="7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49.0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71" w:type="dxa"/>
            <w:vMerge w:val="continue"/>
            <w:noWrap w:val="0"/>
            <w:vAlign w:val="center"/>
          </w:tcPr>
          <w:p>
            <w:pPr>
              <w:pStyle w:val="73"/>
              <w:rPr>
                <w:rFonts w:hint="default" w:ascii="Times New Roman" w:hAnsi="Times New Roman" w:cs="Times New Roman"/>
                <w:color w:val="auto"/>
                <w:u w:val="none"/>
              </w:rPr>
            </w:pPr>
          </w:p>
        </w:tc>
        <w:tc>
          <w:tcPr>
            <w:tcW w:w="147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推土机</w:t>
            </w:r>
          </w:p>
        </w:tc>
        <w:tc>
          <w:tcPr>
            <w:tcW w:w="57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96</w:t>
            </w:r>
          </w:p>
        </w:tc>
        <w:tc>
          <w:tcPr>
            <w:tcW w:w="656" w:type="dxa"/>
            <w:vMerge w:val="continue"/>
            <w:noWrap w:val="0"/>
            <w:vAlign w:val="center"/>
          </w:tcPr>
          <w:p>
            <w:pPr>
              <w:pStyle w:val="73"/>
              <w:rPr>
                <w:rFonts w:hint="default" w:ascii="Times New Roman" w:hAnsi="Times New Roman" w:cs="Times New Roman"/>
                <w:color w:val="auto"/>
                <w:u w:val="none"/>
              </w:rPr>
            </w:pPr>
          </w:p>
        </w:tc>
        <w:tc>
          <w:tcPr>
            <w:tcW w:w="659" w:type="dxa"/>
            <w:vMerge w:val="continue"/>
            <w:noWrap w:val="0"/>
            <w:vAlign w:val="center"/>
          </w:tcPr>
          <w:p>
            <w:pPr>
              <w:pStyle w:val="73"/>
              <w:rPr>
                <w:rFonts w:hint="default" w:ascii="Times New Roman" w:hAnsi="Times New Roman" w:cs="Times New Roman"/>
                <w:color w:val="auto"/>
                <w:u w:val="none"/>
              </w:rPr>
            </w:pP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76.0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70.0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66.5</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60.4</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56.0</w:t>
            </w:r>
          </w:p>
        </w:tc>
        <w:tc>
          <w:tcPr>
            <w:tcW w:w="7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50.0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71" w:type="dxa"/>
            <w:vMerge w:val="continue"/>
            <w:noWrap w:val="0"/>
            <w:vAlign w:val="center"/>
          </w:tcPr>
          <w:p>
            <w:pPr>
              <w:pStyle w:val="73"/>
              <w:rPr>
                <w:rFonts w:hint="default" w:ascii="Times New Roman" w:hAnsi="Times New Roman" w:cs="Times New Roman"/>
                <w:color w:val="auto"/>
                <w:u w:val="none"/>
              </w:rPr>
            </w:pPr>
          </w:p>
        </w:tc>
        <w:tc>
          <w:tcPr>
            <w:tcW w:w="147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挖掘机</w:t>
            </w:r>
          </w:p>
        </w:tc>
        <w:tc>
          <w:tcPr>
            <w:tcW w:w="57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96</w:t>
            </w:r>
          </w:p>
        </w:tc>
        <w:tc>
          <w:tcPr>
            <w:tcW w:w="656" w:type="dxa"/>
            <w:vMerge w:val="continue"/>
            <w:noWrap w:val="0"/>
            <w:vAlign w:val="center"/>
          </w:tcPr>
          <w:p>
            <w:pPr>
              <w:pStyle w:val="73"/>
              <w:rPr>
                <w:rFonts w:hint="default" w:ascii="Times New Roman" w:hAnsi="Times New Roman" w:cs="Times New Roman"/>
                <w:color w:val="auto"/>
                <w:u w:val="none"/>
              </w:rPr>
            </w:pPr>
          </w:p>
        </w:tc>
        <w:tc>
          <w:tcPr>
            <w:tcW w:w="659" w:type="dxa"/>
            <w:vMerge w:val="continue"/>
            <w:noWrap w:val="0"/>
            <w:vAlign w:val="center"/>
          </w:tcPr>
          <w:p>
            <w:pPr>
              <w:pStyle w:val="73"/>
              <w:rPr>
                <w:rFonts w:hint="default" w:ascii="Times New Roman" w:hAnsi="Times New Roman" w:cs="Times New Roman"/>
                <w:color w:val="auto"/>
                <w:u w:val="none"/>
              </w:rPr>
            </w:pP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76.0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70.0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66.5</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60.4</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56.0</w:t>
            </w:r>
          </w:p>
        </w:tc>
        <w:tc>
          <w:tcPr>
            <w:tcW w:w="7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50.0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71" w:type="dxa"/>
            <w:vMerge w:val="continue"/>
            <w:noWrap w:val="0"/>
            <w:vAlign w:val="center"/>
          </w:tcPr>
          <w:p>
            <w:pPr>
              <w:pStyle w:val="73"/>
              <w:rPr>
                <w:rFonts w:hint="default" w:ascii="Times New Roman" w:hAnsi="Times New Roman" w:cs="Times New Roman"/>
                <w:color w:val="auto"/>
                <w:u w:val="none"/>
              </w:rPr>
            </w:pPr>
          </w:p>
        </w:tc>
        <w:tc>
          <w:tcPr>
            <w:tcW w:w="147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静压式打桩机</w:t>
            </w:r>
          </w:p>
        </w:tc>
        <w:tc>
          <w:tcPr>
            <w:tcW w:w="57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85</w:t>
            </w:r>
          </w:p>
        </w:tc>
        <w:tc>
          <w:tcPr>
            <w:tcW w:w="656" w:type="dxa"/>
            <w:vMerge w:val="continue"/>
            <w:noWrap w:val="0"/>
            <w:vAlign w:val="center"/>
          </w:tcPr>
          <w:p>
            <w:pPr>
              <w:pStyle w:val="73"/>
              <w:rPr>
                <w:rFonts w:hint="default" w:ascii="Times New Roman" w:hAnsi="Times New Roman" w:cs="Times New Roman"/>
                <w:color w:val="auto"/>
                <w:u w:val="none"/>
              </w:rPr>
            </w:pPr>
          </w:p>
        </w:tc>
        <w:tc>
          <w:tcPr>
            <w:tcW w:w="659" w:type="dxa"/>
            <w:vMerge w:val="continue"/>
            <w:noWrap w:val="0"/>
            <w:vAlign w:val="center"/>
          </w:tcPr>
          <w:p>
            <w:pPr>
              <w:pStyle w:val="73"/>
              <w:rPr>
                <w:rFonts w:hint="default" w:ascii="Times New Roman" w:hAnsi="Times New Roman" w:cs="Times New Roman"/>
                <w:color w:val="auto"/>
                <w:u w:val="none"/>
              </w:rPr>
            </w:pP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65.0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55.5</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49.4</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45.0</w:t>
            </w:r>
          </w:p>
        </w:tc>
        <w:tc>
          <w:tcPr>
            <w:tcW w:w="7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39.0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71"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结构</w:t>
            </w:r>
          </w:p>
          <w:p>
            <w:pPr>
              <w:pStyle w:val="73"/>
              <w:rPr>
                <w:rFonts w:hint="default" w:ascii="Times New Roman" w:hAnsi="Times New Roman" w:cs="Times New Roman"/>
                <w:color w:val="auto"/>
                <w:u w:val="none"/>
              </w:rPr>
            </w:pPr>
            <w:r>
              <w:rPr>
                <w:rFonts w:hint="default" w:ascii="Times New Roman" w:hAnsi="Times New Roman" w:cs="Times New Roman"/>
                <w:color w:val="auto"/>
                <w:u w:val="none"/>
              </w:rPr>
              <w:t>阶段</w:t>
            </w:r>
          </w:p>
        </w:tc>
        <w:tc>
          <w:tcPr>
            <w:tcW w:w="147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混凝土输送泵</w:t>
            </w:r>
          </w:p>
        </w:tc>
        <w:tc>
          <w:tcPr>
            <w:tcW w:w="57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90</w:t>
            </w:r>
          </w:p>
        </w:tc>
        <w:tc>
          <w:tcPr>
            <w:tcW w:w="656" w:type="dxa"/>
            <w:vMerge w:val="continue"/>
            <w:noWrap w:val="0"/>
            <w:vAlign w:val="center"/>
          </w:tcPr>
          <w:p>
            <w:pPr>
              <w:pStyle w:val="73"/>
              <w:rPr>
                <w:rFonts w:hint="default" w:ascii="Times New Roman" w:hAnsi="Times New Roman" w:cs="Times New Roman"/>
                <w:color w:val="auto"/>
                <w:u w:val="none"/>
              </w:rPr>
            </w:pPr>
          </w:p>
        </w:tc>
        <w:tc>
          <w:tcPr>
            <w:tcW w:w="659" w:type="dxa"/>
            <w:vMerge w:val="continue"/>
            <w:noWrap w:val="0"/>
            <w:vAlign w:val="center"/>
          </w:tcPr>
          <w:p>
            <w:pPr>
              <w:pStyle w:val="73"/>
              <w:rPr>
                <w:rFonts w:hint="default" w:ascii="Times New Roman" w:hAnsi="Times New Roman" w:cs="Times New Roman"/>
                <w:color w:val="auto"/>
                <w:u w:val="none"/>
              </w:rPr>
            </w:pP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70.0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64.0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60.5</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54.4</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50.0</w:t>
            </w:r>
          </w:p>
        </w:tc>
        <w:tc>
          <w:tcPr>
            <w:tcW w:w="7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44.0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71" w:type="dxa"/>
            <w:vMerge w:val="continue"/>
            <w:noWrap w:val="0"/>
            <w:vAlign w:val="center"/>
          </w:tcPr>
          <w:p>
            <w:pPr>
              <w:pStyle w:val="73"/>
              <w:rPr>
                <w:rFonts w:hint="default" w:ascii="Times New Roman" w:hAnsi="Times New Roman" w:cs="Times New Roman"/>
                <w:color w:val="auto"/>
                <w:u w:val="none"/>
              </w:rPr>
            </w:pPr>
          </w:p>
        </w:tc>
        <w:tc>
          <w:tcPr>
            <w:tcW w:w="147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振捣器</w:t>
            </w:r>
          </w:p>
        </w:tc>
        <w:tc>
          <w:tcPr>
            <w:tcW w:w="57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105</w:t>
            </w:r>
          </w:p>
        </w:tc>
        <w:tc>
          <w:tcPr>
            <w:tcW w:w="656" w:type="dxa"/>
            <w:vMerge w:val="continue"/>
            <w:noWrap w:val="0"/>
            <w:vAlign w:val="center"/>
          </w:tcPr>
          <w:p>
            <w:pPr>
              <w:pStyle w:val="73"/>
              <w:rPr>
                <w:rFonts w:hint="default" w:ascii="Times New Roman" w:hAnsi="Times New Roman" w:cs="Times New Roman"/>
                <w:color w:val="auto"/>
                <w:u w:val="none"/>
              </w:rPr>
            </w:pPr>
          </w:p>
        </w:tc>
        <w:tc>
          <w:tcPr>
            <w:tcW w:w="659" w:type="dxa"/>
            <w:vMerge w:val="continue"/>
            <w:noWrap w:val="0"/>
            <w:vAlign w:val="center"/>
          </w:tcPr>
          <w:p>
            <w:pPr>
              <w:pStyle w:val="73"/>
              <w:rPr>
                <w:rFonts w:hint="default" w:ascii="Times New Roman" w:hAnsi="Times New Roman" w:cs="Times New Roman"/>
                <w:color w:val="auto"/>
                <w:u w:val="none"/>
              </w:rPr>
            </w:pP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85.0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79.0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75.5</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69.4</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65.0</w:t>
            </w:r>
          </w:p>
        </w:tc>
        <w:tc>
          <w:tcPr>
            <w:tcW w:w="7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71" w:type="dxa"/>
            <w:vMerge w:val="continue"/>
            <w:noWrap w:val="0"/>
            <w:vAlign w:val="center"/>
          </w:tcPr>
          <w:p>
            <w:pPr>
              <w:pStyle w:val="73"/>
              <w:rPr>
                <w:rFonts w:hint="default" w:ascii="Times New Roman" w:hAnsi="Times New Roman" w:cs="Times New Roman"/>
                <w:color w:val="auto"/>
                <w:u w:val="none"/>
              </w:rPr>
            </w:pPr>
          </w:p>
        </w:tc>
        <w:tc>
          <w:tcPr>
            <w:tcW w:w="147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升降机</w:t>
            </w:r>
          </w:p>
        </w:tc>
        <w:tc>
          <w:tcPr>
            <w:tcW w:w="57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90</w:t>
            </w:r>
          </w:p>
        </w:tc>
        <w:tc>
          <w:tcPr>
            <w:tcW w:w="656" w:type="dxa"/>
            <w:vMerge w:val="continue"/>
            <w:noWrap w:val="0"/>
            <w:vAlign w:val="center"/>
          </w:tcPr>
          <w:p>
            <w:pPr>
              <w:pStyle w:val="73"/>
              <w:rPr>
                <w:rFonts w:hint="default" w:ascii="Times New Roman" w:hAnsi="Times New Roman" w:cs="Times New Roman"/>
                <w:color w:val="auto"/>
                <w:u w:val="none"/>
              </w:rPr>
            </w:pPr>
          </w:p>
        </w:tc>
        <w:tc>
          <w:tcPr>
            <w:tcW w:w="659" w:type="dxa"/>
            <w:vMerge w:val="continue"/>
            <w:noWrap w:val="0"/>
            <w:vAlign w:val="center"/>
          </w:tcPr>
          <w:p>
            <w:pPr>
              <w:pStyle w:val="73"/>
              <w:rPr>
                <w:rFonts w:hint="default" w:ascii="Times New Roman" w:hAnsi="Times New Roman" w:cs="Times New Roman"/>
                <w:color w:val="auto"/>
                <w:u w:val="none"/>
              </w:rPr>
            </w:pP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70.0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64.0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60.5</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54.4</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50.0</w:t>
            </w:r>
          </w:p>
        </w:tc>
        <w:tc>
          <w:tcPr>
            <w:tcW w:w="7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44.0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71"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装修</w:t>
            </w:r>
          </w:p>
          <w:p>
            <w:pPr>
              <w:pStyle w:val="73"/>
              <w:rPr>
                <w:rFonts w:hint="default" w:ascii="Times New Roman" w:hAnsi="Times New Roman" w:cs="Times New Roman"/>
                <w:color w:val="auto"/>
                <w:u w:val="none"/>
              </w:rPr>
            </w:pPr>
            <w:r>
              <w:rPr>
                <w:rFonts w:hint="default" w:ascii="Times New Roman" w:hAnsi="Times New Roman" w:cs="Times New Roman"/>
                <w:color w:val="auto"/>
                <w:u w:val="none"/>
              </w:rPr>
              <w:t>阶段</w:t>
            </w:r>
          </w:p>
        </w:tc>
        <w:tc>
          <w:tcPr>
            <w:tcW w:w="147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电锯</w:t>
            </w:r>
          </w:p>
        </w:tc>
        <w:tc>
          <w:tcPr>
            <w:tcW w:w="57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113</w:t>
            </w:r>
          </w:p>
        </w:tc>
        <w:tc>
          <w:tcPr>
            <w:tcW w:w="656" w:type="dxa"/>
            <w:vMerge w:val="continue"/>
            <w:noWrap w:val="0"/>
            <w:vAlign w:val="center"/>
          </w:tcPr>
          <w:p>
            <w:pPr>
              <w:pStyle w:val="73"/>
              <w:rPr>
                <w:rFonts w:hint="default" w:ascii="Times New Roman" w:hAnsi="Times New Roman" w:cs="Times New Roman"/>
                <w:color w:val="auto"/>
                <w:u w:val="none"/>
              </w:rPr>
            </w:pPr>
          </w:p>
        </w:tc>
        <w:tc>
          <w:tcPr>
            <w:tcW w:w="659" w:type="dxa"/>
            <w:vMerge w:val="continue"/>
            <w:noWrap w:val="0"/>
            <w:vAlign w:val="center"/>
          </w:tcPr>
          <w:p>
            <w:pPr>
              <w:pStyle w:val="73"/>
              <w:rPr>
                <w:rFonts w:hint="default" w:ascii="Times New Roman" w:hAnsi="Times New Roman" w:cs="Times New Roman"/>
                <w:color w:val="auto"/>
                <w:u w:val="none"/>
              </w:rPr>
            </w:pP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93.0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87.0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83.5</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77.4</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73.0</w:t>
            </w:r>
          </w:p>
        </w:tc>
        <w:tc>
          <w:tcPr>
            <w:tcW w:w="7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67.0</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71" w:type="dxa"/>
            <w:vMerge w:val="continue"/>
            <w:noWrap w:val="0"/>
            <w:vAlign w:val="center"/>
          </w:tcPr>
          <w:p>
            <w:pPr>
              <w:pStyle w:val="73"/>
              <w:rPr>
                <w:rFonts w:hint="default" w:ascii="Times New Roman" w:hAnsi="Times New Roman" w:cs="Times New Roman"/>
                <w:color w:val="auto"/>
                <w:u w:val="none"/>
              </w:rPr>
            </w:pPr>
          </w:p>
        </w:tc>
        <w:tc>
          <w:tcPr>
            <w:tcW w:w="1473"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木工刨</w:t>
            </w:r>
          </w:p>
        </w:tc>
        <w:tc>
          <w:tcPr>
            <w:tcW w:w="57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100</w:t>
            </w:r>
          </w:p>
        </w:tc>
        <w:tc>
          <w:tcPr>
            <w:tcW w:w="656" w:type="dxa"/>
            <w:vMerge w:val="continue"/>
            <w:noWrap w:val="0"/>
            <w:vAlign w:val="center"/>
          </w:tcPr>
          <w:p>
            <w:pPr>
              <w:pStyle w:val="73"/>
              <w:rPr>
                <w:rFonts w:hint="default" w:ascii="Times New Roman" w:hAnsi="Times New Roman" w:cs="Times New Roman"/>
                <w:color w:val="auto"/>
                <w:u w:val="none"/>
              </w:rPr>
            </w:pPr>
          </w:p>
        </w:tc>
        <w:tc>
          <w:tcPr>
            <w:tcW w:w="659" w:type="dxa"/>
            <w:vMerge w:val="continue"/>
            <w:noWrap w:val="0"/>
            <w:vAlign w:val="center"/>
          </w:tcPr>
          <w:p>
            <w:pPr>
              <w:pStyle w:val="73"/>
              <w:rPr>
                <w:rFonts w:hint="default" w:ascii="Times New Roman" w:hAnsi="Times New Roman" w:cs="Times New Roman"/>
                <w:color w:val="auto"/>
                <w:u w:val="none"/>
              </w:rPr>
            </w:pP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74.0</w:t>
            </w:r>
          </w:p>
        </w:tc>
        <w:tc>
          <w:tcPr>
            <w:tcW w:w="79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70.5</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64.4</w:t>
            </w:r>
          </w:p>
        </w:tc>
        <w:tc>
          <w:tcPr>
            <w:tcW w:w="69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60.0</w:t>
            </w:r>
          </w:p>
        </w:tc>
        <w:tc>
          <w:tcPr>
            <w:tcW w:w="72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54.0</w:t>
            </w:r>
          </w:p>
        </w:tc>
      </w:tr>
    </w:tbl>
    <w:p>
      <w:pPr>
        <w:tabs>
          <w:tab w:val="left" w:pos="624"/>
        </w:tabs>
        <w:adjustRightInd w:val="0"/>
        <w:snapToGrid w:val="0"/>
        <w:spacing w:before="120" w:beforeLines="50"/>
        <w:ind w:firstLine="439" w:firstLineChars="183"/>
        <w:rPr>
          <w:color w:val="auto"/>
          <w:kern w:val="0"/>
          <w:u w:val="none"/>
        </w:rPr>
      </w:pPr>
      <w:r>
        <w:rPr>
          <w:color w:val="auto"/>
          <w:kern w:val="0"/>
          <w:u w:val="none"/>
        </w:rPr>
        <w:t>2）施工期运输车辆噪声污染源</w:t>
      </w:r>
    </w:p>
    <w:p>
      <w:pPr>
        <w:tabs>
          <w:tab w:val="left" w:pos="624"/>
        </w:tabs>
        <w:adjustRightInd w:val="0"/>
        <w:snapToGrid w:val="0"/>
        <w:ind w:firstLine="480"/>
        <w:jc w:val="both"/>
        <w:rPr>
          <w:b/>
          <w:bCs/>
          <w:color w:val="auto"/>
          <w:kern w:val="0"/>
          <w:u w:val="none"/>
        </w:rPr>
      </w:pPr>
      <w:r>
        <w:rPr>
          <w:color w:val="auto"/>
          <w:kern w:val="0"/>
          <w:u w:val="none"/>
        </w:rPr>
        <w:t>施工期进出施工场地的车辆主要为货车，货车运行时产生的噪声约为75～90dB(A)。运输车辆噪声具体声级见表</w:t>
      </w:r>
      <w:r>
        <w:rPr>
          <w:rFonts w:hint="eastAsia"/>
          <w:color w:val="auto"/>
          <w:kern w:val="0"/>
          <w:u w:val="none"/>
        </w:rPr>
        <w:t>2.4</w:t>
      </w:r>
      <w:r>
        <w:rPr>
          <w:color w:val="auto"/>
          <w:kern w:val="0"/>
          <w:u w:val="none"/>
        </w:rPr>
        <w:t>-</w:t>
      </w:r>
      <w:r>
        <w:rPr>
          <w:rFonts w:hint="eastAsia"/>
          <w:color w:val="auto"/>
          <w:kern w:val="0"/>
          <w:u w:val="none"/>
        </w:rPr>
        <w:t>3</w:t>
      </w:r>
      <w:r>
        <w:rPr>
          <w:color w:val="auto"/>
          <w:kern w:val="0"/>
          <w:u w:val="none"/>
        </w:rPr>
        <w:t>。</w:t>
      </w:r>
    </w:p>
    <w:p>
      <w:pPr>
        <w:tabs>
          <w:tab w:val="left" w:pos="624"/>
        </w:tabs>
        <w:adjustRightInd w:val="0"/>
        <w:snapToGrid w:val="0"/>
        <w:ind w:firstLine="422"/>
        <w:jc w:val="center"/>
        <w:rPr>
          <w:b/>
          <w:bCs/>
          <w:color w:val="auto"/>
          <w:kern w:val="0"/>
          <w:sz w:val="21"/>
          <w:szCs w:val="21"/>
          <w:u w:val="none"/>
        </w:rPr>
      </w:pPr>
      <w:r>
        <w:rPr>
          <w:b/>
          <w:bCs/>
          <w:color w:val="auto"/>
          <w:kern w:val="0"/>
          <w:sz w:val="21"/>
          <w:szCs w:val="21"/>
          <w:u w:val="none"/>
        </w:rPr>
        <w:t>表</w:t>
      </w:r>
      <w:r>
        <w:rPr>
          <w:rFonts w:hint="eastAsia"/>
          <w:b/>
          <w:bCs/>
          <w:color w:val="auto"/>
          <w:kern w:val="0"/>
          <w:sz w:val="21"/>
          <w:szCs w:val="21"/>
          <w:u w:val="none"/>
        </w:rPr>
        <w:t>2.4</w:t>
      </w:r>
      <w:r>
        <w:rPr>
          <w:b/>
          <w:bCs/>
          <w:color w:val="auto"/>
          <w:kern w:val="0"/>
          <w:sz w:val="21"/>
          <w:szCs w:val="21"/>
          <w:u w:val="none"/>
        </w:rPr>
        <w:t>-</w:t>
      </w:r>
      <w:r>
        <w:rPr>
          <w:rFonts w:hint="eastAsia"/>
          <w:b/>
          <w:bCs/>
          <w:color w:val="auto"/>
          <w:kern w:val="0"/>
          <w:sz w:val="21"/>
          <w:szCs w:val="21"/>
          <w:u w:val="none"/>
        </w:rPr>
        <w:t>3</w:t>
      </w:r>
      <w:r>
        <w:rPr>
          <w:b/>
          <w:bCs/>
          <w:color w:val="auto"/>
          <w:kern w:val="0"/>
          <w:sz w:val="21"/>
          <w:szCs w:val="21"/>
          <w:u w:val="none"/>
        </w:rPr>
        <w:t xml:space="preserve">  交通运输车辆声级表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2555"/>
        <w:gridCol w:w="2552"/>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571"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施工阶段</w:t>
            </w:r>
          </w:p>
        </w:tc>
        <w:tc>
          <w:tcPr>
            <w:tcW w:w="2555"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运输内容</w:t>
            </w:r>
          </w:p>
        </w:tc>
        <w:tc>
          <w:tcPr>
            <w:tcW w:w="2552"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车辆类型</w:t>
            </w:r>
          </w:p>
        </w:tc>
        <w:tc>
          <w:tcPr>
            <w:tcW w:w="1767"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等效A声级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571" w:type="dxa"/>
            <w:noWrap w:val="0"/>
            <w:vAlign w:val="center"/>
          </w:tcPr>
          <w:p>
            <w:pPr>
              <w:pStyle w:val="73"/>
              <w:rPr>
                <w:rFonts w:hint="default" w:ascii="Times New Roman" w:hAnsi="Times New Roman" w:cs="Times New Roman"/>
                <w:color w:val="auto"/>
                <w:u w:val="none"/>
              </w:rPr>
            </w:pPr>
            <w:r>
              <w:rPr>
                <w:rFonts w:hint="eastAsia" w:cs="Times New Roman"/>
                <w:color w:val="auto"/>
                <w:u w:val="none"/>
                <w:lang w:eastAsia="zh-CN"/>
              </w:rPr>
              <w:t>基础</w:t>
            </w:r>
            <w:r>
              <w:rPr>
                <w:rFonts w:hint="default" w:ascii="Times New Roman" w:hAnsi="Times New Roman" w:cs="Times New Roman"/>
                <w:color w:val="auto"/>
                <w:u w:val="none"/>
              </w:rPr>
              <w:t>阶段</w:t>
            </w:r>
          </w:p>
        </w:tc>
        <w:tc>
          <w:tcPr>
            <w:tcW w:w="255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土方运输</w:t>
            </w:r>
          </w:p>
        </w:tc>
        <w:tc>
          <w:tcPr>
            <w:tcW w:w="255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大型载重车、装载车</w:t>
            </w:r>
          </w:p>
        </w:tc>
        <w:tc>
          <w:tcPr>
            <w:tcW w:w="176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57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结构阶段</w:t>
            </w:r>
          </w:p>
        </w:tc>
        <w:tc>
          <w:tcPr>
            <w:tcW w:w="255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钢筋、商品混凝土、砖瓦</w:t>
            </w:r>
          </w:p>
        </w:tc>
        <w:tc>
          <w:tcPr>
            <w:tcW w:w="255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混凝土罐装车、载重车</w:t>
            </w:r>
          </w:p>
        </w:tc>
        <w:tc>
          <w:tcPr>
            <w:tcW w:w="176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80～85dB(A)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57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装修阶段</w:t>
            </w:r>
          </w:p>
        </w:tc>
        <w:tc>
          <w:tcPr>
            <w:tcW w:w="255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装修材料及必要的设备</w:t>
            </w:r>
          </w:p>
        </w:tc>
        <w:tc>
          <w:tcPr>
            <w:tcW w:w="255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轻型载重卡车</w:t>
            </w:r>
          </w:p>
        </w:tc>
        <w:tc>
          <w:tcPr>
            <w:tcW w:w="176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75dB(A)</w:t>
            </w:r>
          </w:p>
        </w:tc>
      </w:tr>
    </w:tbl>
    <w:p>
      <w:pPr>
        <w:pStyle w:val="3"/>
        <w:spacing w:before="15"/>
        <w:ind w:left="0" w:firstLine="482" w:firstLineChars="200"/>
        <w:rPr>
          <w:rFonts w:hint="eastAsia" w:ascii="Times New Roman" w:hAnsi="Times New Roman" w:cs="Times New Roman"/>
          <w:b/>
          <w:color w:val="auto"/>
          <w:u w:val="none"/>
          <w:lang w:eastAsia="zh-CN"/>
        </w:rPr>
      </w:pPr>
      <w:r>
        <w:rPr>
          <w:rFonts w:hint="eastAsia" w:ascii="Times New Roman" w:hAnsi="Times New Roman" w:cs="Times New Roman"/>
          <w:b/>
          <w:color w:val="auto"/>
          <w:u w:val="none"/>
          <w:lang w:eastAsia="zh-CN"/>
        </w:rPr>
        <w:t>（2）管道铺设工程</w:t>
      </w:r>
    </w:p>
    <w:p>
      <w:pPr>
        <w:autoSpaceDE w:val="0"/>
        <w:autoSpaceDN w:val="0"/>
        <w:adjustRightInd w:val="0"/>
        <w:ind w:firstLine="480"/>
        <w:jc w:val="both"/>
        <w:rPr>
          <w:rFonts w:hint="eastAsia"/>
          <w:color w:val="auto"/>
          <w:kern w:val="0"/>
          <w:u w:val="none"/>
        </w:rPr>
      </w:pPr>
      <w:r>
        <w:rPr>
          <w:rFonts w:hint="eastAsia" w:cs="宋体"/>
          <w:color w:val="auto"/>
          <w:kern w:val="0"/>
          <w:u w:val="none"/>
          <w:lang w:val="zh-CN"/>
        </w:rPr>
        <w:t>工程施工期噪声类型主要是地面工程施工机械运行时产生的设备噪声和施工车辆运输噪声。管线入地工程的建设工程地点比较分散，且施工机械产生的噪声是无规律的，所以噪声影响面比较广。</w:t>
      </w:r>
      <w:r>
        <w:rPr>
          <w:rFonts w:hint="eastAsia"/>
          <w:color w:val="auto"/>
          <w:kern w:val="0"/>
          <w:u w:val="none"/>
        </w:rPr>
        <w:t>其声级值</w:t>
      </w:r>
      <w:r>
        <w:rPr>
          <w:color w:val="auto"/>
          <w:kern w:val="0"/>
          <w:u w:val="none"/>
        </w:rPr>
        <w:t>见表</w:t>
      </w:r>
      <w:r>
        <w:rPr>
          <w:rFonts w:hint="eastAsia"/>
          <w:color w:val="auto"/>
          <w:kern w:val="0"/>
          <w:u w:val="none"/>
        </w:rPr>
        <w:t>2.4</w:t>
      </w:r>
      <w:r>
        <w:rPr>
          <w:color w:val="auto"/>
          <w:kern w:val="0"/>
          <w:u w:val="none"/>
        </w:rPr>
        <w:t>-</w:t>
      </w:r>
      <w:r>
        <w:rPr>
          <w:rFonts w:hint="eastAsia"/>
          <w:color w:val="auto"/>
          <w:kern w:val="0"/>
          <w:u w:val="none"/>
        </w:rPr>
        <w:t>4</w:t>
      </w:r>
      <w:r>
        <w:rPr>
          <w:color w:val="auto"/>
          <w:kern w:val="0"/>
          <w:u w:val="none"/>
        </w:rPr>
        <w:t>。</w:t>
      </w:r>
    </w:p>
    <w:p>
      <w:pPr>
        <w:pStyle w:val="104"/>
        <w:ind w:firstLine="422"/>
        <w:jc w:val="center"/>
        <w:rPr>
          <w:rFonts w:ascii="Times New Roman" w:hAnsi="Times New Roman"/>
          <w:b/>
          <w:color w:val="auto"/>
          <w:sz w:val="21"/>
          <w:szCs w:val="24"/>
          <w:u w:val="none"/>
        </w:rPr>
      </w:pPr>
      <w:r>
        <w:rPr>
          <w:rFonts w:ascii="Times New Roman" w:hAnsi="Times New Roman"/>
          <w:b/>
          <w:color w:val="auto"/>
          <w:sz w:val="21"/>
          <w:szCs w:val="24"/>
          <w:u w:val="none"/>
        </w:rPr>
        <w:t>表</w:t>
      </w:r>
      <w:r>
        <w:rPr>
          <w:rFonts w:hint="eastAsia" w:ascii="Times New Roman" w:hAnsi="Times New Roman"/>
          <w:b/>
          <w:color w:val="auto"/>
          <w:sz w:val="21"/>
          <w:szCs w:val="24"/>
          <w:u w:val="none"/>
        </w:rPr>
        <w:t>2.4-4</w:t>
      </w:r>
      <w:r>
        <w:rPr>
          <w:rFonts w:ascii="Times New Roman" w:hAnsi="Times New Roman"/>
          <w:b/>
          <w:color w:val="auto"/>
          <w:sz w:val="21"/>
          <w:szCs w:val="24"/>
          <w:u w:val="none"/>
        </w:rPr>
        <w:t xml:space="preserve">  主要施工机械及噪声源强度表</w:t>
      </w:r>
    </w:p>
    <w:tbl>
      <w:tblPr>
        <w:tblStyle w:val="36"/>
        <w:tblW w:w="0" w:type="auto"/>
        <w:jc w:val="center"/>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96"/>
        <w:gridCol w:w="1984"/>
        <w:gridCol w:w="2126"/>
        <w:gridCol w:w="2082"/>
      </w:tblGrid>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6"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设备名称</w:t>
            </w:r>
          </w:p>
        </w:tc>
        <w:tc>
          <w:tcPr>
            <w:tcW w:w="1984"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噪声级dB(A)</w:t>
            </w:r>
          </w:p>
        </w:tc>
        <w:tc>
          <w:tcPr>
            <w:tcW w:w="2126"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测点距声源距离（m）</w:t>
            </w:r>
          </w:p>
        </w:tc>
        <w:tc>
          <w:tcPr>
            <w:tcW w:w="2082"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声源特点</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铲土机</w:t>
            </w:r>
          </w:p>
        </w:tc>
        <w:tc>
          <w:tcPr>
            <w:tcW w:w="1984"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90～99</w:t>
            </w:r>
          </w:p>
        </w:tc>
        <w:tc>
          <w:tcPr>
            <w:tcW w:w="212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1m</w:t>
            </w:r>
          </w:p>
        </w:tc>
        <w:tc>
          <w:tcPr>
            <w:tcW w:w="208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流动不稳态源</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压路机</w:t>
            </w:r>
          </w:p>
        </w:tc>
        <w:tc>
          <w:tcPr>
            <w:tcW w:w="1984"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80～93</w:t>
            </w:r>
          </w:p>
        </w:tc>
        <w:tc>
          <w:tcPr>
            <w:tcW w:w="212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1m</w:t>
            </w:r>
          </w:p>
        </w:tc>
        <w:tc>
          <w:tcPr>
            <w:tcW w:w="208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流动不稳态源</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自卸卡车</w:t>
            </w:r>
          </w:p>
        </w:tc>
        <w:tc>
          <w:tcPr>
            <w:tcW w:w="1984"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85～91</w:t>
            </w:r>
          </w:p>
        </w:tc>
        <w:tc>
          <w:tcPr>
            <w:tcW w:w="212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1m</w:t>
            </w:r>
          </w:p>
        </w:tc>
        <w:tc>
          <w:tcPr>
            <w:tcW w:w="208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流动不稳态源</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挖掘机</w:t>
            </w:r>
          </w:p>
        </w:tc>
        <w:tc>
          <w:tcPr>
            <w:tcW w:w="1984"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80～98</w:t>
            </w:r>
          </w:p>
        </w:tc>
        <w:tc>
          <w:tcPr>
            <w:tcW w:w="212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1m</w:t>
            </w:r>
          </w:p>
        </w:tc>
        <w:tc>
          <w:tcPr>
            <w:tcW w:w="208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流动不稳态源</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9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路面破碎机</w:t>
            </w:r>
          </w:p>
        </w:tc>
        <w:tc>
          <w:tcPr>
            <w:tcW w:w="1984"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90～100</w:t>
            </w:r>
          </w:p>
        </w:tc>
        <w:tc>
          <w:tcPr>
            <w:tcW w:w="212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1m</w:t>
            </w:r>
          </w:p>
        </w:tc>
        <w:tc>
          <w:tcPr>
            <w:tcW w:w="2082"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流动不稳态源</w:t>
            </w:r>
          </w:p>
        </w:tc>
      </w:tr>
    </w:tbl>
    <w:p>
      <w:pPr>
        <w:pStyle w:val="69"/>
        <w:rPr>
          <w:rFonts w:hint="eastAsia"/>
          <w:color w:val="auto"/>
          <w:u w:val="none"/>
        </w:rPr>
      </w:pPr>
      <w:r>
        <w:rPr>
          <w:rFonts w:hint="eastAsia"/>
          <w:color w:val="auto"/>
          <w:u w:val="none"/>
        </w:rPr>
        <w:t>2</w:t>
      </w:r>
      <w:r>
        <w:rPr>
          <w:color w:val="auto"/>
          <w:u w:val="none"/>
        </w:rPr>
        <w:t>.4.2.4固体废物</w:t>
      </w:r>
    </w:p>
    <w:p>
      <w:pPr>
        <w:pStyle w:val="3"/>
        <w:spacing w:before="7"/>
        <w:ind w:left="0" w:firstLine="482" w:firstLineChars="200"/>
        <w:rPr>
          <w:rFonts w:hint="eastAsia" w:ascii="Times New Roman" w:hAnsi="Times New Roman" w:cs="Times New Roman"/>
          <w:b/>
          <w:color w:val="auto"/>
          <w:u w:val="none"/>
          <w:lang w:eastAsia="zh-CN"/>
        </w:rPr>
      </w:pPr>
      <w:r>
        <w:rPr>
          <w:rFonts w:hint="eastAsia" w:ascii="Times New Roman" w:hAnsi="Times New Roman" w:cs="Times New Roman"/>
          <w:b/>
          <w:color w:val="auto"/>
          <w:u w:val="none"/>
          <w:lang w:eastAsia="zh-CN"/>
        </w:rPr>
        <w:t>（1）污水处理厂建设工程</w:t>
      </w:r>
    </w:p>
    <w:p>
      <w:pPr>
        <w:ind w:firstLine="480"/>
        <w:jc w:val="both"/>
        <w:rPr>
          <w:color w:val="auto"/>
          <w:u w:val="none"/>
        </w:rPr>
      </w:pPr>
      <w:r>
        <w:rPr>
          <w:rFonts w:hint="eastAsia"/>
          <w:color w:val="auto"/>
          <w:u w:val="none"/>
        </w:rPr>
        <w:t>①土石方</w:t>
      </w:r>
    </w:p>
    <w:p>
      <w:pPr>
        <w:widowControl w:val="0"/>
        <w:ind w:firstLine="480"/>
        <w:jc w:val="both"/>
        <w:rPr>
          <w:rFonts w:hint="eastAsia"/>
          <w:color w:val="auto"/>
          <w:u w:val="none"/>
        </w:rPr>
      </w:pPr>
      <w:r>
        <w:rPr>
          <w:rFonts w:hint="eastAsia"/>
          <w:color w:val="auto"/>
          <w:kern w:val="0"/>
          <w:szCs w:val="21"/>
          <w:lang w:eastAsia="zh-CN"/>
        </w:rPr>
        <w:t>根据湖南永顺经开区建设投资开发有限责任公司提供的《污水处理站总平面布置图》，</w:t>
      </w:r>
      <w:r>
        <w:rPr>
          <w:rFonts w:hint="eastAsia"/>
          <w:color w:val="auto"/>
          <w:kern w:val="0"/>
          <w:szCs w:val="21"/>
        </w:rPr>
        <w:t>场地平整根据设计标高高挖低填，根据统计，项目区挖方</w:t>
      </w:r>
      <w:r>
        <w:rPr>
          <w:rFonts w:hint="eastAsia"/>
          <w:color w:val="auto"/>
          <w:kern w:val="0"/>
          <w:szCs w:val="21"/>
          <w:lang w:val="en-US" w:eastAsia="zh-CN"/>
        </w:rPr>
        <w:t>9190</w:t>
      </w:r>
      <w:r>
        <w:rPr>
          <w:rFonts w:hint="eastAsia"/>
          <w:color w:val="auto"/>
          <w:kern w:val="0"/>
          <w:szCs w:val="21"/>
        </w:rPr>
        <w:t>m³，</w:t>
      </w:r>
      <w:r>
        <w:rPr>
          <w:rFonts w:hint="eastAsia"/>
          <w:color w:val="auto"/>
          <w:kern w:val="0"/>
          <w:szCs w:val="21"/>
          <w:lang w:eastAsia="zh-CN"/>
        </w:rPr>
        <w:t>部分</w:t>
      </w:r>
      <w:r>
        <w:rPr>
          <w:rFonts w:hint="eastAsia"/>
          <w:color w:val="auto"/>
          <w:kern w:val="0"/>
          <w:szCs w:val="21"/>
        </w:rPr>
        <w:t>用于该地块场地平整</w:t>
      </w:r>
      <w:r>
        <w:rPr>
          <w:rFonts w:hint="eastAsia"/>
          <w:color w:val="auto"/>
          <w:kern w:val="0"/>
          <w:szCs w:val="21"/>
          <w:lang w:eastAsia="zh-CN"/>
        </w:rPr>
        <w:t>，剩余部分用于园区内场地平整</w:t>
      </w:r>
      <w:r>
        <w:rPr>
          <w:rFonts w:hint="eastAsia"/>
          <w:color w:val="auto"/>
          <w:u w:val="none"/>
        </w:rPr>
        <w:t>。</w:t>
      </w:r>
    </w:p>
    <w:p>
      <w:pPr>
        <w:ind w:firstLine="480"/>
        <w:jc w:val="both"/>
        <w:rPr>
          <w:color w:val="auto"/>
          <w:u w:val="none"/>
        </w:rPr>
      </w:pPr>
      <w:r>
        <w:rPr>
          <w:rFonts w:hint="eastAsia"/>
          <w:color w:val="auto"/>
          <w:u w:val="none"/>
        </w:rPr>
        <w:t>②建筑垃圾</w:t>
      </w:r>
    </w:p>
    <w:p>
      <w:pPr>
        <w:pStyle w:val="3"/>
        <w:spacing w:before="7"/>
        <w:ind w:left="0" w:firstLine="480" w:firstLineChars="200"/>
        <w:jc w:val="both"/>
        <w:rPr>
          <w:rFonts w:ascii="Times New Roman" w:hAnsi="Times New Roman"/>
          <w:color w:val="auto"/>
          <w:u w:val="none"/>
          <w:lang w:eastAsia="zh-CN"/>
        </w:rPr>
      </w:pPr>
      <w:r>
        <w:rPr>
          <w:rFonts w:ascii="Times New Roman" w:hAnsi="Times New Roman"/>
          <w:color w:val="auto"/>
          <w:u w:val="none"/>
          <w:lang w:eastAsia="zh-CN"/>
        </w:rPr>
        <w:t>主要包括砂石、石块、碎砖瓦、金属废料等杂物，金属废料施工后尽可能回收利用，其余无法综合利用建筑垃圾运至当地渣土管理部门指定地点处置</w:t>
      </w:r>
      <w:r>
        <w:rPr>
          <w:rFonts w:hint="eastAsia" w:ascii="Times New Roman" w:hAnsi="Times New Roman"/>
          <w:color w:val="auto"/>
          <w:u w:val="none"/>
          <w:lang w:eastAsia="zh-CN"/>
        </w:rPr>
        <w:t>。</w:t>
      </w:r>
    </w:p>
    <w:p>
      <w:pPr>
        <w:pStyle w:val="3"/>
        <w:spacing w:before="7"/>
        <w:ind w:left="0" w:firstLine="480" w:firstLineChars="200"/>
        <w:jc w:val="both"/>
        <w:rPr>
          <w:rFonts w:hint="eastAsia" w:ascii="Times New Roman" w:hAnsi="Times New Roman" w:cs="Times New Roman"/>
          <w:color w:val="auto"/>
          <w:u w:val="single"/>
          <w:lang w:eastAsia="zh-CN"/>
        </w:rPr>
      </w:pPr>
      <w:r>
        <w:rPr>
          <w:rFonts w:hint="eastAsia" w:ascii="Times New Roman" w:hAnsi="Times New Roman" w:cs="Times New Roman"/>
          <w:color w:val="auto"/>
          <w:u w:val="single"/>
          <w:lang w:eastAsia="zh-CN"/>
        </w:rPr>
        <w:t>③施工人员生活垃圾</w:t>
      </w:r>
    </w:p>
    <w:p>
      <w:pPr>
        <w:tabs>
          <w:tab w:val="left" w:pos="624"/>
        </w:tabs>
        <w:adjustRightInd w:val="0"/>
        <w:snapToGrid w:val="0"/>
        <w:ind w:firstLine="480"/>
        <w:jc w:val="both"/>
        <w:rPr>
          <w:rFonts w:hint="eastAsia"/>
          <w:color w:val="auto"/>
          <w:kern w:val="0"/>
          <w:u w:val="single"/>
        </w:rPr>
      </w:pPr>
      <w:r>
        <w:rPr>
          <w:rFonts w:hint="eastAsia"/>
          <w:color w:val="auto"/>
          <w:kern w:val="0"/>
          <w:u w:val="single"/>
        </w:rPr>
        <w:t>项目污水处理厂</w:t>
      </w:r>
      <w:r>
        <w:rPr>
          <w:rFonts w:hint="eastAsia"/>
          <w:color w:val="auto"/>
          <w:kern w:val="0"/>
          <w:u w:val="single"/>
          <w:lang w:eastAsia="zh-CN"/>
        </w:rPr>
        <w:t>一期工程</w:t>
      </w:r>
      <w:r>
        <w:rPr>
          <w:rFonts w:hint="eastAsia"/>
          <w:color w:val="auto"/>
          <w:kern w:val="0"/>
          <w:u w:val="single"/>
        </w:rPr>
        <w:t>施工人员约为</w:t>
      </w:r>
      <w:r>
        <w:rPr>
          <w:rFonts w:hint="eastAsia"/>
          <w:color w:val="auto"/>
          <w:kern w:val="0"/>
          <w:u w:val="single"/>
          <w:lang w:val="en-US" w:eastAsia="zh-CN"/>
        </w:rPr>
        <w:t>8</w:t>
      </w:r>
      <w:r>
        <w:rPr>
          <w:rFonts w:hint="eastAsia"/>
          <w:color w:val="auto"/>
          <w:kern w:val="0"/>
          <w:u w:val="single"/>
        </w:rPr>
        <w:t>人左右</w:t>
      </w:r>
      <w:r>
        <w:rPr>
          <w:rFonts w:hint="eastAsia"/>
          <w:color w:val="auto"/>
          <w:kern w:val="0"/>
          <w:u w:val="single"/>
          <w:lang w:eastAsia="zh-CN"/>
        </w:rPr>
        <w:t>，工期</w:t>
      </w:r>
      <w:r>
        <w:rPr>
          <w:rFonts w:hint="eastAsia"/>
          <w:color w:val="auto"/>
          <w:kern w:val="0"/>
          <w:u w:val="single"/>
          <w:lang w:val="en-US" w:eastAsia="zh-CN"/>
        </w:rPr>
        <w:t>6个月</w:t>
      </w:r>
      <w:r>
        <w:rPr>
          <w:rFonts w:hint="eastAsia"/>
          <w:color w:val="auto"/>
          <w:kern w:val="0"/>
          <w:u w:val="single"/>
          <w:lang w:eastAsia="zh-CN"/>
        </w:rPr>
        <w:t>。二期工程</w:t>
      </w:r>
      <w:r>
        <w:rPr>
          <w:rFonts w:hint="eastAsia"/>
          <w:color w:val="auto"/>
          <w:kern w:val="0"/>
          <w:u w:val="single"/>
        </w:rPr>
        <w:t>施工人员约为</w:t>
      </w:r>
      <w:r>
        <w:rPr>
          <w:rFonts w:hint="eastAsia"/>
          <w:color w:val="auto"/>
          <w:kern w:val="0"/>
          <w:u w:val="single"/>
          <w:lang w:val="en-US" w:eastAsia="zh-CN"/>
        </w:rPr>
        <w:t>3</w:t>
      </w:r>
      <w:r>
        <w:rPr>
          <w:rFonts w:hint="eastAsia"/>
          <w:color w:val="auto"/>
          <w:kern w:val="0"/>
          <w:u w:val="single"/>
        </w:rPr>
        <w:t>人左右</w:t>
      </w:r>
      <w:r>
        <w:rPr>
          <w:rFonts w:hint="eastAsia"/>
          <w:color w:val="auto"/>
          <w:kern w:val="0"/>
          <w:u w:val="single"/>
          <w:lang w:eastAsia="zh-CN"/>
        </w:rPr>
        <w:t>，工期</w:t>
      </w:r>
      <w:r>
        <w:rPr>
          <w:rFonts w:hint="eastAsia"/>
          <w:color w:val="auto"/>
          <w:kern w:val="0"/>
          <w:u w:val="single"/>
          <w:lang w:val="en-US" w:eastAsia="zh-CN"/>
        </w:rPr>
        <w:t>1个月。</w:t>
      </w:r>
      <w:r>
        <w:rPr>
          <w:color w:val="auto"/>
          <w:kern w:val="0"/>
          <w:u w:val="single"/>
        </w:rPr>
        <w:t>生活垃圾产生量以0.5kg/人·d计，</w:t>
      </w:r>
      <w:r>
        <w:rPr>
          <w:rFonts w:hint="eastAsia"/>
          <w:color w:val="auto"/>
          <w:kern w:val="0"/>
          <w:u w:val="single"/>
          <w:lang w:eastAsia="zh-CN"/>
        </w:rPr>
        <w:t>一期工程</w:t>
      </w:r>
      <w:r>
        <w:rPr>
          <w:color w:val="auto"/>
          <w:kern w:val="0"/>
          <w:u w:val="single"/>
        </w:rPr>
        <w:t>生活垃圾产生量为</w:t>
      </w:r>
      <w:r>
        <w:rPr>
          <w:rFonts w:hint="eastAsia"/>
          <w:color w:val="auto"/>
          <w:kern w:val="0"/>
          <w:u w:val="single"/>
          <w:lang w:val="en-US" w:eastAsia="zh-CN"/>
        </w:rPr>
        <w:t>4</w:t>
      </w:r>
      <w:r>
        <w:rPr>
          <w:color w:val="auto"/>
          <w:kern w:val="0"/>
          <w:u w:val="single"/>
        </w:rPr>
        <w:t>kg/d</w:t>
      </w:r>
      <w:r>
        <w:rPr>
          <w:rFonts w:hint="eastAsia"/>
          <w:color w:val="auto"/>
          <w:kern w:val="0"/>
          <w:u w:val="single"/>
          <w:lang w:eastAsia="zh-CN"/>
        </w:rPr>
        <w:t>，二期工程</w:t>
      </w:r>
      <w:r>
        <w:rPr>
          <w:color w:val="auto"/>
          <w:kern w:val="0"/>
          <w:u w:val="single"/>
        </w:rPr>
        <w:t>生活垃圾产生量为</w:t>
      </w:r>
      <w:r>
        <w:rPr>
          <w:rFonts w:hint="eastAsia"/>
          <w:color w:val="auto"/>
          <w:kern w:val="0"/>
          <w:u w:val="single"/>
          <w:lang w:val="en-US" w:eastAsia="zh-CN"/>
        </w:rPr>
        <w:t>1.5</w:t>
      </w:r>
      <w:r>
        <w:rPr>
          <w:color w:val="auto"/>
          <w:kern w:val="0"/>
          <w:u w:val="single"/>
        </w:rPr>
        <w:t>kg/d</w:t>
      </w:r>
      <w:r>
        <w:rPr>
          <w:rFonts w:hint="eastAsia"/>
          <w:color w:val="auto"/>
          <w:kern w:val="0"/>
          <w:u w:val="single"/>
          <w:lang w:eastAsia="zh-CN"/>
        </w:rPr>
        <w:t>，整个一期二期施工期生活垃圾产生量为</w:t>
      </w:r>
      <w:r>
        <w:rPr>
          <w:rFonts w:hint="eastAsia"/>
          <w:color w:val="auto"/>
          <w:kern w:val="0"/>
          <w:u w:val="single"/>
          <w:lang w:val="en-US" w:eastAsia="zh-CN"/>
        </w:rPr>
        <w:t>765</w:t>
      </w:r>
      <w:r>
        <w:rPr>
          <w:color w:val="auto"/>
          <w:kern w:val="0"/>
          <w:u w:val="single"/>
        </w:rPr>
        <w:t>kg</w:t>
      </w:r>
      <w:r>
        <w:rPr>
          <w:rFonts w:hint="eastAsia"/>
          <w:color w:val="auto"/>
          <w:kern w:val="0"/>
          <w:u w:val="single"/>
        </w:rPr>
        <w:t>。</w:t>
      </w:r>
    </w:p>
    <w:p>
      <w:pPr>
        <w:pStyle w:val="3"/>
        <w:spacing w:before="7"/>
        <w:ind w:left="0" w:firstLine="482" w:firstLineChars="200"/>
        <w:rPr>
          <w:rFonts w:hint="eastAsia" w:ascii="Times New Roman" w:hAnsi="Times New Roman" w:cs="Times New Roman"/>
          <w:b/>
          <w:color w:val="auto"/>
          <w:u w:val="none"/>
          <w:lang w:eastAsia="zh-CN"/>
        </w:rPr>
      </w:pPr>
      <w:r>
        <w:rPr>
          <w:rFonts w:hint="eastAsia" w:ascii="Times New Roman" w:hAnsi="Times New Roman" w:cs="Times New Roman"/>
          <w:b/>
          <w:color w:val="auto"/>
          <w:u w:val="none"/>
          <w:lang w:eastAsia="zh-CN"/>
        </w:rPr>
        <w:t>（2）管道铺设工程</w:t>
      </w:r>
    </w:p>
    <w:p>
      <w:pPr>
        <w:ind w:firstLine="480"/>
        <w:jc w:val="both"/>
        <w:rPr>
          <w:rFonts w:hint="eastAsia"/>
          <w:color w:val="auto"/>
          <w:kern w:val="0"/>
          <w:u w:val="none"/>
        </w:rPr>
      </w:pPr>
      <w:r>
        <w:rPr>
          <w:rFonts w:hint="eastAsia"/>
          <w:color w:val="auto"/>
          <w:kern w:val="0"/>
          <w:u w:val="none"/>
        </w:rPr>
        <w:t>管道铺设过程中的固体废物主要为管道开挖过程中的土石方、施工人员生活垃圾以及施工建筑垃圾。</w:t>
      </w:r>
    </w:p>
    <w:p>
      <w:pPr>
        <w:ind w:firstLine="480"/>
        <w:jc w:val="both"/>
        <w:rPr>
          <w:rFonts w:hint="eastAsia"/>
          <w:color w:val="auto"/>
          <w:kern w:val="0"/>
          <w:u w:val="none"/>
          <w:lang w:eastAsia="zh-CN"/>
        </w:rPr>
      </w:pPr>
      <w:r>
        <w:rPr>
          <w:rFonts w:hint="eastAsia"/>
          <w:color w:val="auto"/>
          <w:kern w:val="0"/>
          <w:u w:val="none"/>
          <w:lang w:eastAsia="zh-CN"/>
        </w:rPr>
        <w:t>①土石方</w:t>
      </w:r>
    </w:p>
    <w:p>
      <w:pPr>
        <w:ind w:firstLine="480"/>
        <w:jc w:val="both"/>
        <w:rPr>
          <w:rFonts w:hint="eastAsia"/>
          <w:color w:val="auto"/>
          <w:kern w:val="0"/>
          <w:szCs w:val="21"/>
          <w:u w:val="none"/>
          <w:lang w:eastAsia="zh-CN"/>
        </w:rPr>
      </w:pPr>
      <w:r>
        <w:rPr>
          <w:rFonts w:hint="eastAsia"/>
          <w:color w:val="auto"/>
          <w:kern w:val="0"/>
          <w:u w:val="single"/>
        </w:rPr>
        <w:t>污水收集管网长度为</w:t>
      </w:r>
      <w:r>
        <w:rPr>
          <w:rFonts w:hint="eastAsia"/>
          <w:color w:val="auto"/>
          <w:kern w:val="0"/>
          <w:u w:val="single"/>
          <w:lang w:val="en-US" w:eastAsia="zh-CN"/>
        </w:rPr>
        <w:t>1500</w:t>
      </w:r>
      <w:r>
        <w:rPr>
          <w:rFonts w:hint="eastAsia"/>
          <w:color w:val="auto"/>
          <w:kern w:val="0"/>
          <w:u w:val="single"/>
        </w:rPr>
        <w:t>m，污水排放管网长度为</w:t>
      </w:r>
      <w:r>
        <w:rPr>
          <w:rFonts w:hint="eastAsia"/>
          <w:color w:val="auto"/>
          <w:kern w:val="0"/>
          <w:u w:val="single"/>
          <w:lang w:val="en-US" w:eastAsia="zh-CN"/>
        </w:rPr>
        <w:t>2050m</w:t>
      </w:r>
      <w:r>
        <w:rPr>
          <w:rFonts w:hint="eastAsia"/>
          <w:color w:val="auto"/>
          <w:kern w:val="0"/>
          <w:u w:val="single"/>
        </w:rPr>
        <w:t>，预测</w:t>
      </w:r>
      <w:r>
        <w:rPr>
          <w:rFonts w:hint="eastAsia"/>
          <w:color w:val="auto"/>
          <w:kern w:val="0"/>
          <w:u w:val="single"/>
          <w:lang w:eastAsia="zh-CN"/>
        </w:rPr>
        <w:t>管网</w:t>
      </w:r>
      <w:r>
        <w:rPr>
          <w:rFonts w:hint="eastAsia"/>
          <w:color w:val="auto"/>
          <w:kern w:val="0"/>
          <w:szCs w:val="21"/>
          <w:u w:val="single"/>
        </w:rPr>
        <w:t>工程开挖土石方约为</w:t>
      </w:r>
      <w:r>
        <w:rPr>
          <w:rFonts w:hint="eastAsia"/>
          <w:color w:val="auto"/>
          <w:kern w:val="0"/>
          <w:szCs w:val="21"/>
          <w:u w:val="single"/>
          <w:lang w:val="en-US" w:eastAsia="zh-CN"/>
        </w:rPr>
        <w:t>5000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，回填土石方约</w:t>
      </w:r>
      <w:r>
        <w:rPr>
          <w:rFonts w:hint="eastAsia"/>
          <w:color w:val="auto"/>
          <w:kern w:val="0"/>
          <w:szCs w:val="21"/>
          <w:u w:val="single"/>
          <w:lang w:val="en-US" w:eastAsia="zh-CN"/>
        </w:rPr>
        <w:t>3000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，弃方量约为</w:t>
      </w:r>
      <w:r>
        <w:rPr>
          <w:rFonts w:hint="eastAsia"/>
          <w:color w:val="auto"/>
          <w:kern w:val="0"/>
          <w:szCs w:val="21"/>
          <w:u w:val="single"/>
          <w:lang w:val="en-US" w:eastAsia="zh-CN"/>
        </w:rPr>
        <w:t>2000</w:t>
      </w:r>
      <w:r>
        <w:rPr>
          <w:rFonts w:hint="eastAsia"/>
          <w:color w:val="auto"/>
          <w:kern w:val="0"/>
          <w:szCs w:val="21"/>
          <w:u w:val="single"/>
        </w:rPr>
        <w:t>m</w:t>
      </w:r>
      <w:r>
        <w:rPr>
          <w:rFonts w:hint="eastAsia"/>
          <w:color w:val="auto"/>
          <w:kern w:val="0"/>
          <w:szCs w:val="21"/>
          <w:u w:val="single"/>
          <w:vertAlign w:val="superscript"/>
        </w:rPr>
        <w:t>3</w:t>
      </w:r>
      <w:r>
        <w:rPr>
          <w:rFonts w:hint="eastAsia"/>
          <w:color w:val="auto"/>
          <w:kern w:val="0"/>
          <w:szCs w:val="21"/>
          <w:u w:val="single"/>
        </w:rPr>
        <w:t>，</w:t>
      </w:r>
      <w:r>
        <w:rPr>
          <w:rFonts w:hint="eastAsia"/>
          <w:color w:val="auto"/>
          <w:kern w:val="0"/>
          <w:szCs w:val="21"/>
          <w:u w:val="single"/>
          <w:lang w:eastAsia="zh-CN"/>
        </w:rPr>
        <w:t>该弃方用于园区内土地平整。</w:t>
      </w:r>
    </w:p>
    <w:p>
      <w:pPr>
        <w:ind w:firstLine="480"/>
        <w:jc w:val="both"/>
        <w:rPr>
          <w:rFonts w:hint="eastAsia"/>
          <w:color w:val="auto"/>
          <w:kern w:val="0"/>
          <w:szCs w:val="21"/>
          <w:u w:val="none"/>
          <w:lang w:eastAsia="zh-CN"/>
        </w:rPr>
      </w:pPr>
      <w:r>
        <w:rPr>
          <w:rFonts w:hint="eastAsia"/>
          <w:color w:val="auto"/>
          <w:kern w:val="0"/>
          <w:szCs w:val="21"/>
          <w:u w:val="none"/>
          <w:lang w:eastAsia="zh-CN"/>
        </w:rPr>
        <w:t>②建筑垃圾</w:t>
      </w:r>
    </w:p>
    <w:p>
      <w:pPr>
        <w:pStyle w:val="31"/>
        <w:rPr>
          <w:rFonts w:hint="eastAsia" w:eastAsia="宋体"/>
          <w:lang w:eastAsia="zh-CN"/>
        </w:rPr>
      </w:pPr>
      <w:r>
        <w:rPr>
          <w:color w:val="auto"/>
          <w:kern w:val="0"/>
          <w:u w:val="none"/>
        </w:rPr>
        <w:t>建筑垃圾主要是一些包装袋、包装箱、碎木块、废弃砂浆、废砖石及建筑材料</w:t>
      </w:r>
      <w:r>
        <w:rPr>
          <w:rFonts w:hint="eastAsia"/>
          <w:color w:val="auto"/>
          <w:kern w:val="0"/>
          <w:u w:val="none"/>
        </w:rPr>
        <w:t>及</w:t>
      </w:r>
      <w:r>
        <w:rPr>
          <w:color w:val="auto"/>
          <w:kern w:val="0"/>
          <w:u w:val="none"/>
        </w:rPr>
        <w:t>边角废料等</w:t>
      </w:r>
      <w:r>
        <w:rPr>
          <w:rFonts w:hint="eastAsia"/>
          <w:color w:val="auto"/>
          <w:kern w:val="0"/>
          <w:u w:val="none"/>
          <w:lang w:eastAsia="zh-CN"/>
        </w:rPr>
        <w:t>。</w:t>
      </w:r>
      <w:r>
        <w:rPr>
          <w:rFonts w:hint="eastAsia" w:ascii="Times New Roman" w:hAnsi="Times New Roman"/>
          <w:color w:val="auto"/>
          <w:u w:val="none"/>
          <w:lang w:eastAsia="zh-CN"/>
        </w:rPr>
        <w:t>废砖石及建筑材料</w:t>
      </w:r>
      <w:r>
        <w:rPr>
          <w:rFonts w:ascii="Times New Roman" w:hAnsi="Times New Roman"/>
          <w:color w:val="auto"/>
          <w:u w:val="none"/>
          <w:lang w:eastAsia="zh-CN"/>
        </w:rPr>
        <w:t>施工后尽可能回收利用，其余无法综合利用建筑垃圾运至当地渣土管理部门指定地点处置</w:t>
      </w:r>
      <w:r>
        <w:rPr>
          <w:rFonts w:hint="eastAsia" w:ascii="Times New Roman" w:hAnsi="Times New Roman"/>
          <w:color w:val="auto"/>
          <w:u w:val="none"/>
          <w:lang w:eastAsia="zh-CN"/>
        </w:rPr>
        <w:t>。</w:t>
      </w:r>
    </w:p>
    <w:p>
      <w:pPr>
        <w:pStyle w:val="3"/>
        <w:spacing w:before="7"/>
        <w:ind w:left="0" w:firstLine="480" w:firstLineChars="200"/>
        <w:jc w:val="both"/>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③施工人员生活垃圾</w:t>
      </w:r>
    </w:p>
    <w:p>
      <w:pPr>
        <w:ind w:firstLine="480"/>
        <w:jc w:val="both"/>
        <w:rPr>
          <w:color w:val="auto"/>
          <w:kern w:val="0"/>
          <w:u w:val="single"/>
        </w:rPr>
      </w:pPr>
      <w:r>
        <w:rPr>
          <w:rFonts w:hint="eastAsia"/>
          <w:color w:val="auto"/>
          <w:kern w:val="0"/>
          <w:szCs w:val="21"/>
          <w:u w:val="single"/>
        </w:rPr>
        <w:t>施工人员人数约为15人，</w:t>
      </w:r>
      <w:r>
        <w:rPr>
          <w:color w:val="auto"/>
          <w:kern w:val="0"/>
          <w:u w:val="single"/>
        </w:rPr>
        <w:t>生活垃圾产生量以0.5kg/人·d计，生活垃圾产生量为</w:t>
      </w:r>
      <w:r>
        <w:rPr>
          <w:rFonts w:hint="eastAsia"/>
          <w:color w:val="auto"/>
          <w:kern w:val="0"/>
          <w:u w:val="single"/>
        </w:rPr>
        <w:t>7.5</w:t>
      </w:r>
      <w:r>
        <w:rPr>
          <w:color w:val="auto"/>
          <w:kern w:val="0"/>
          <w:u w:val="single"/>
        </w:rPr>
        <w:t>kg/d</w:t>
      </w:r>
      <w:r>
        <w:rPr>
          <w:rFonts w:hint="eastAsia"/>
          <w:color w:val="auto"/>
          <w:kern w:val="0"/>
          <w:u w:val="single"/>
        </w:rPr>
        <w:t>，</w:t>
      </w:r>
      <w:r>
        <w:rPr>
          <w:rFonts w:hint="eastAsia"/>
          <w:color w:val="auto"/>
          <w:kern w:val="0"/>
          <w:u w:val="single"/>
          <w:lang w:eastAsia="zh-CN"/>
        </w:rPr>
        <w:t>整个施工期生活垃圾产生量为</w:t>
      </w:r>
      <w:r>
        <w:rPr>
          <w:rFonts w:hint="eastAsia"/>
          <w:color w:val="auto"/>
          <w:kern w:val="0"/>
          <w:u w:val="single"/>
          <w:lang w:val="en-US" w:eastAsia="zh-CN"/>
        </w:rPr>
        <w:t>1.35t</w:t>
      </w:r>
      <w:r>
        <w:rPr>
          <w:rFonts w:hint="eastAsia"/>
          <w:color w:val="auto"/>
          <w:kern w:val="0"/>
          <w:u w:val="single"/>
        </w:rPr>
        <w:t>。</w:t>
      </w:r>
    </w:p>
    <w:p>
      <w:pPr>
        <w:pStyle w:val="6"/>
        <w:bidi w:val="0"/>
        <w:rPr>
          <w:rFonts w:hint="eastAsia"/>
        </w:rPr>
      </w:pPr>
      <w:r>
        <w:rPr>
          <w:rFonts w:hint="eastAsia"/>
        </w:rPr>
        <w:t>2</w:t>
      </w:r>
      <w:r>
        <w:t>.4.4</w:t>
      </w:r>
      <w:r>
        <w:rPr>
          <w:rFonts w:hint="eastAsia"/>
        </w:rPr>
        <w:t>运营期主要污染工序</w:t>
      </w:r>
    </w:p>
    <w:p>
      <w:pPr>
        <w:ind w:firstLine="480"/>
        <w:jc w:val="both"/>
        <w:rPr>
          <w:rFonts w:hint="eastAsia"/>
          <w:color w:val="auto"/>
          <w:u w:val="none"/>
        </w:rPr>
      </w:pPr>
      <w:r>
        <w:rPr>
          <w:rFonts w:hint="eastAsia"/>
          <w:color w:val="auto"/>
          <w:kern w:val="0"/>
          <w:u w:val="none"/>
        </w:rPr>
        <w:t>本项目运营期采用的工艺为“</w:t>
      </w:r>
      <w:r>
        <w:rPr>
          <w:rFonts w:hint="eastAsia"/>
          <w:color w:val="auto"/>
          <w:u w:val="none"/>
          <w:lang w:eastAsia="zh-CN"/>
        </w:rPr>
        <w:t>格栅渠</w:t>
      </w:r>
      <w:r>
        <w:rPr>
          <w:rFonts w:hint="eastAsia"/>
          <w:color w:val="auto"/>
          <w:u w:val="none"/>
        </w:rPr>
        <w:t>→沉砂池→调节池→</w:t>
      </w:r>
      <w:r>
        <w:rPr>
          <w:rFonts w:hint="eastAsia"/>
          <w:color w:val="auto"/>
          <w:u w:val="none"/>
          <w:lang w:val="en-US" w:eastAsia="zh-CN"/>
        </w:rPr>
        <w:t>MBR一体化设备</w:t>
      </w:r>
      <w:r>
        <w:rPr>
          <w:rFonts w:hint="eastAsia"/>
          <w:color w:val="auto"/>
          <w:u w:val="none"/>
        </w:rPr>
        <w:t>→紫外消毒→</w:t>
      </w:r>
      <w:r>
        <w:rPr>
          <w:rFonts w:hint="eastAsia"/>
          <w:color w:val="auto"/>
          <w:u w:val="none"/>
          <w:lang w:eastAsia="zh-CN"/>
        </w:rPr>
        <w:t>清水池</w:t>
      </w:r>
      <w:r>
        <w:rPr>
          <w:rFonts w:hint="eastAsia"/>
          <w:color w:val="auto"/>
          <w:kern w:val="0"/>
          <w:u w:val="none"/>
        </w:rPr>
        <w:t>”处理工艺，详细工艺</w:t>
      </w:r>
      <w:r>
        <w:rPr>
          <w:rFonts w:hint="eastAsia"/>
          <w:color w:val="auto"/>
          <w:u w:val="none"/>
        </w:rPr>
        <w:t>流程见下图2.4</w:t>
      </w:r>
      <w:r>
        <w:rPr>
          <w:color w:val="auto"/>
          <w:u w:val="none"/>
        </w:rPr>
        <w:t>-3</w:t>
      </w:r>
      <w:r>
        <w:rPr>
          <w:rFonts w:hint="eastAsia"/>
          <w:color w:val="auto"/>
          <w:u w:val="none"/>
        </w:rPr>
        <w:t>。</w:t>
      </w:r>
    </w:p>
    <w:p>
      <w:pPr>
        <w:ind w:left="-360" w:leftChars="-150" w:firstLine="480"/>
        <w:jc w:val="center"/>
        <w:rPr>
          <w:rFonts w:hint="eastAsia"/>
          <w:color w:val="auto"/>
          <w:kern w:val="0"/>
          <w:u w:val="none"/>
        </w:rPr>
      </w:pPr>
      <w:r>
        <w:rPr>
          <w:color w:val="auto"/>
        </w:rPr>
        <w:object>
          <v:shape id="_x0000_i1028" o:spt="75" type="#_x0000_t75" style="height:478.25pt;width:391.3pt;" o:ole="t" filled="f" o:preferrelative="t" stroked="f" coordsize="21600,21600">
            <v:path/>
            <v:fill on="f" focussize="0,0"/>
            <v:stroke on="f"/>
            <v:imagedata r:id="rId39" o:title=""/>
            <o:lock v:ext="edit" aspectratio="t"/>
            <w10:wrap type="none"/>
            <w10:anchorlock/>
          </v:shape>
          <o:OLEObject Type="Embed" ProgID="Visio.Drawing.11" ShapeID="_x0000_i1028" DrawAspect="Content" ObjectID="_1468075728" r:id="rId38">
            <o:LockedField>false</o:LockedField>
          </o:OLEObject>
        </w:object>
      </w:r>
    </w:p>
    <w:p>
      <w:pPr>
        <w:ind w:left="-720" w:leftChars="-300" w:firstLine="422"/>
        <w:jc w:val="center"/>
        <w:rPr>
          <w:rFonts w:hint="eastAsia"/>
          <w:b/>
          <w:color w:val="auto"/>
          <w:kern w:val="0"/>
          <w:sz w:val="21"/>
          <w:szCs w:val="21"/>
          <w:u w:val="none"/>
        </w:rPr>
      </w:pPr>
      <w:r>
        <w:rPr>
          <w:rFonts w:hint="eastAsia"/>
          <w:b/>
          <w:color w:val="auto"/>
          <w:kern w:val="0"/>
          <w:sz w:val="21"/>
          <w:szCs w:val="21"/>
          <w:u w:val="none"/>
        </w:rPr>
        <w:t>图2.4</w:t>
      </w:r>
      <w:r>
        <w:rPr>
          <w:b/>
          <w:color w:val="auto"/>
          <w:kern w:val="0"/>
          <w:sz w:val="21"/>
          <w:szCs w:val="21"/>
          <w:u w:val="none"/>
        </w:rPr>
        <w:t xml:space="preserve">-3  </w:t>
      </w:r>
      <w:r>
        <w:rPr>
          <w:rFonts w:hint="eastAsia"/>
          <w:b/>
          <w:color w:val="auto"/>
          <w:kern w:val="0"/>
          <w:sz w:val="21"/>
          <w:szCs w:val="21"/>
          <w:u w:val="none"/>
          <w:lang w:eastAsia="zh-CN"/>
        </w:rPr>
        <w:t>永顺经济开发区猛洞河产业园</w:t>
      </w:r>
      <w:r>
        <w:rPr>
          <w:rFonts w:hint="eastAsia"/>
          <w:b/>
          <w:color w:val="auto"/>
          <w:kern w:val="0"/>
          <w:sz w:val="21"/>
          <w:szCs w:val="21"/>
          <w:u w:val="none"/>
        </w:rPr>
        <w:t>污水处理厂工艺流程及产污节点图</w:t>
      </w:r>
    </w:p>
    <w:p>
      <w:pPr>
        <w:pStyle w:val="31"/>
        <w:jc w:val="center"/>
        <w:rPr>
          <w:rFonts w:hint="eastAsia" w:eastAsia="宋体"/>
          <w:color w:val="auto"/>
          <w:lang w:eastAsia="zh-CN"/>
        </w:rPr>
      </w:pPr>
      <w:r>
        <w:rPr>
          <w:rFonts w:hint="eastAsia"/>
          <w:b/>
          <w:color w:val="auto"/>
          <w:kern w:val="0"/>
          <w:sz w:val="21"/>
          <w:szCs w:val="21"/>
          <w:u w:val="none"/>
          <w:lang w:eastAsia="zh-CN"/>
        </w:rPr>
        <w:t>（</w:t>
      </w:r>
      <w:r>
        <w:rPr>
          <w:rFonts w:hint="eastAsia"/>
          <w:b/>
          <w:color w:val="auto"/>
          <w:kern w:val="0"/>
          <w:sz w:val="21"/>
          <w:szCs w:val="21"/>
          <w:u w:val="none"/>
          <w:lang w:val="en-US" w:eastAsia="zh-CN"/>
        </w:rPr>
        <w:t>G：废气   S：固废   N：噪声</w:t>
      </w:r>
      <w:r>
        <w:rPr>
          <w:rFonts w:hint="eastAsia"/>
          <w:b/>
          <w:color w:val="auto"/>
          <w:kern w:val="0"/>
          <w:sz w:val="21"/>
          <w:szCs w:val="21"/>
          <w:u w:val="none"/>
          <w:lang w:eastAsia="zh-CN"/>
        </w:rPr>
        <w:t>）</w:t>
      </w:r>
    </w:p>
    <w:p>
      <w:pPr>
        <w:ind w:firstLine="480"/>
        <w:jc w:val="both"/>
        <w:rPr>
          <w:color w:val="auto"/>
          <w:u w:val="none"/>
        </w:rPr>
      </w:pPr>
      <w:r>
        <w:rPr>
          <w:rFonts w:hint="eastAsia"/>
          <w:color w:val="auto"/>
          <w:u w:val="none"/>
        </w:rPr>
        <w:t>工艺描述：园区各企业污水经企业自行预处理后，达到污水处理厂接管标准要求后，排入</w:t>
      </w:r>
      <w:r>
        <w:rPr>
          <w:rFonts w:hint="eastAsia"/>
          <w:color w:val="auto"/>
          <w:u w:val="none"/>
          <w:lang w:eastAsia="zh-CN"/>
        </w:rPr>
        <w:t>本项目纳污</w:t>
      </w:r>
      <w:r>
        <w:rPr>
          <w:rFonts w:hint="eastAsia"/>
          <w:color w:val="auto"/>
          <w:u w:val="none"/>
        </w:rPr>
        <w:t>管网</w:t>
      </w:r>
      <w:r>
        <w:rPr>
          <w:rFonts w:hint="eastAsia"/>
          <w:color w:val="auto"/>
          <w:u w:val="none"/>
          <w:lang w:eastAsia="zh-CN"/>
        </w:rPr>
        <w:t>，</w:t>
      </w:r>
      <w:r>
        <w:rPr>
          <w:rFonts w:hint="eastAsia"/>
          <w:color w:val="auto"/>
          <w:u w:val="none"/>
        </w:rPr>
        <w:t>由管网输送到本项目</w:t>
      </w:r>
      <w:r>
        <w:rPr>
          <w:rFonts w:hint="eastAsia"/>
          <w:color w:val="auto"/>
          <w:u w:val="none"/>
          <w:lang w:eastAsia="zh-CN"/>
        </w:rPr>
        <w:t>进水井</w:t>
      </w:r>
      <w:r>
        <w:rPr>
          <w:rFonts w:hint="eastAsia"/>
          <w:color w:val="auto"/>
          <w:u w:val="none"/>
        </w:rPr>
        <w:t>，</w:t>
      </w:r>
      <w:r>
        <w:rPr>
          <w:rFonts w:hint="eastAsia"/>
          <w:color w:val="auto"/>
          <w:spacing w:val="-3"/>
          <w:u w:val="none"/>
        </w:rPr>
        <w:t>达标污水经格栅</w:t>
      </w:r>
      <w:r>
        <w:rPr>
          <w:rFonts w:hint="eastAsia"/>
          <w:color w:val="auto"/>
          <w:spacing w:val="-3"/>
          <w:u w:val="none"/>
          <w:lang w:eastAsia="zh-CN"/>
        </w:rPr>
        <w:t>渠、</w:t>
      </w:r>
      <w:r>
        <w:rPr>
          <w:rFonts w:hint="eastAsia"/>
          <w:color w:val="auto"/>
          <w:spacing w:val="-3"/>
          <w:u w:val="none"/>
        </w:rPr>
        <w:t>沉砂池和</w:t>
      </w:r>
      <w:r>
        <w:rPr>
          <w:rFonts w:hint="eastAsia"/>
          <w:color w:val="auto"/>
          <w:spacing w:val="-4"/>
          <w:u w:val="none"/>
        </w:rPr>
        <w:t>调节池后进入生化处理系统。</w:t>
      </w:r>
      <w:r>
        <w:rPr>
          <w:rFonts w:hint="eastAsia"/>
          <w:color w:val="auto"/>
          <w:u w:val="none"/>
        </w:rPr>
        <w:t>生化处理后污水经紫外消毒</w:t>
      </w:r>
      <w:r>
        <w:rPr>
          <w:rFonts w:hint="eastAsia"/>
          <w:color w:val="auto"/>
          <w:u w:val="none"/>
          <w:lang w:eastAsia="zh-CN"/>
        </w:rPr>
        <w:t>后通过清水池</w:t>
      </w:r>
      <w:r>
        <w:rPr>
          <w:rFonts w:hint="eastAsia" w:ascii="宋体" w:hAnsi="宋体"/>
          <w:color w:val="auto"/>
          <w:kern w:val="0"/>
        </w:rPr>
        <w:t>经提升后达标排放</w:t>
      </w:r>
      <w:r>
        <w:rPr>
          <w:rFonts w:hint="eastAsia"/>
          <w:color w:val="auto"/>
          <w:u w:val="none"/>
        </w:rPr>
        <w:t>。主要污染物产生见图</w:t>
      </w:r>
      <w:r>
        <w:rPr>
          <w:color w:val="auto"/>
          <w:u w:val="none"/>
        </w:rPr>
        <w:t>2.</w:t>
      </w:r>
      <w:r>
        <w:rPr>
          <w:rFonts w:hint="eastAsia"/>
          <w:color w:val="auto"/>
          <w:u w:val="none"/>
        </w:rPr>
        <w:t>4</w:t>
      </w:r>
      <w:r>
        <w:rPr>
          <w:color w:val="auto"/>
          <w:u w:val="none"/>
        </w:rPr>
        <w:t>-3：</w:t>
      </w:r>
      <w:r>
        <w:rPr>
          <w:rFonts w:hint="eastAsia"/>
          <w:color w:val="auto"/>
          <w:u w:val="none"/>
          <w:lang w:eastAsia="zh-CN"/>
        </w:rPr>
        <w:t>永顺经济开发区猛洞河产业园</w:t>
      </w:r>
      <w:r>
        <w:rPr>
          <w:rFonts w:hint="eastAsia"/>
          <w:color w:val="auto"/>
          <w:u w:val="none"/>
        </w:rPr>
        <w:t>污水处理厂工艺流程及产污节点图。</w:t>
      </w:r>
    </w:p>
    <w:p>
      <w:pPr>
        <w:pStyle w:val="104"/>
        <w:ind w:firstLine="480"/>
        <w:jc w:val="both"/>
        <w:rPr>
          <w:rFonts w:ascii="Times New Roman" w:hAnsi="Times New Roman"/>
          <w:bCs/>
          <w:color w:val="auto"/>
          <w:szCs w:val="24"/>
          <w:u w:val="none"/>
        </w:rPr>
      </w:pPr>
      <w:r>
        <w:rPr>
          <w:rFonts w:hint="eastAsia" w:ascii="Times New Roman" w:hAnsi="Times New Roman"/>
          <w:color w:val="auto"/>
          <w:u w:val="none"/>
        </w:rPr>
        <w:t>本项目工程包括污水厂建设工程、管网铺设工程，由于项目特殊性，管道铺设</w:t>
      </w:r>
      <w:r>
        <w:rPr>
          <w:rFonts w:hint="eastAsia" w:ascii="Times New Roman" w:hAnsi="Times New Roman"/>
          <w:bCs/>
          <w:color w:val="auto"/>
          <w:szCs w:val="24"/>
          <w:u w:val="none"/>
        </w:rPr>
        <w:t>运营期主要表现为有利影响，如：管道铺设工程建设成功后，水环境质量有所提高及有利的社会环境影响，此外，环境污染较少，主要影响为管道清淤时产生的部分污泥，此部分污泥同于污水处理厂厂区污泥按《国家危险废物名录》、《危险废物鉴别技术规范》（HJ/T298-2007）和危险废物鉴别标准GB5085和GB5086及GB/T15555鉴别方法在建设项目竣工环保验收前进行毒性鉴别，根据毒性浸出结果决定最终处置方式。若为危废则交由有资质单位处置，若为一般固废，经</w:t>
      </w:r>
      <w:r>
        <w:rPr>
          <w:rFonts w:hint="eastAsia" w:ascii="Times New Roman" w:hAnsi="Times New Roman"/>
          <w:bCs/>
          <w:color w:val="auto"/>
          <w:szCs w:val="24"/>
          <w:u w:val="none"/>
          <w:lang w:eastAsia="zh-CN"/>
        </w:rPr>
        <w:t>叠螺式污泥脱水机</w:t>
      </w:r>
      <w:r>
        <w:rPr>
          <w:rFonts w:hint="eastAsia" w:ascii="Times New Roman" w:hAnsi="Times New Roman"/>
          <w:bCs/>
          <w:color w:val="auto"/>
          <w:szCs w:val="24"/>
          <w:u w:val="none"/>
        </w:rPr>
        <w:t>脱水后统一运至</w:t>
      </w:r>
      <w:r>
        <w:rPr>
          <w:rFonts w:hint="eastAsia" w:ascii="Times New Roman" w:hAnsi="Times New Roman"/>
          <w:bCs/>
          <w:color w:val="auto"/>
          <w:szCs w:val="24"/>
          <w:u w:val="none"/>
          <w:lang w:eastAsia="zh-CN"/>
        </w:rPr>
        <w:t>永顺县</w:t>
      </w:r>
      <w:r>
        <w:rPr>
          <w:rFonts w:hint="eastAsia" w:ascii="Times New Roman" w:hAnsi="Times New Roman"/>
          <w:bCs/>
          <w:color w:val="auto"/>
          <w:szCs w:val="24"/>
          <w:u w:val="none"/>
        </w:rPr>
        <w:t>生活垃圾填埋场填埋，使污泥最终达到无害化资源化处置。因此，本项目运营期主要针对污水处理厂投入运营后污染源强进行分析。</w:t>
      </w:r>
    </w:p>
    <w:p>
      <w:pPr>
        <w:pStyle w:val="6"/>
        <w:bidi w:val="0"/>
        <w:rPr>
          <w:rFonts w:hint="eastAsia"/>
        </w:rPr>
      </w:pPr>
      <w:r>
        <w:rPr>
          <w:rFonts w:hint="eastAsia"/>
        </w:rPr>
        <w:t>2.</w:t>
      </w:r>
      <w:r>
        <w:t>4.5</w:t>
      </w:r>
      <w:r>
        <w:rPr>
          <w:rFonts w:hint="eastAsia"/>
          <w:lang w:eastAsia="zh-CN"/>
        </w:rPr>
        <w:t>一期工程</w:t>
      </w:r>
      <w:r>
        <w:rPr>
          <w:rFonts w:hint="eastAsia"/>
        </w:rPr>
        <w:t>工程运营期污染源分析</w:t>
      </w:r>
    </w:p>
    <w:p>
      <w:pPr>
        <w:pStyle w:val="69"/>
        <w:rPr>
          <w:rFonts w:hint="eastAsia"/>
          <w:color w:val="auto"/>
          <w:u w:val="single"/>
        </w:rPr>
      </w:pPr>
      <w:r>
        <w:rPr>
          <w:rFonts w:hint="eastAsia"/>
          <w:color w:val="auto"/>
          <w:u w:val="single"/>
        </w:rPr>
        <w:t>2.4.</w:t>
      </w:r>
      <w:r>
        <w:rPr>
          <w:color w:val="auto"/>
          <w:u w:val="single"/>
        </w:rPr>
        <w:t>5</w:t>
      </w:r>
      <w:r>
        <w:rPr>
          <w:rFonts w:hint="eastAsia"/>
          <w:color w:val="auto"/>
          <w:u w:val="single"/>
        </w:rPr>
        <w:t>.1水污染物</w:t>
      </w:r>
    </w:p>
    <w:p>
      <w:pPr>
        <w:ind w:firstLine="480"/>
        <w:jc w:val="both"/>
        <w:rPr>
          <w:color w:val="auto"/>
          <w:u w:val="single"/>
        </w:rPr>
      </w:pPr>
      <w:r>
        <w:rPr>
          <w:rFonts w:hint="eastAsia"/>
          <w:color w:val="auto"/>
          <w:u w:val="single"/>
          <w:lang w:eastAsia="zh-CN"/>
        </w:rPr>
        <w:t>湖南永顺经济开发区猛洞河产业园污水处理厂建设项目一期</w:t>
      </w:r>
      <w:r>
        <w:rPr>
          <w:color w:val="auto"/>
          <w:u w:val="single"/>
        </w:rPr>
        <w:t>建设规模为</w:t>
      </w:r>
      <w:r>
        <w:rPr>
          <w:rFonts w:hint="eastAsia"/>
          <w:color w:val="auto"/>
          <w:u w:val="single"/>
          <w:lang w:val="en-US" w:eastAsia="zh-CN"/>
        </w:rPr>
        <w:t>400</w:t>
      </w:r>
      <w:r>
        <w:rPr>
          <w:color w:val="auto"/>
          <w:u w:val="single"/>
        </w:rPr>
        <w:t>m</w:t>
      </w:r>
      <w:r>
        <w:rPr>
          <w:rFonts w:hint="eastAsia"/>
          <w:color w:val="auto"/>
          <w:u w:val="single"/>
          <w:vertAlign w:val="superscript"/>
        </w:rPr>
        <w:t>3</w:t>
      </w:r>
      <w:r>
        <w:rPr>
          <w:color w:val="auto"/>
          <w:u w:val="single"/>
        </w:rPr>
        <w:t>/d，污水处理厂的处理对象是</w:t>
      </w:r>
      <w:r>
        <w:rPr>
          <w:rFonts w:hint="eastAsia"/>
          <w:color w:val="auto"/>
          <w:u w:val="single"/>
          <w:lang w:eastAsia="zh-CN"/>
        </w:rPr>
        <w:t>永顺经济开发区猛洞河产业园园区内的企事业污水</w:t>
      </w:r>
      <w:r>
        <w:rPr>
          <w:color w:val="auto"/>
          <w:u w:val="single"/>
        </w:rPr>
        <w:t>，同时在污水处理过程中</w:t>
      </w:r>
      <w:r>
        <w:rPr>
          <w:rFonts w:hint="eastAsia"/>
          <w:color w:val="auto"/>
          <w:u w:val="single"/>
          <w:lang w:eastAsia="zh-CN"/>
        </w:rPr>
        <w:t>本项目</w:t>
      </w:r>
      <w:r>
        <w:rPr>
          <w:color w:val="auto"/>
          <w:u w:val="single"/>
        </w:rPr>
        <w:t>也会产生一些废水，包括厂内生活污水和污泥脱水分离出来的污水</w:t>
      </w:r>
      <w:r>
        <w:rPr>
          <w:rFonts w:hint="eastAsia"/>
          <w:color w:val="auto"/>
          <w:u w:val="single"/>
        </w:rPr>
        <w:t>、</w:t>
      </w:r>
      <w:r>
        <w:rPr>
          <w:rFonts w:hint="eastAsia"/>
          <w:color w:val="auto"/>
          <w:u w:val="single"/>
          <w:lang w:eastAsia="zh-CN"/>
        </w:rPr>
        <w:t>设备</w:t>
      </w:r>
      <w:r>
        <w:rPr>
          <w:rFonts w:hint="eastAsia"/>
          <w:color w:val="auto"/>
          <w:u w:val="single"/>
        </w:rPr>
        <w:t>冲洗废水。</w:t>
      </w:r>
    </w:p>
    <w:p>
      <w:pPr>
        <w:ind w:firstLine="480"/>
        <w:jc w:val="both"/>
        <w:rPr>
          <w:rFonts w:hint="eastAsia"/>
          <w:color w:val="auto"/>
          <w:u w:val="single"/>
        </w:rPr>
      </w:pPr>
      <w:r>
        <w:rPr>
          <w:rFonts w:hint="eastAsia"/>
          <w:color w:val="auto"/>
          <w:u w:val="single"/>
        </w:rPr>
        <w:t>（1）生活废水</w:t>
      </w:r>
    </w:p>
    <w:p>
      <w:pPr>
        <w:ind w:firstLine="480"/>
        <w:jc w:val="both"/>
        <w:rPr>
          <w:color w:val="auto"/>
          <w:u w:val="single"/>
        </w:rPr>
      </w:pPr>
      <w:r>
        <w:rPr>
          <w:rFonts w:hint="eastAsia"/>
          <w:color w:val="auto"/>
          <w:u w:val="single"/>
          <w:lang w:eastAsia="zh-CN"/>
        </w:rPr>
        <w:t>一期工程</w:t>
      </w:r>
      <w:r>
        <w:rPr>
          <w:color w:val="auto"/>
          <w:u w:val="single"/>
        </w:rPr>
        <w:t>劳动定员</w:t>
      </w:r>
      <w:r>
        <w:rPr>
          <w:rFonts w:hint="eastAsia"/>
          <w:color w:val="auto"/>
          <w:u w:val="single"/>
          <w:lang w:val="en-US" w:eastAsia="zh-CN"/>
        </w:rPr>
        <w:t>5</w:t>
      </w:r>
      <w:r>
        <w:rPr>
          <w:color w:val="auto"/>
          <w:u w:val="single"/>
        </w:rPr>
        <w:t>人，人均用水量按145L/人·d计，生活污水产生指数为0.85，核算本项目员工生活污水产生量为</w:t>
      </w:r>
      <w:r>
        <w:rPr>
          <w:rFonts w:hint="eastAsia"/>
          <w:color w:val="auto"/>
          <w:u w:val="single"/>
          <w:lang w:val="en-US" w:eastAsia="zh-CN"/>
        </w:rPr>
        <w:t>0.6163</w:t>
      </w:r>
      <w:r>
        <w:rPr>
          <w:color w:val="auto"/>
          <w:u w:val="single"/>
        </w:rPr>
        <w:t>m</w:t>
      </w:r>
      <w:r>
        <w:rPr>
          <w:rFonts w:hint="eastAsia"/>
          <w:color w:val="auto"/>
          <w:u w:val="single"/>
          <w:vertAlign w:val="superscript"/>
        </w:rPr>
        <w:t>3</w:t>
      </w:r>
      <w:r>
        <w:rPr>
          <w:color w:val="auto"/>
          <w:u w:val="single"/>
        </w:rPr>
        <w:t>/d</w:t>
      </w:r>
      <w:r>
        <w:rPr>
          <w:rFonts w:hint="eastAsia"/>
          <w:color w:val="auto"/>
          <w:u w:val="single"/>
          <w:lang w:eastAsia="zh-CN"/>
        </w:rPr>
        <w:t>（</w:t>
      </w:r>
      <w:r>
        <w:rPr>
          <w:rFonts w:hint="eastAsia"/>
          <w:color w:val="auto"/>
          <w:u w:val="single"/>
          <w:lang w:val="en-US" w:eastAsia="zh-CN"/>
        </w:rPr>
        <w:t>224.9313</w:t>
      </w:r>
      <w:r>
        <w:rPr>
          <w:color w:val="auto"/>
          <w:u w:val="single"/>
        </w:rPr>
        <w:t>m</w:t>
      </w:r>
      <w:r>
        <w:rPr>
          <w:rFonts w:hint="eastAsia"/>
          <w:color w:val="auto"/>
          <w:u w:val="single"/>
          <w:vertAlign w:val="superscript"/>
        </w:rPr>
        <w:t>3</w:t>
      </w:r>
      <w:r>
        <w:rPr>
          <w:rFonts w:hint="eastAsia"/>
          <w:color w:val="auto"/>
          <w:u w:val="single"/>
          <w:lang w:val="en-US" w:eastAsia="zh-CN"/>
        </w:rPr>
        <w:t>/d</w:t>
      </w:r>
      <w:r>
        <w:rPr>
          <w:rFonts w:hint="eastAsia"/>
          <w:color w:val="auto"/>
          <w:u w:val="single"/>
          <w:lang w:eastAsia="zh-CN"/>
        </w:rPr>
        <w:t>）</w:t>
      </w:r>
      <w:r>
        <w:rPr>
          <w:rFonts w:hint="eastAsia"/>
          <w:color w:val="auto"/>
          <w:u w:val="single"/>
        </w:rPr>
        <w:t>。</w:t>
      </w:r>
      <w:r>
        <w:rPr>
          <w:color w:val="auto"/>
          <w:u w:val="single"/>
        </w:rPr>
        <w:t>主要污染物为COD、BOD</w:t>
      </w:r>
      <w:r>
        <w:rPr>
          <w:color w:val="auto"/>
          <w:u w:val="single"/>
          <w:vertAlign w:val="subscript"/>
        </w:rPr>
        <w:t>5</w:t>
      </w:r>
      <w:r>
        <w:rPr>
          <w:color w:val="auto"/>
          <w:u w:val="single"/>
        </w:rPr>
        <w:t>、SS、氨氮等</w:t>
      </w:r>
      <w:r>
        <w:rPr>
          <w:rFonts w:hint="eastAsia"/>
          <w:color w:val="auto"/>
          <w:u w:val="single"/>
        </w:rPr>
        <w:t>，生活废水</w:t>
      </w:r>
      <w:r>
        <w:rPr>
          <w:color w:val="auto"/>
          <w:u w:val="single"/>
        </w:rPr>
        <w:t>排入污水处理系统。</w:t>
      </w:r>
    </w:p>
    <w:p>
      <w:pPr>
        <w:ind w:firstLine="480"/>
        <w:jc w:val="both"/>
        <w:rPr>
          <w:color w:val="auto"/>
          <w:u w:val="single"/>
        </w:rPr>
      </w:pPr>
      <w:r>
        <w:rPr>
          <w:rFonts w:hint="eastAsia"/>
          <w:color w:val="auto"/>
          <w:u w:val="single"/>
        </w:rPr>
        <w:t>（2）生产废水</w:t>
      </w:r>
    </w:p>
    <w:p>
      <w:pPr>
        <w:ind w:firstLine="480"/>
        <w:jc w:val="both"/>
        <w:rPr>
          <w:color w:val="auto"/>
          <w:u w:val="single"/>
        </w:rPr>
      </w:pPr>
      <w:r>
        <w:rPr>
          <w:rFonts w:hint="eastAsia"/>
          <w:color w:val="auto"/>
          <w:u w:val="none"/>
        </w:rPr>
        <w:t>①</w:t>
      </w:r>
      <w:r>
        <w:rPr>
          <w:color w:val="auto"/>
          <w:u w:val="none"/>
        </w:rPr>
        <w:t>配制药剂：</w:t>
      </w:r>
      <w:r>
        <w:rPr>
          <w:rFonts w:hint="eastAsia"/>
          <w:color w:val="auto"/>
          <w:u w:val="none"/>
        </w:rPr>
        <w:t>本项目设有自动加药装置，</w:t>
      </w:r>
      <w:r>
        <w:rPr>
          <w:color w:val="auto"/>
          <w:u w:val="none"/>
        </w:rPr>
        <w:t>用水量约为</w:t>
      </w:r>
      <w:r>
        <w:rPr>
          <w:rFonts w:hint="eastAsia"/>
          <w:color w:val="auto"/>
          <w:u w:val="none"/>
          <w:lang w:val="en-US" w:eastAsia="zh-CN"/>
        </w:rPr>
        <w:t>0.30</w:t>
      </w:r>
      <w:r>
        <w:rPr>
          <w:color w:val="auto"/>
          <w:u w:val="none"/>
        </w:rPr>
        <w:t>m</w:t>
      </w:r>
      <w:r>
        <w:rPr>
          <w:color w:val="auto"/>
          <w:u w:val="none"/>
          <w:vertAlign w:val="superscript"/>
        </w:rPr>
        <w:t>3</w:t>
      </w:r>
      <w:r>
        <w:rPr>
          <w:color w:val="auto"/>
          <w:u w:val="none"/>
        </w:rPr>
        <w:t>/d（</w:t>
      </w:r>
      <w:r>
        <w:rPr>
          <w:rFonts w:hint="eastAsia"/>
          <w:color w:val="auto"/>
          <w:u w:val="none"/>
          <w:lang w:val="en-US" w:eastAsia="zh-CN"/>
        </w:rPr>
        <w:t>109.50</w:t>
      </w:r>
      <w:r>
        <w:rPr>
          <w:color w:val="auto"/>
          <w:u w:val="none"/>
        </w:rPr>
        <w:t>m</w:t>
      </w:r>
      <w:r>
        <w:rPr>
          <w:color w:val="auto"/>
          <w:u w:val="none"/>
          <w:vertAlign w:val="superscript"/>
        </w:rPr>
        <w:t>3</w:t>
      </w:r>
      <w:r>
        <w:rPr>
          <w:color w:val="auto"/>
          <w:u w:val="none"/>
        </w:rPr>
        <w:t>/a），采用新鲜水</w:t>
      </w:r>
      <w:r>
        <w:rPr>
          <w:rFonts w:hint="eastAsia"/>
          <w:color w:val="auto"/>
          <w:u w:val="none"/>
        </w:rPr>
        <w:t>，</w:t>
      </w:r>
      <w:r>
        <w:rPr>
          <w:color w:val="auto"/>
          <w:u w:val="none"/>
        </w:rPr>
        <w:t>进入污水处理系统处理，不外排。</w:t>
      </w:r>
    </w:p>
    <w:p>
      <w:pPr>
        <w:ind w:firstLine="480"/>
        <w:jc w:val="both"/>
        <w:rPr>
          <w:color w:val="auto"/>
          <w:u w:val="none"/>
        </w:rPr>
      </w:pPr>
      <w:r>
        <w:rPr>
          <w:rFonts w:hint="eastAsia"/>
          <w:color w:val="auto"/>
          <w:u w:val="none"/>
          <w:lang w:eastAsia="zh-CN"/>
        </w:rPr>
        <w:t>②</w:t>
      </w:r>
      <w:r>
        <w:rPr>
          <w:color w:val="auto"/>
          <w:u w:val="none"/>
        </w:rPr>
        <w:t>污泥脱水分离的污水</w:t>
      </w:r>
    </w:p>
    <w:p>
      <w:pPr>
        <w:ind w:firstLine="480"/>
        <w:jc w:val="both"/>
        <w:rPr>
          <w:color w:val="auto"/>
          <w:u w:val="single"/>
        </w:rPr>
      </w:pPr>
      <w:r>
        <w:rPr>
          <w:rFonts w:hint="eastAsia"/>
          <w:u w:val="single"/>
          <w:lang w:eastAsia="zh-CN"/>
        </w:rPr>
        <w:t>根据固废产生量核算，一期工程污泥脱水产生的污泥脱水废水为</w:t>
      </w:r>
      <w:r>
        <w:rPr>
          <w:rFonts w:hint="eastAsia"/>
          <w:u w:val="single"/>
          <w:lang w:val="en-US" w:eastAsia="zh-CN"/>
        </w:rPr>
        <w:t>135.8kg/d。</w:t>
      </w:r>
      <w:r>
        <w:rPr>
          <w:rFonts w:hint="eastAsia"/>
          <w:color w:val="000000"/>
          <w:kern w:val="0"/>
          <w:u w:val="single"/>
        </w:rPr>
        <w:t>污泥脱水分离的污水均来源于自身污水处理系统</w:t>
      </w:r>
      <w:r>
        <w:rPr>
          <w:rFonts w:hint="eastAsia"/>
          <w:color w:val="000000"/>
          <w:kern w:val="0"/>
          <w:u w:val="single"/>
          <w:lang w:eastAsia="zh-CN"/>
        </w:rPr>
        <w:t>，脱泥水进入调节池，</w:t>
      </w:r>
      <w:r>
        <w:rPr>
          <w:rFonts w:hint="eastAsia"/>
          <w:color w:val="000000"/>
          <w:kern w:val="0"/>
          <w:u w:val="single"/>
        </w:rPr>
        <w:t>可直接排入本项目处理</w:t>
      </w:r>
      <w:r>
        <w:rPr>
          <w:rFonts w:hint="eastAsia"/>
          <w:color w:val="auto"/>
          <w:kern w:val="0"/>
          <w:u w:val="none"/>
        </w:rPr>
        <w:t>。</w:t>
      </w:r>
    </w:p>
    <w:p>
      <w:pPr>
        <w:ind w:firstLine="480"/>
        <w:jc w:val="both"/>
        <w:rPr>
          <w:rFonts w:hint="eastAsia"/>
          <w:color w:val="auto"/>
          <w:u w:val="single"/>
        </w:rPr>
      </w:pPr>
      <w:r>
        <w:rPr>
          <w:rFonts w:hint="eastAsia"/>
          <w:color w:val="auto"/>
          <w:u w:val="single"/>
          <w:lang w:eastAsia="zh-CN"/>
        </w:rPr>
        <w:t>③</w:t>
      </w:r>
      <w:r>
        <w:rPr>
          <w:rFonts w:hint="eastAsia"/>
          <w:color w:val="auto"/>
          <w:u w:val="single"/>
        </w:rPr>
        <w:t>设备冲洗水：需要定期冲洗</w:t>
      </w:r>
      <w:r>
        <w:rPr>
          <w:rFonts w:hint="eastAsia"/>
          <w:color w:val="auto"/>
          <w:u w:val="single"/>
          <w:lang w:eastAsia="zh-CN"/>
        </w:rPr>
        <w:t>叠螺污泥脱水</w:t>
      </w:r>
      <w:r>
        <w:rPr>
          <w:rFonts w:hint="eastAsia"/>
          <w:color w:val="auto"/>
          <w:u w:val="single"/>
        </w:rPr>
        <w:t>机、药液搅拌机、</w:t>
      </w:r>
      <w:r>
        <w:rPr>
          <w:rFonts w:hint="eastAsia"/>
          <w:color w:val="auto"/>
          <w:u w:val="single"/>
          <w:lang w:val="en-US" w:eastAsia="zh-CN"/>
        </w:rPr>
        <w:t>MBR膜在线清洗装置</w:t>
      </w:r>
      <w:r>
        <w:rPr>
          <w:rFonts w:hint="eastAsia"/>
          <w:color w:val="auto"/>
          <w:u w:val="single"/>
        </w:rPr>
        <w:t>等设备，对比同类报告，设备冲洗水使用量约</w:t>
      </w:r>
      <w:r>
        <w:rPr>
          <w:rFonts w:hint="eastAsia"/>
          <w:color w:val="auto"/>
          <w:u w:val="single"/>
          <w:lang w:val="en-US" w:eastAsia="zh-CN"/>
        </w:rPr>
        <w:t>0.50</w:t>
      </w:r>
      <w:r>
        <w:rPr>
          <w:rFonts w:hint="eastAsia"/>
          <w:color w:val="auto"/>
          <w:u w:val="single"/>
        </w:rPr>
        <w:t>m</w:t>
      </w:r>
      <w:r>
        <w:rPr>
          <w:rFonts w:hint="eastAsia"/>
          <w:color w:val="auto"/>
          <w:u w:val="single"/>
          <w:vertAlign w:val="superscript"/>
        </w:rPr>
        <w:t>3</w:t>
      </w:r>
      <w:r>
        <w:rPr>
          <w:rFonts w:hint="eastAsia"/>
          <w:color w:val="auto"/>
          <w:u w:val="single"/>
        </w:rPr>
        <w:t>/d，年耗水量约</w:t>
      </w:r>
      <w:r>
        <w:rPr>
          <w:rFonts w:hint="eastAsia"/>
          <w:color w:val="auto"/>
          <w:u w:val="single"/>
          <w:lang w:val="en-US" w:eastAsia="zh-CN"/>
        </w:rPr>
        <w:t>182.5t</w:t>
      </w:r>
      <w:r>
        <w:rPr>
          <w:rFonts w:hint="eastAsia"/>
          <w:color w:val="auto"/>
          <w:u w:val="single"/>
          <w:lang w:eastAsia="zh-CN"/>
        </w:rPr>
        <w:t>，</w:t>
      </w:r>
      <w:r>
        <w:rPr>
          <w:rFonts w:hint="eastAsia"/>
          <w:color w:val="auto"/>
          <w:u w:val="single"/>
        </w:rPr>
        <w:t>设备冲洗</w:t>
      </w:r>
      <w:r>
        <w:rPr>
          <w:rFonts w:hint="eastAsia"/>
          <w:color w:val="auto"/>
          <w:u w:val="single"/>
          <w:lang w:eastAsia="zh-CN"/>
        </w:rPr>
        <w:t>废</w:t>
      </w:r>
      <w:r>
        <w:rPr>
          <w:rFonts w:hint="eastAsia"/>
          <w:color w:val="auto"/>
          <w:u w:val="single"/>
        </w:rPr>
        <w:t>水</w:t>
      </w:r>
      <w:r>
        <w:rPr>
          <w:rFonts w:hint="eastAsia"/>
          <w:color w:val="auto"/>
          <w:u w:val="single"/>
          <w:lang w:eastAsia="zh-CN"/>
        </w:rPr>
        <w:t>产生指数为0.85，故本项目设备冲洗废水产生量为</w:t>
      </w:r>
      <w:r>
        <w:rPr>
          <w:rFonts w:hint="eastAsia"/>
          <w:color w:val="auto"/>
          <w:u w:val="single"/>
          <w:lang w:val="en-US" w:eastAsia="zh-CN"/>
        </w:rPr>
        <w:t>0.4250</w:t>
      </w:r>
      <w:r>
        <w:rPr>
          <w:color w:val="auto"/>
          <w:u w:val="single"/>
        </w:rPr>
        <w:t>m</w:t>
      </w:r>
      <w:r>
        <w:rPr>
          <w:rFonts w:hint="eastAsia"/>
          <w:color w:val="auto"/>
          <w:u w:val="single"/>
          <w:vertAlign w:val="superscript"/>
        </w:rPr>
        <w:t>3</w:t>
      </w:r>
      <w:r>
        <w:rPr>
          <w:color w:val="auto"/>
          <w:u w:val="single"/>
        </w:rPr>
        <w:t>/d</w:t>
      </w:r>
      <w:r>
        <w:rPr>
          <w:rFonts w:hint="eastAsia"/>
          <w:color w:val="auto"/>
          <w:u w:val="single"/>
          <w:lang w:eastAsia="zh-CN"/>
        </w:rPr>
        <w:t>（</w:t>
      </w:r>
      <w:r>
        <w:rPr>
          <w:rFonts w:hint="eastAsia"/>
          <w:color w:val="auto"/>
          <w:u w:val="single"/>
          <w:lang w:val="en-US" w:eastAsia="zh-CN"/>
        </w:rPr>
        <w:t>155.1250</w:t>
      </w:r>
      <w:r>
        <w:rPr>
          <w:color w:val="auto"/>
          <w:u w:val="single"/>
        </w:rPr>
        <w:t>m</w:t>
      </w:r>
      <w:r>
        <w:rPr>
          <w:rFonts w:hint="eastAsia"/>
          <w:color w:val="auto"/>
          <w:u w:val="single"/>
          <w:vertAlign w:val="superscript"/>
        </w:rPr>
        <w:t>3</w:t>
      </w:r>
      <w:r>
        <w:rPr>
          <w:rFonts w:hint="eastAsia"/>
          <w:color w:val="auto"/>
          <w:u w:val="single"/>
          <w:lang w:val="en-US" w:eastAsia="zh-CN"/>
        </w:rPr>
        <w:t>/d</w:t>
      </w:r>
      <w:r>
        <w:rPr>
          <w:rFonts w:hint="eastAsia"/>
          <w:color w:val="auto"/>
          <w:u w:val="single"/>
          <w:lang w:eastAsia="zh-CN"/>
        </w:rPr>
        <w:t>）</w:t>
      </w:r>
      <w:r>
        <w:rPr>
          <w:rFonts w:hint="eastAsia"/>
          <w:color w:val="auto"/>
          <w:u w:val="single"/>
        </w:rPr>
        <w:t>。</w:t>
      </w:r>
    </w:p>
    <w:p>
      <w:pPr>
        <w:ind w:firstLine="480"/>
        <w:jc w:val="both"/>
        <w:rPr>
          <w:color w:val="auto"/>
          <w:u w:val="none"/>
        </w:rPr>
      </w:pPr>
      <w:r>
        <w:rPr>
          <w:rFonts w:hint="eastAsia"/>
          <w:color w:val="auto"/>
          <w:u w:val="none"/>
        </w:rPr>
        <w:t>本项目属于区域污水治理工程，其目的是保护当地水环境质量、减少污染物的排放量，但工程建成后仍存在一定程度的污染物排放。项目水平衡图见下图。</w:t>
      </w:r>
    </w:p>
    <w:p>
      <w:pPr>
        <w:ind w:firstLine="0" w:firstLineChars="0"/>
        <w:jc w:val="center"/>
        <w:rPr>
          <w:rFonts w:hint="eastAsia"/>
          <w:color w:val="auto"/>
          <w:u w:val="none"/>
        </w:rPr>
      </w:pPr>
      <w:r>
        <w:rPr>
          <w:rFonts w:hint="eastAsia"/>
          <w:b/>
          <w:color w:val="auto"/>
          <w:kern w:val="0"/>
          <w:sz w:val="21"/>
          <w:szCs w:val="21"/>
          <w:u w:val="none"/>
        </w:rPr>
        <w:drawing>
          <wp:inline distT="0" distB="0" distL="114300" distR="114300">
            <wp:extent cx="5236845" cy="2400935"/>
            <wp:effectExtent l="0" t="0" r="0" b="0"/>
            <wp:docPr id="5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CB019B1-382A-4266-B25C-5B523AA43C14-1" descr="wps"/>
                    <pic:cNvPicPr>
                      <a:picLocks noChangeAspect="1"/>
                    </pic:cNvPicPr>
                  </pic:nvPicPr>
                  <pic:blipFill>
                    <a:blip r:embed="rId40"/>
                    <a:stretch>
                      <a:fillRect/>
                    </a:stretch>
                  </pic:blipFill>
                  <pic:spPr>
                    <a:xfrm>
                      <a:off x="0" y="0"/>
                      <a:ext cx="5236845" cy="2400935"/>
                    </a:xfrm>
                    <a:prstGeom prst="rect">
                      <a:avLst/>
                    </a:prstGeom>
                  </pic:spPr>
                </pic:pic>
              </a:graphicData>
            </a:graphic>
          </wp:inline>
        </w:drawing>
      </w:r>
      <w:r>
        <w:rPr>
          <w:rFonts w:hint="eastAsia"/>
          <w:b/>
          <w:color w:val="auto"/>
          <w:kern w:val="0"/>
          <w:sz w:val="21"/>
          <w:szCs w:val="21"/>
          <w:u w:val="none"/>
        </w:rPr>
        <w:t>图2.4</w:t>
      </w:r>
      <w:r>
        <w:rPr>
          <w:b/>
          <w:color w:val="auto"/>
          <w:kern w:val="0"/>
          <w:sz w:val="21"/>
          <w:szCs w:val="21"/>
          <w:u w:val="none"/>
        </w:rPr>
        <w:t xml:space="preserve">-4  </w:t>
      </w:r>
      <w:r>
        <w:rPr>
          <w:rFonts w:hint="eastAsia"/>
          <w:b/>
          <w:color w:val="auto"/>
          <w:kern w:val="0"/>
          <w:sz w:val="21"/>
          <w:szCs w:val="21"/>
          <w:u w:val="none"/>
        </w:rPr>
        <w:t>项目</w:t>
      </w:r>
      <w:r>
        <w:rPr>
          <w:rFonts w:hint="eastAsia"/>
          <w:b/>
          <w:color w:val="auto"/>
          <w:kern w:val="0"/>
          <w:sz w:val="21"/>
          <w:szCs w:val="21"/>
          <w:u w:val="none"/>
          <w:lang w:eastAsia="zh-CN"/>
        </w:rPr>
        <w:t>一期工程</w:t>
      </w:r>
      <w:r>
        <w:rPr>
          <w:rFonts w:hint="eastAsia"/>
          <w:b/>
          <w:color w:val="auto"/>
          <w:kern w:val="0"/>
          <w:sz w:val="21"/>
          <w:szCs w:val="21"/>
          <w:u w:val="none"/>
        </w:rPr>
        <w:t>水平衡图 （t</w:t>
      </w:r>
      <w:r>
        <w:rPr>
          <w:b/>
          <w:color w:val="auto"/>
          <w:kern w:val="0"/>
          <w:sz w:val="21"/>
          <w:szCs w:val="21"/>
          <w:u w:val="none"/>
        </w:rPr>
        <w:t>/</w:t>
      </w:r>
      <w:r>
        <w:rPr>
          <w:rFonts w:hint="eastAsia"/>
          <w:b/>
          <w:color w:val="auto"/>
          <w:kern w:val="0"/>
          <w:sz w:val="21"/>
          <w:szCs w:val="21"/>
          <w:u w:val="none"/>
          <w:lang w:val="en-US" w:eastAsia="zh-CN"/>
        </w:rPr>
        <w:t>a</w:t>
      </w:r>
      <w:r>
        <w:rPr>
          <w:rFonts w:hint="eastAsia"/>
          <w:b/>
          <w:color w:val="auto"/>
          <w:kern w:val="0"/>
          <w:sz w:val="21"/>
          <w:szCs w:val="21"/>
          <w:u w:val="none"/>
        </w:rPr>
        <w:t>）</w:t>
      </w:r>
    </w:p>
    <w:p>
      <w:pPr>
        <w:pStyle w:val="3"/>
        <w:wordWrap w:val="0"/>
        <w:spacing w:before="15"/>
        <w:ind w:left="0" w:right="284" w:firstLine="480" w:firstLineChars="200"/>
        <w:jc w:val="both"/>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本项目运营后将使污水中的主要污染物</w:t>
      </w:r>
      <w:r>
        <w:rPr>
          <w:rFonts w:ascii="Times New Roman" w:hAnsi="Times New Roman" w:cs="Times New Roman"/>
          <w:color w:val="auto"/>
          <w:u w:val="none"/>
          <w:lang w:eastAsia="zh-CN"/>
        </w:rPr>
        <w:t>BOD</w:t>
      </w:r>
      <w:r>
        <w:rPr>
          <w:rFonts w:hint="eastAsia" w:ascii="Times New Roman" w:hAnsi="Times New Roman" w:cs="Times New Roman"/>
          <w:color w:val="auto"/>
          <w:u w:val="none"/>
          <w:vertAlign w:val="subscript"/>
          <w:lang w:eastAsia="zh-CN"/>
        </w:rPr>
        <w:t>5</w:t>
      </w:r>
      <w:r>
        <w:rPr>
          <w:rFonts w:ascii="Times New Roman" w:hAnsi="Times New Roman" w:cs="Times New Roman"/>
          <w:color w:val="auto"/>
          <w:u w:val="none"/>
          <w:lang w:eastAsia="zh-CN"/>
        </w:rPr>
        <w:t>、CODcr、SS、</w:t>
      </w:r>
      <w:r>
        <w:rPr>
          <w:rFonts w:hint="eastAsia" w:ascii="Times New Roman" w:hAnsi="Times New Roman" w:cs="Times New Roman"/>
          <w:color w:val="auto"/>
          <w:u w:val="none"/>
          <w:lang w:eastAsia="zh-CN"/>
        </w:rPr>
        <w:t>NH</w:t>
      </w:r>
      <w:r>
        <w:rPr>
          <w:rFonts w:hint="eastAsia" w:ascii="Times New Roman" w:hAnsi="Times New Roman" w:cs="Times New Roman"/>
          <w:color w:val="auto"/>
          <w:u w:val="none"/>
          <w:vertAlign w:val="subscript"/>
          <w:lang w:eastAsia="zh-CN"/>
        </w:rPr>
        <w:t>3</w:t>
      </w:r>
      <w:r>
        <w:rPr>
          <w:rFonts w:hint="eastAsia" w:ascii="Times New Roman" w:hAnsi="Times New Roman" w:cs="Times New Roman"/>
          <w:color w:val="auto"/>
          <w:u w:val="none"/>
          <w:lang w:eastAsia="zh-CN"/>
        </w:rPr>
        <w:t>-N</w:t>
      </w:r>
      <w:r>
        <w:rPr>
          <w:rFonts w:ascii="Times New Roman" w:hAnsi="Times New Roman" w:cs="Times New Roman"/>
          <w:color w:val="auto"/>
          <w:u w:val="none"/>
          <w:lang w:eastAsia="zh-CN"/>
        </w:rPr>
        <w:t>、TN、TP</w:t>
      </w:r>
      <w:r>
        <w:rPr>
          <w:rFonts w:hint="eastAsia" w:ascii="Times New Roman" w:hAnsi="Times New Roman" w:cs="Times New Roman"/>
          <w:color w:val="auto"/>
          <w:u w:val="none"/>
          <w:lang w:eastAsia="zh-CN"/>
        </w:rPr>
        <w:t>、石油类、动植物油</w:t>
      </w:r>
      <w:r>
        <w:rPr>
          <w:rFonts w:ascii="Times New Roman" w:hAnsi="Times New Roman" w:cs="Times New Roman"/>
          <w:color w:val="auto"/>
          <w:u w:val="none"/>
          <w:lang w:eastAsia="zh-CN"/>
        </w:rPr>
        <w:t>均得到不同程度地削减，</w:t>
      </w:r>
      <w:r>
        <w:rPr>
          <w:rFonts w:hint="eastAsia" w:ascii="Times New Roman" w:hAnsi="Times New Roman" w:cs="Times New Roman"/>
          <w:color w:val="auto"/>
          <w:u w:val="none"/>
          <w:lang w:eastAsia="zh-CN"/>
        </w:rPr>
        <w:t>处理后污水排放至猛洞河，本次削减计算处理前污水污染物浓度参照设计进水浓度进行初步预测，处理后浓度满足《城镇污水处理厂污染物排放标准》（GB18918-2002）一级A</w:t>
      </w:r>
      <w:r>
        <w:rPr>
          <w:rFonts w:hint="eastAsia" w:ascii="Times New Roman" w:hAnsi="Times New Roman"/>
          <w:color w:val="auto"/>
        </w:rPr>
        <w:t>标准</w:t>
      </w: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CODcr</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50</w:t>
      </w:r>
      <w:r>
        <w:rPr>
          <w:rFonts w:ascii="Times New Roman" w:hAnsi="Times New Roman" w:cs="Times New Roman"/>
          <w:color w:val="auto"/>
          <w:u w:val="none"/>
          <w:lang w:eastAsia="zh-CN"/>
        </w:rPr>
        <w:t>mg/L、BOD</w:t>
      </w:r>
      <w:r>
        <w:rPr>
          <w:rFonts w:hint="eastAsia" w:ascii="Times New Roman" w:hAnsi="Times New Roman" w:cs="Times New Roman"/>
          <w:color w:val="auto"/>
          <w:u w:val="none"/>
          <w:vertAlign w:val="subscript"/>
          <w:lang w:eastAsia="zh-CN"/>
        </w:rPr>
        <w:t>5</w:t>
      </w: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10mg/L、</w:t>
      </w:r>
      <w:r>
        <w:rPr>
          <w:rFonts w:hint="eastAsia" w:ascii="Times New Roman" w:hAnsi="Times New Roman" w:cs="Times New Roman"/>
          <w:color w:val="auto"/>
          <w:u w:val="none"/>
          <w:lang w:eastAsia="zh-CN"/>
        </w:rPr>
        <w:t>NH</w:t>
      </w:r>
      <w:r>
        <w:rPr>
          <w:rFonts w:hint="eastAsia" w:ascii="Times New Roman" w:hAnsi="Times New Roman" w:cs="Times New Roman"/>
          <w:color w:val="auto"/>
          <w:u w:val="none"/>
          <w:vertAlign w:val="subscript"/>
          <w:lang w:eastAsia="zh-CN"/>
        </w:rPr>
        <w:t>3</w:t>
      </w:r>
      <w:r>
        <w:rPr>
          <w:rFonts w:hint="eastAsia" w:ascii="Times New Roman" w:hAnsi="Times New Roman" w:cs="Times New Roman"/>
          <w:color w:val="auto"/>
          <w:u w:val="none"/>
          <w:lang w:eastAsia="zh-CN"/>
        </w:rPr>
        <w:t>-N≤</w:t>
      </w:r>
      <w:r>
        <w:rPr>
          <w:rFonts w:hint="eastAsia" w:ascii="Times New Roman" w:hAnsi="Times New Roman" w:cs="Times New Roman"/>
          <w:color w:val="auto"/>
          <w:u w:val="none"/>
          <w:lang w:val="en-US" w:eastAsia="zh-CN"/>
        </w:rPr>
        <w:t>5</w:t>
      </w:r>
      <w:r>
        <w:rPr>
          <w:rFonts w:hint="eastAsia" w:ascii="Times New Roman" w:hAnsi="Times New Roman" w:cs="Times New Roman"/>
          <w:color w:val="auto"/>
          <w:u w:val="none"/>
          <w:lang w:eastAsia="zh-CN"/>
        </w:rPr>
        <w:t>mg/L</w:t>
      </w:r>
      <w:r>
        <w:rPr>
          <w:rFonts w:ascii="Times New Roman" w:hAnsi="Times New Roman" w:cs="Times New Roman"/>
          <w:color w:val="auto"/>
          <w:u w:val="none"/>
          <w:lang w:eastAsia="zh-CN"/>
        </w:rPr>
        <w:t>、</w:t>
      </w:r>
      <w:r>
        <w:rPr>
          <w:rFonts w:ascii="Times New Roman" w:hAnsi="Times New Roman" w:cs="Times New Roman"/>
          <w:color w:val="auto"/>
          <w:lang w:eastAsia="zh-CN"/>
        </w:rPr>
        <w:t>SS</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ascii="Times New Roman" w:hAnsi="Times New Roman" w:cs="Times New Roman"/>
          <w:color w:val="auto"/>
          <w:lang w:eastAsia="zh-CN"/>
        </w:rPr>
        <w:t>0mg/L、</w:t>
      </w:r>
      <w:r>
        <w:rPr>
          <w:rFonts w:ascii="Times New Roman" w:hAnsi="Times New Roman" w:cs="Times New Roman"/>
          <w:color w:val="auto"/>
          <w:u w:val="none"/>
          <w:lang w:eastAsia="zh-CN"/>
        </w:rPr>
        <w:t>TP</w:t>
      </w: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0.5mg/L</w:t>
      </w: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TN</w:t>
      </w: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15mg/L</w:t>
      </w:r>
      <w:r>
        <w:rPr>
          <w:rFonts w:hint="eastAsia" w:ascii="Times New Roman" w:hAnsi="Times New Roman" w:cs="Times New Roman"/>
          <w:color w:val="auto"/>
          <w:u w:val="none"/>
          <w:lang w:eastAsia="zh-CN"/>
        </w:rPr>
        <w:t>、石油类≤</w:t>
      </w:r>
      <w:r>
        <w:rPr>
          <w:rFonts w:hint="eastAsia" w:ascii="Times New Roman" w:hAnsi="Times New Roman" w:cs="Times New Roman"/>
          <w:color w:val="auto"/>
          <w:u w:val="none"/>
          <w:lang w:val="en-US" w:eastAsia="zh-CN"/>
        </w:rPr>
        <w:t>1</w:t>
      </w:r>
      <w:r>
        <w:rPr>
          <w:rFonts w:ascii="Times New Roman" w:hAnsi="Times New Roman" w:cs="Times New Roman"/>
          <w:color w:val="auto"/>
          <w:u w:val="none"/>
          <w:lang w:eastAsia="zh-CN"/>
        </w:rPr>
        <w:t>mg/L</w:t>
      </w:r>
      <w:r>
        <w:rPr>
          <w:rFonts w:hint="eastAsia" w:ascii="Times New Roman" w:hAnsi="Times New Roman" w:cs="Times New Roman"/>
          <w:color w:val="auto"/>
          <w:u w:val="none"/>
          <w:lang w:eastAsia="zh-CN"/>
        </w:rPr>
        <w:t>、动植物油≤</w:t>
      </w:r>
      <w:r>
        <w:rPr>
          <w:rFonts w:hint="eastAsia" w:ascii="Times New Roman" w:hAnsi="Times New Roman" w:cs="Times New Roman"/>
          <w:color w:val="auto"/>
          <w:u w:val="none"/>
          <w:lang w:val="en-US" w:eastAsia="zh-CN"/>
        </w:rPr>
        <w:t>1</w:t>
      </w:r>
      <w:r>
        <w:rPr>
          <w:rFonts w:ascii="Times New Roman" w:hAnsi="Times New Roman" w:cs="Times New Roman"/>
          <w:color w:val="auto"/>
          <w:u w:val="none"/>
          <w:lang w:eastAsia="zh-CN"/>
        </w:rPr>
        <w:t>mg/L，结果见下表</w:t>
      </w:r>
      <w:r>
        <w:rPr>
          <w:rFonts w:hint="eastAsia" w:ascii="Times New Roman" w:hAnsi="Times New Roman" w:cs="Times New Roman"/>
          <w:color w:val="auto"/>
          <w:u w:val="none"/>
          <w:lang w:val="en-US" w:eastAsia="zh-CN"/>
        </w:rPr>
        <w:t>2.4-5</w:t>
      </w:r>
      <w:r>
        <w:rPr>
          <w:rFonts w:ascii="Times New Roman" w:hAnsi="Times New Roman" w:cs="Times New Roman"/>
          <w:color w:val="auto"/>
          <w:u w:val="none"/>
          <w:lang w:eastAsia="zh-CN"/>
        </w:rPr>
        <w:t>。</w:t>
      </w:r>
    </w:p>
    <w:p>
      <w:pPr>
        <w:pStyle w:val="3"/>
        <w:spacing w:before="15"/>
        <w:ind w:left="232" w:right="284" w:firstLine="422" w:firstLineChars="20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表</w:t>
      </w:r>
      <w:r>
        <w:rPr>
          <w:rFonts w:hint="eastAsia" w:ascii="Times New Roman" w:hAnsi="Times New Roman" w:cs="Times New Roman"/>
          <w:b/>
          <w:color w:val="auto"/>
          <w:sz w:val="21"/>
          <w:szCs w:val="21"/>
          <w:u w:val="single"/>
          <w:lang w:eastAsia="zh-CN"/>
        </w:rPr>
        <w:t>2.4-</w:t>
      </w:r>
      <w:r>
        <w:rPr>
          <w:rFonts w:hint="eastAsia" w:ascii="Times New Roman" w:hAnsi="Times New Roman" w:cs="Times New Roman"/>
          <w:b/>
          <w:color w:val="auto"/>
          <w:sz w:val="21"/>
          <w:szCs w:val="21"/>
          <w:u w:val="single"/>
          <w:lang w:val="en-US" w:eastAsia="zh-CN"/>
        </w:rPr>
        <w:t>5</w:t>
      </w:r>
      <w:r>
        <w:rPr>
          <w:rFonts w:ascii="Times New Roman" w:hAnsi="Times New Roman" w:cs="Times New Roman"/>
          <w:b/>
          <w:color w:val="auto"/>
          <w:sz w:val="21"/>
          <w:szCs w:val="21"/>
          <w:u w:val="single"/>
          <w:lang w:eastAsia="zh-CN"/>
        </w:rPr>
        <w:t xml:space="preserve"> 污染物削减分析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09"/>
        <w:gridCol w:w="1117"/>
        <w:gridCol w:w="871"/>
        <w:gridCol w:w="1117"/>
        <w:gridCol w:w="871"/>
        <w:gridCol w:w="898"/>
        <w:gridCol w:w="1234"/>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16" w:type="pct"/>
            <w:vMerge w:val="restar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处理量</w:t>
            </w:r>
          </w:p>
        </w:tc>
        <w:tc>
          <w:tcPr>
            <w:tcW w:w="477" w:type="pct"/>
            <w:vMerge w:val="restar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污染因子</w:t>
            </w:r>
          </w:p>
        </w:tc>
        <w:tc>
          <w:tcPr>
            <w:tcW w:w="1173" w:type="pct"/>
            <w:gridSpan w:val="2"/>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处理前</w:t>
            </w:r>
          </w:p>
        </w:tc>
        <w:tc>
          <w:tcPr>
            <w:tcW w:w="1173" w:type="pct"/>
            <w:gridSpan w:val="2"/>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处理后</w:t>
            </w:r>
          </w:p>
        </w:tc>
        <w:tc>
          <w:tcPr>
            <w:tcW w:w="530" w:type="pct"/>
            <w:vMerge w:val="restar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削减量（t/a）</w:t>
            </w:r>
          </w:p>
        </w:tc>
        <w:tc>
          <w:tcPr>
            <w:tcW w:w="728" w:type="pct"/>
            <w:vMerge w:val="restar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拟采取处理工艺</w:t>
            </w:r>
          </w:p>
        </w:tc>
        <w:tc>
          <w:tcPr>
            <w:tcW w:w="498" w:type="pct"/>
            <w:vMerge w:val="restar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污水去向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1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659" w:type="pc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浓度（mg/L）</w:t>
            </w:r>
          </w:p>
        </w:tc>
        <w:tc>
          <w:tcPr>
            <w:tcW w:w="514" w:type="pc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产生量（t/a）</w:t>
            </w:r>
          </w:p>
        </w:tc>
        <w:tc>
          <w:tcPr>
            <w:tcW w:w="659" w:type="pc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浓度（mg/L）</w:t>
            </w:r>
          </w:p>
        </w:tc>
        <w:tc>
          <w:tcPr>
            <w:tcW w:w="514" w:type="pc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lang w:eastAsia="zh-CN"/>
              </w:rPr>
              <w:t>排放</w:t>
            </w:r>
            <w:r>
              <w:rPr>
                <w:rFonts w:hint="default" w:ascii="Times New Roman" w:hAnsi="Times New Roman" w:cs="Times New Roman"/>
                <w:b/>
                <w:bCs/>
                <w:color w:val="auto"/>
                <w:u w:val="single"/>
              </w:rPr>
              <w:t>量（t/a）</w:t>
            </w:r>
          </w:p>
        </w:tc>
        <w:tc>
          <w:tcPr>
            <w:tcW w:w="530"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72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416" w:type="pct"/>
            <w:vMerge w:val="restart"/>
            <w:noWrap w:val="0"/>
            <w:vAlign w:val="center"/>
          </w:tcPr>
          <w:p>
            <w:pPr>
              <w:pStyle w:val="97"/>
              <w:keepNext w:val="0"/>
              <w:keepLines w:val="0"/>
              <w:widowControl w:val="0"/>
              <w:adjustRightInd/>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14.6万</w:t>
            </w:r>
            <w:r>
              <w:rPr>
                <w:rFonts w:hint="default" w:ascii="Times New Roman" w:hAnsi="Times New Roman" w:cs="Times New Roman"/>
                <w:color w:val="auto"/>
                <w:u w:val="single"/>
              </w:rPr>
              <w:t>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/a</w:t>
            </w:r>
          </w:p>
        </w:tc>
        <w:tc>
          <w:tcPr>
            <w:tcW w:w="477" w:type="pct"/>
            <w:noWrap w:val="0"/>
            <w:vAlign w:val="center"/>
          </w:tcPr>
          <w:p>
            <w:pPr>
              <w:pStyle w:val="73"/>
              <w:widowControl w:val="0"/>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COD</w:t>
            </w:r>
            <w:r>
              <w:rPr>
                <w:rFonts w:hint="default" w:ascii="Times New Roman" w:hAnsi="Times New Roman" w:cs="Times New Roman"/>
                <w:color w:val="auto"/>
                <w:u w:val="single"/>
                <w:vertAlign w:val="subscript"/>
              </w:rPr>
              <w:t>cr</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500</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73.00</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50</w:t>
            </w:r>
          </w:p>
        </w:tc>
        <w:tc>
          <w:tcPr>
            <w:tcW w:w="514" w:type="pct"/>
            <w:noWrap w:val="0"/>
            <w:vAlign w:val="center"/>
          </w:tcPr>
          <w:p>
            <w:pPr>
              <w:pStyle w:val="73"/>
              <w:widowControl w:val="0"/>
              <w:rPr>
                <w:rFonts w:hint="default" w:ascii="Times New Roman" w:hAnsi="Times New Roman" w:eastAsia="等线" w:cs="Times New Roman"/>
                <w:color w:val="auto"/>
                <w:u w:val="single"/>
                <w:lang w:val="en-US"/>
              </w:rPr>
            </w:pPr>
            <w:r>
              <w:rPr>
                <w:rFonts w:hint="default" w:ascii="Times New Roman" w:hAnsi="Times New Roman" w:eastAsia="等线" w:cs="Times New Roman"/>
                <w:color w:val="auto"/>
                <w:u w:val="single"/>
                <w:lang w:val="en-US" w:eastAsia="zh-CN"/>
              </w:rPr>
              <w:t>7.30</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65.7</w:t>
            </w:r>
          </w:p>
        </w:tc>
        <w:tc>
          <w:tcPr>
            <w:tcW w:w="728" w:type="pct"/>
            <w:vMerge w:val="restart"/>
            <w:noWrap w:val="0"/>
            <w:vAlign w:val="center"/>
          </w:tcPr>
          <w:p>
            <w:pPr>
              <w:pStyle w:val="97"/>
              <w:keepNext w:val="0"/>
              <w:keepLines w:val="0"/>
              <w:widowControl w:val="0"/>
              <w:adjustRightInd/>
              <w:rPr>
                <w:rFonts w:hint="default" w:ascii="Times New Roman" w:hAnsi="Times New Roman" w:cs="Times New Roman"/>
                <w:color w:val="auto"/>
                <w:u w:val="single"/>
              </w:rPr>
            </w:pPr>
            <w:r>
              <w:rPr>
                <w:rFonts w:hint="default" w:ascii="Times New Roman" w:hAnsi="Times New Roman" w:cs="Times New Roman"/>
                <w:color w:val="auto"/>
                <w:u w:val="single"/>
              </w:rPr>
              <w:t>“</w:t>
            </w:r>
            <w:r>
              <w:rPr>
                <w:rFonts w:hint="default" w:ascii="Times New Roman" w:hAnsi="Times New Roman" w:cs="Times New Roman"/>
                <w:color w:val="auto"/>
                <w:u w:val="single"/>
                <w:lang w:eastAsia="zh-CN"/>
              </w:rPr>
              <w:t>格栅渠</w:t>
            </w:r>
            <w:r>
              <w:rPr>
                <w:rFonts w:hint="default" w:ascii="Times New Roman" w:hAnsi="Times New Roman" w:cs="Times New Roman"/>
                <w:color w:val="auto"/>
                <w:u w:val="single"/>
              </w:rPr>
              <w:t>→沉砂池→调节池→</w:t>
            </w:r>
            <w:r>
              <w:rPr>
                <w:rFonts w:hint="default" w:ascii="Times New Roman" w:hAnsi="Times New Roman" w:cs="Times New Roman"/>
                <w:color w:val="auto"/>
                <w:u w:val="single"/>
                <w:lang w:val="en-US" w:eastAsia="zh-CN"/>
              </w:rPr>
              <w:t>MBR一体化设备</w:t>
            </w:r>
            <w:r>
              <w:rPr>
                <w:rFonts w:hint="default" w:ascii="Times New Roman" w:hAnsi="Times New Roman" w:cs="Times New Roman"/>
                <w:color w:val="auto"/>
                <w:u w:val="single"/>
              </w:rPr>
              <w:t>→紫外消毒→</w:t>
            </w:r>
            <w:r>
              <w:rPr>
                <w:rFonts w:hint="default" w:ascii="Times New Roman" w:hAnsi="Times New Roman" w:cs="Times New Roman"/>
                <w:color w:val="auto"/>
                <w:u w:val="single"/>
                <w:lang w:eastAsia="zh-CN"/>
              </w:rPr>
              <w:t>清水池</w:t>
            </w:r>
            <w:r>
              <w:rPr>
                <w:rFonts w:hint="default" w:ascii="Times New Roman" w:hAnsi="Times New Roman" w:cs="Times New Roman"/>
                <w:color w:val="auto"/>
                <w:u w:val="single"/>
              </w:rPr>
              <w:t>”</w:t>
            </w:r>
          </w:p>
        </w:tc>
        <w:tc>
          <w:tcPr>
            <w:tcW w:w="498" w:type="pct"/>
            <w:vMerge w:val="restart"/>
            <w:noWrap w:val="0"/>
            <w:vAlign w:val="center"/>
          </w:tcPr>
          <w:p>
            <w:pPr>
              <w:pStyle w:val="97"/>
              <w:keepNext w:val="0"/>
              <w:keepLines w:val="0"/>
              <w:widowControl w:val="0"/>
              <w:adjustRightInd/>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lang w:eastAsia="zh-CN"/>
              </w:rPr>
              <w:t>猛洞河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41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BOD</w:t>
            </w:r>
            <w:r>
              <w:rPr>
                <w:rFonts w:hint="default" w:ascii="Times New Roman" w:hAnsi="Times New Roman" w:cs="Times New Roman"/>
                <w:color w:val="auto"/>
                <w:u w:val="single"/>
                <w:vertAlign w:val="subscript"/>
              </w:rPr>
              <w:t>5</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300</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43.80</w:t>
            </w:r>
          </w:p>
        </w:tc>
        <w:tc>
          <w:tcPr>
            <w:tcW w:w="659"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10</w:t>
            </w:r>
          </w:p>
        </w:tc>
        <w:tc>
          <w:tcPr>
            <w:tcW w:w="514" w:type="pct"/>
            <w:noWrap w:val="0"/>
            <w:vAlign w:val="center"/>
          </w:tcPr>
          <w:p>
            <w:pPr>
              <w:pStyle w:val="73"/>
              <w:widowControl w:val="0"/>
              <w:rPr>
                <w:rFonts w:hint="default" w:ascii="Times New Roman" w:hAnsi="Times New Roman" w:eastAsia="等线" w:cs="Times New Roman"/>
                <w:color w:val="auto"/>
                <w:u w:val="single"/>
                <w:lang w:val="en-US"/>
              </w:rPr>
            </w:pPr>
            <w:r>
              <w:rPr>
                <w:rFonts w:hint="default" w:ascii="Times New Roman" w:hAnsi="Times New Roman" w:eastAsia="等线" w:cs="Times New Roman"/>
                <w:color w:val="auto"/>
                <w:u w:val="single"/>
                <w:lang w:val="en-US" w:eastAsia="zh-CN"/>
              </w:rPr>
              <w:t>1.46</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42.34</w:t>
            </w:r>
          </w:p>
        </w:tc>
        <w:tc>
          <w:tcPr>
            <w:tcW w:w="72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1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r>
              <w:rPr>
                <w:rFonts w:hint="default" w:ascii="Times New Roman" w:hAnsi="Times New Roman" w:cs="Times New Roman"/>
                <w:color w:val="auto"/>
                <w:u w:val="single"/>
              </w:rPr>
              <w:t>-N</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25</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3.65</w:t>
            </w:r>
          </w:p>
        </w:tc>
        <w:tc>
          <w:tcPr>
            <w:tcW w:w="659"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5</w:t>
            </w:r>
          </w:p>
        </w:tc>
        <w:tc>
          <w:tcPr>
            <w:tcW w:w="514" w:type="pct"/>
            <w:noWrap w:val="0"/>
            <w:vAlign w:val="center"/>
          </w:tcPr>
          <w:p>
            <w:pPr>
              <w:pStyle w:val="73"/>
              <w:widowControl w:val="0"/>
              <w:rPr>
                <w:rFonts w:hint="default" w:ascii="Times New Roman" w:hAnsi="Times New Roman" w:eastAsia="等线" w:cs="Times New Roman"/>
                <w:color w:val="auto"/>
                <w:u w:val="single"/>
                <w:lang w:val="en-US"/>
              </w:rPr>
            </w:pPr>
            <w:r>
              <w:rPr>
                <w:rFonts w:hint="default" w:ascii="Times New Roman" w:hAnsi="Times New Roman" w:eastAsia="等线" w:cs="Times New Roman"/>
                <w:color w:val="auto"/>
                <w:u w:val="single"/>
                <w:lang w:val="en-US" w:eastAsia="zh-CN"/>
              </w:rPr>
              <w:t>0.73</w:t>
            </w:r>
          </w:p>
        </w:tc>
        <w:tc>
          <w:tcPr>
            <w:tcW w:w="530" w:type="pct"/>
            <w:noWrap w:val="0"/>
            <w:vAlign w:val="center"/>
          </w:tcPr>
          <w:p>
            <w:pPr>
              <w:pStyle w:val="73"/>
              <w:widowControl w:val="0"/>
              <w:rPr>
                <w:rFonts w:hint="default" w:ascii="Times New Roman" w:hAnsi="Times New Roman" w:eastAsia="等线" w:cs="Times New Roman"/>
                <w:color w:val="auto"/>
                <w:u w:val="single"/>
                <w:lang w:val="en-US"/>
              </w:rPr>
            </w:pPr>
            <w:r>
              <w:rPr>
                <w:rFonts w:hint="default" w:ascii="Times New Roman" w:hAnsi="Times New Roman" w:eastAsia="等线" w:cs="Times New Roman"/>
                <w:color w:val="auto"/>
                <w:u w:val="single"/>
                <w:lang w:val="en-US" w:eastAsia="zh-CN"/>
              </w:rPr>
              <w:t>2.92</w:t>
            </w:r>
          </w:p>
        </w:tc>
        <w:tc>
          <w:tcPr>
            <w:tcW w:w="72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41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SS</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400</w:t>
            </w:r>
          </w:p>
        </w:tc>
        <w:tc>
          <w:tcPr>
            <w:tcW w:w="514" w:type="pct"/>
            <w:noWrap w:val="0"/>
            <w:vAlign w:val="center"/>
          </w:tcPr>
          <w:p>
            <w:pPr>
              <w:pStyle w:val="73"/>
              <w:widowControl w:val="0"/>
              <w:rPr>
                <w:rFonts w:hint="default" w:ascii="Times New Roman" w:hAnsi="Times New Roman" w:eastAsia="等线" w:cs="Times New Roman"/>
                <w:color w:val="auto"/>
                <w:u w:val="single"/>
                <w:lang w:val="en-US"/>
              </w:rPr>
            </w:pPr>
            <w:r>
              <w:rPr>
                <w:rFonts w:hint="default" w:ascii="Times New Roman" w:hAnsi="Times New Roman" w:eastAsia="等线" w:cs="Times New Roman"/>
                <w:color w:val="auto"/>
                <w:u w:val="single"/>
                <w:lang w:val="en-US" w:eastAsia="zh-CN"/>
              </w:rPr>
              <w:t>58.40</w:t>
            </w:r>
          </w:p>
        </w:tc>
        <w:tc>
          <w:tcPr>
            <w:tcW w:w="659"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10</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1.46</w:t>
            </w:r>
          </w:p>
        </w:tc>
        <w:tc>
          <w:tcPr>
            <w:tcW w:w="530" w:type="pct"/>
            <w:noWrap w:val="0"/>
            <w:vAlign w:val="center"/>
          </w:tcPr>
          <w:p>
            <w:pPr>
              <w:pStyle w:val="73"/>
              <w:widowControl w:val="0"/>
              <w:rPr>
                <w:rFonts w:hint="default" w:ascii="Times New Roman" w:hAnsi="Times New Roman" w:eastAsia="等线" w:cs="Times New Roman"/>
                <w:color w:val="auto"/>
                <w:u w:val="single"/>
                <w:lang w:val="en-US"/>
              </w:rPr>
            </w:pPr>
            <w:r>
              <w:rPr>
                <w:rFonts w:hint="default" w:ascii="Times New Roman" w:hAnsi="Times New Roman" w:eastAsia="等线" w:cs="Times New Roman"/>
                <w:color w:val="auto"/>
                <w:u w:val="single"/>
                <w:lang w:val="en-US" w:eastAsia="zh-CN"/>
              </w:rPr>
              <w:t>56.94</w:t>
            </w:r>
          </w:p>
        </w:tc>
        <w:tc>
          <w:tcPr>
            <w:tcW w:w="72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41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TP</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5</w:t>
            </w:r>
          </w:p>
        </w:tc>
        <w:tc>
          <w:tcPr>
            <w:tcW w:w="514" w:type="pct"/>
            <w:noWrap w:val="0"/>
            <w:vAlign w:val="center"/>
          </w:tcPr>
          <w:p>
            <w:pPr>
              <w:pStyle w:val="73"/>
              <w:widowControl w:val="0"/>
              <w:rPr>
                <w:rFonts w:hint="default" w:ascii="Times New Roman" w:hAnsi="Times New Roman" w:eastAsia="等线" w:cs="Times New Roman"/>
                <w:color w:val="auto"/>
                <w:u w:val="single"/>
                <w:lang w:val="en-US"/>
              </w:rPr>
            </w:pPr>
            <w:r>
              <w:rPr>
                <w:rFonts w:hint="default" w:ascii="Times New Roman" w:hAnsi="Times New Roman" w:eastAsia="等线" w:cs="Times New Roman"/>
                <w:color w:val="auto"/>
                <w:u w:val="single"/>
                <w:lang w:val="en-US" w:eastAsia="zh-CN"/>
              </w:rPr>
              <w:t>0.73</w:t>
            </w:r>
          </w:p>
        </w:tc>
        <w:tc>
          <w:tcPr>
            <w:tcW w:w="659"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0.5</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0.073</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0.657</w:t>
            </w:r>
          </w:p>
        </w:tc>
        <w:tc>
          <w:tcPr>
            <w:tcW w:w="72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41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TN</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45</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6.57</w:t>
            </w:r>
          </w:p>
        </w:tc>
        <w:tc>
          <w:tcPr>
            <w:tcW w:w="659"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15</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2.19</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default" w:ascii="Times New Roman" w:hAnsi="Times New Roman" w:eastAsia="等线" w:cs="Times New Roman"/>
                <w:color w:val="auto"/>
                <w:u w:val="single"/>
                <w:lang w:val="en-US" w:eastAsia="zh-CN"/>
              </w:rPr>
              <w:t>4.38</w:t>
            </w:r>
          </w:p>
        </w:tc>
        <w:tc>
          <w:tcPr>
            <w:tcW w:w="72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exact"/>
          <w:jc w:val="center"/>
        </w:trPr>
        <w:tc>
          <w:tcPr>
            <w:tcW w:w="41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eastAsia" w:ascii="Times New Roman" w:hAnsi="Times New Roman" w:eastAsia="宋体" w:cs="Times New Roman"/>
                <w:color w:val="auto"/>
                <w:u w:val="single"/>
                <w:lang w:eastAsia="zh-CN"/>
              </w:rPr>
            </w:pPr>
            <w:r>
              <w:rPr>
                <w:rFonts w:hint="eastAsia" w:ascii="Times New Roman" w:cs="Times New Roman"/>
                <w:color w:val="auto"/>
                <w:u w:val="single"/>
                <w:lang w:eastAsia="zh-CN"/>
              </w:rPr>
              <w:t>动植物油</w:t>
            </w:r>
          </w:p>
        </w:tc>
        <w:tc>
          <w:tcPr>
            <w:tcW w:w="659" w:type="pct"/>
            <w:noWrap w:val="0"/>
            <w:vAlign w:val="center"/>
          </w:tcPr>
          <w:p>
            <w:pPr>
              <w:pStyle w:val="73"/>
              <w:widowControl w:val="0"/>
              <w:rPr>
                <w:rFonts w:hint="default" w:ascii="Times New Roman" w:hAnsi="Times New Roman" w:cs="Times New Roman"/>
                <w:color w:val="auto"/>
                <w:u w:val="single"/>
                <w:lang w:val="en-US" w:eastAsia="zh-CN"/>
              </w:rPr>
            </w:pPr>
            <w:r>
              <w:rPr>
                <w:rFonts w:hint="eastAsia" w:ascii="Times New Roman" w:cs="Times New Roman"/>
                <w:color w:val="auto"/>
                <w:u w:val="single"/>
                <w:lang w:val="en-US" w:eastAsia="zh-CN"/>
              </w:rPr>
              <w:t>100</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14.6</w:t>
            </w:r>
          </w:p>
        </w:tc>
        <w:tc>
          <w:tcPr>
            <w:tcW w:w="659" w:type="pct"/>
            <w:noWrap w:val="0"/>
            <w:vAlign w:val="center"/>
          </w:tcPr>
          <w:p>
            <w:pPr>
              <w:pStyle w:val="73"/>
              <w:widowControl w:val="0"/>
              <w:rPr>
                <w:rFonts w:hint="eastAsia"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1</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0.1460</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14.454</w:t>
            </w:r>
          </w:p>
        </w:tc>
        <w:tc>
          <w:tcPr>
            <w:tcW w:w="72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41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eastAsia" w:ascii="Times New Roman" w:hAnsi="Times New Roman" w:eastAsia="宋体" w:cs="Times New Roman"/>
                <w:color w:val="auto"/>
                <w:u w:val="single"/>
                <w:lang w:eastAsia="zh-CN"/>
              </w:rPr>
            </w:pPr>
            <w:r>
              <w:rPr>
                <w:rFonts w:hint="eastAsia" w:ascii="Times New Roman" w:cs="Times New Roman"/>
                <w:color w:val="auto"/>
                <w:u w:val="single"/>
                <w:lang w:eastAsia="zh-CN"/>
              </w:rPr>
              <w:t>石油类</w:t>
            </w:r>
          </w:p>
        </w:tc>
        <w:tc>
          <w:tcPr>
            <w:tcW w:w="659" w:type="pct"/>
            <w:noWrap w:val="0"/>
            <w:vAlign w:val="center"/>
          </w:tcPr>
          <w:p>
            <w:pPr>
              <w:pStyle w:val="73"/>
              <w:widowControl w:val="0"/>
              <w:rPr>
                <w:rFonts w:hint="default" w:ascii="Times New Roman" w:hAnsi="Times New Roman" w:cs="Times New Roman"/>
                <w:color w:val="auto"/>
                <w:u w:val="single"/>
                <w:lang w:val="en-US" w:eastAsia="zh-CN"/>
              </w:rPr>
            </w:pPr>
            <w:r>
              <w:rPr>
                <w:rFonts w:hint="eastAsia" w:ascii="Times New Roman" w:cs="Times New Roman"/>
                <w:color w:val="auto"/>
                <w:u w:val="single"/>
                <w:lang w:val="en-US" w:eastAsia="zh-CN"/>
              </w:rPr>
              <w:t>20</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2.92</w:t>
            </w:r>
          </w:p>
        </w:tc>
        <w:tc>
          <w:tcPr>
            <w:tcW w:w="659" w:type="pct"/>
            <w:noWrap w:val="0"/>
            <w:vAlign w:val="center"/>
          </w:tcPr>
          <w:p>
            <w:pPr>
              <w:pStyle w:val="73"/>
              <w:widowControl w:val="0"/>
              <w:rPr>
                <w:rFonts w:hint="eastAsia"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1</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0.1460</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2.774</w:t>
            </w:r>
          </w:p>
        </w:tc>
        <w:tc>
          <w:tcPr>
            <w:tcW w:w="72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8"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bl>
    <w:p>
      <w:pPr>
        <w:pStyle w:val="69"/>
        <w:rPr>
          <w:rFonts w:hint="eastAsia"/>
          <w:color w:val="auto"/>
          <w:u w:val="none"/>
        </w:rPr>
      </w:pPr>
      <w:r>
        <w:rPr>
          <w:rFonts w:hint="eastAsia"/>
          <w:color w:val="auto"/>
          <w:u w:val="none"/>
        </w:rPr>
        <w:t>2</w:t>
      </w:r>
      <w:r>
        <w:rPr>
          <w:color w:val="auto"/>
          <w:u w:val="none"/>
        </w:rPr>
        <w:t>.</w:t>
      </w:r>
      <w:r>
        <w:rPr>
          <w:rFonts w:hint="eastAsia"/>
          <w:color w:val="auto"/>
          <w:u w:val="none"/>
        </w:rPr>
        <w:t>4</w:t>
      </w:r>
      <w:r>
        <w:rPr>
          <w:color w:val="auto"/>
          <w:u w:val="none"/>
        </w:rPr>
        <w:t>.5.2大气污染源</w:t>
      </w:r>
    </w:p>
    <w:p>
      <w:pPr>
        <w:ind w:firstLine="482"/>
        <w:rPr>
          <w:rFonts w:hint="eastAsia"/>
          <w:b/>
          <w:color w:val="auto"/>
          <w:kern w:val="0"/>
          <w:u w:val="none"/>
        </w:rPr>
      </w:pPr>
      <w:r>
        <w:rPr>
          <w:rFonts w:hint="eastAsia"/>
          <w:b/>
          <w:color w:val="auto"/>
          <w:kern w:val="0"/>
          <w:u w:val="none"/>
        </w:rPr>
        <w:t>（1）污水处理厂工程</w:t>
      </w:r>
    </w:p>
    <w:p>
      <w:pPr>
        <w:pStyle w:val="3"/>
        <w:ind w:left="0" w:firstLine="480" w:firstLineChars="200"/>
        <w:jc w:val="both"/>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1）项目厂区恶臭气体排放</w:t>
      </w:r>
    </w:p>
    <w:p>
      <w:pPr>
        <w:ind w:firstLine="480"/>
        <w:jc w:val="both"/>
        <w:rPr>
          <w:rFonts w:hint="eastAsia"/>
          <w:color w:val="auto"/>
          <w:u w:val="none"/>
        </w:rPr>
      </w:pPr>
      <w:r>
        <w:rPr>
          <w:rFonts w:hint="eastAsia"/>
          <w:color w:val="auto"/>
          <w:u w:val="none"/>
        </w:rPr>
        <w:t>污水处理厂</w:t>
      </w:r>
      <w:r>
        <w:rPr>
          <w:rFonts w:hint="eastAsia"/>
          <w:color w:val="auto"/>
          <w:u w:val="none"/>
          <w:lang w:eastAsia="zh-CN"/>
        </w:rPr>
        <w:t>主要接纳</w:t>
      </w:r>
      <w:r>
        <w:rPr>
          <w:rFonts w:hint="eastAsia"/>
          <w:color w:val="auto"/>
          <w:u w:val="none"/>
        </w:rPr>
        <w:t>生活污水，其中富含大量蛋白质等有机物质，极易腐败，会产生诸如硫化氢及氨气等敏感性恶臭物质。污水进入污水处理厂后，由于液面气压降低且进水池内机械格栅搅动，会导致硫化氢的迅速释放；沉砂池是利用空气分散作用，从较轻的有机物中分离出较重的颗粒物质过程，该处理工段对水的扰动较大，创造了物质由水相至气相的转移条件，也会有大量的恶臭物质释放出来。</w:t>
      </w:r>
    </w:p>
    <w:p>
      <w:pPr>
        <w:ind w:firstLine="480"/>
        <w:jc w:val="both"/>
        <w:rPr>
          <w:rFonts w:hint="eastAsia"/>
          <w:color w:val="auto"/>
          <w:u w:val="none"/>
        </w:rPr>
      </w:pPr>
      <w:r>
        <w:rPr>
          <w:rFonts w:hint="eastAsia"/>
          <w:color w:val="auto"/>
          <w:u w:val="none"/>
        </w:rPr>
        <w:t>在生化处理段，在厌氧及缺氧环境下，污水在池体中也会有大量的恶臭物形成，到了好氧反应区，恶臭物质随着曝气气体也由液相向气相转移，但污染物浓度略有下降。</w:t>
      </w:r>
    </w:p>
    <w:p>
      <w:pPr>
        <w:ind w:firstLine="480"/>
        <w:jc w:val="both"/>
        <w:rPr>
          <w:rFonts w:hint="eastAsia"/>
          <w:color w:val="auto"/>
          <w:u w:val="none"/>
        </w:rPr>
      </w:pPr>
      <w:r>
        <w:rPr>
          <w:rFonts w:hint="eastAsia"/>
          <w:color w:val="auto"/>
          <w:u w:val="none"/>
        </w:rPr>
        <w:t>污泥处于较长时间的缺氧环境会为恶臭形成创造条件，污泥脱水间、污泥池的操作都会产生高浓度的恶臭气体。大量的现状监测数据以及研究资料表明，泥区往往是常规污水处理厂恶臭物质较高浓度产生的区域。</w:t>
      </w:r>
    </w:p>
    <w:p>
      <w:pPr>
        <w:ind w:firstLine="480"/>
        <w:jc w:val="both"/>
        <w:rPr>
          <w:color w:val="auto"/>
          <w:u w:val="none"/>
        </w:rPr>
      </w:pPr>
      <w:r>
        <w:rPr>
          <w:rFonts w:hint="eastAsia"/>
          <w:color w:val="auto"/>
          <w:u w:val="none"/>
        </w:rPr>
        <w:t>本污水厂采用</w:t>
      </w:r>
      <w:r>
        <w:rPr>
          <w:rFonts w:hint="eastAsia"/>
          <w:color w:val="auto"/>
          <w:kern w:val="0"/>
          <w:u w:val="none"/>
        </w:rPr>
        <w:t>“</w:t>
      </w:r>
      <w:r>
        <w:rPr>
          <w:rFonts w:hint="eastAsia"/>
          <w:color w:val="auto"/>
          <w:u w:val="none"/>
          <w:lang w:eastAsia="zh-CN"/>
        </w:rPr>
        <w:t>格栅渠</w:t>
      </w:r>
      <w:r>
        <w:rPr>
          <w:rFonts w:hint="eastAsia"/>
          <w:color w:val="auto"/>
          <w:u w:val="none"/>
        </w:rPr>
        <w:t>→沉砂池→调节池→</w:t>
      </w:r>
      <w:r>
        <w:rPr>
          <w:rFonts w:hint="eastAsia"/>
          <w:color w:val="auto"/>
          <w:u w:val="none"/>
          <w:lang w:val="en-US" w:eastAsia="zh-CN"/>
        </w:rPr>
        <w:t>MBR一体化设备</w:t>
      </w:r>
      <w:r>
        <w:rPr>
          <w:rFonts w:hint="eastAsia"/>
          <w:color w:val="auto"/>
          <w:u w:val="none"/>
        </w:rPr>
        <w:t>→紫外消毒→</w:t>
      </w:r>
      <w:r>
        <w:rPr>
          <w:rFonts w:hint="eastAsia"/>
          <w:color w:val="auto"/>
          <w:u w:val="none"/>
          <w:lang w:eastAsia="zh-CN"/>
        </w:rPr>
        <w:t>清水池</w:t>
      </w:r>
      <w:r>
        <w:rPr>
          <w:rFonts w:hint="eastAsia"/>
          <w:color w:val="auto"/>
          <w:kern w:val="0"/>
          <w:u w:val="none"/>
        </w:rPr>
        <w:t>”</w:t>
      </w:r>
      <w:r>
        <w:rPr>
          <w:rFonts w:hint="eastAsia"/>
          <w:color w:val="auto"/>
          <w:u w:val="none"/>
        </w:rPr>
        <w:t>工艺，污水厂内散发臭味的工段主要有：前处理段（格栅</w:t>
      </w:r>
      <w:r>
        <w:rPr>
          <w:rFonts w:hint="eastAsia"/>
          <w:color w:val="auto"/>
          <w:u w:val="none"/>
          <w:lang w:eastAsia="zh-CN"/>
        </w:rPr>
        <w:t>渠</w:t>
      </w:r>
      <w:r>
        <w:rPr>
          <w:rFonts w:hint="eastAsia"/>
          <w:color w:val="auto"/>
          <w:u w:val="none"/>
        </w:rPr>
        <w:t>、沉砂池、调节池）、</w:t>
      </w:r>
      <w:r>
        <w:rPr>
          <w:rFonts w:hint="eastAsia"/>
          <w:color w:val="auto"/>
          <w:u w:val="none"/>
          <w:lang w:val="en-US" w:eastAsia="zh-CN"/>
        </w:rPr>
        <w:t>MBR设备</w:t>
      </w:r>
      <w:r>
        <w:rPr>
          <w:rFonts w:hint="eastAsia"/>
          <w:color w:val="auto"/>
          <w:kern w:val="0"/>
          <w:u w:val="none"/>
        </w:rPr>
        <w:t>、</w:t>
      </w:r>
      <w:r>
        <w:rPr>
          <w:rFonts w:hint="eastAsia"/>
          <w:color w:val="auto"/>
          <w:u w:val="none"/>
        </w:rPr>
        <w:t>污泥处理工段等，主要成份为硫化氢、甲硫醇、氨、三甲胺等，最常见的是硫化氢和氨。</w:t>
      </w:r>
    </w:p>
    <w:p>
      <w:pPr>
        <w:ind w:firstLine="480"/>
        <w:jc w:val="both"/>
        <w:rPr>
          <w:rFonts w:hint="eastAsia"/>
          <w:color w:val="auto"/>
          <w:u w:val="none"/>
        </w:rPr>
      </w:pPr>
      <w:r>
        <w:rPr>
          <w:rFonts w:hint="eastAsia"/>
          <w:color w:val="auto"/>
          <w:u w:val="single"/>
          <w:lang w:eastAsia="zh-CN"/>
        </w:rPr>
        <w:t>永顺经济开发区猛洞河产业园</w:t>
      </w:r>
      <w:r>
        <w:rPr>
          <w:rFonts w:hint="eastAsia"/>
          <w:color w:val="auto"/>
          <w:u w:val="single"/>
        </w:rPr>
        <w:t>污水处理厂采用了以下方式处理大气污染物：</w:t>
      </w:r>
      <w:r>
        <w:rPr>
          <w:rFonts w:hint="eastAsia"/>
          <w:color w:val="000000"/>
          <w:u w:val="single"/>
        </w:rPr>
        <w:t>污水处理构筑物（格栅渠、调节池、沉砂池、污泥池、清水池及膜离线清洗池）采用半地埋式的形式（全封闭）；污泥脱水间单元设置双向门（全封闭），排出的臭气通过废气收集系统一收集，并连接管道至</w:t>
      </w:r>
      <w:r>
        <w:rPr>
          <w:rFonts w:hint="eastAsia"/>
          <w:color w:val="auto"/>
          <w:u w:val="single"/>
        </w:rPr>
        <w:t>活性炭除臭装置</w:t>
      </w:r>
      <w:r>
        <w:rPr>
          <w:rFonts w:hint="eastAsia"/>
          <w:color w:val="000000"/>
          <w:u w:val="single"/>
        </w:rPr>
        <w:t>。</w:t>
      </w:r>
      <w:r>
        <w:rPr>
          <w:rFonts w:hint="eastAsia"/>
          <w:color w:val="000000"/>
          <w:u w:val="single"/>
          <w:lang w:eastAsia="zh-CN"/>
        </w:rPr>
        <w:t>同时对构筑物</w:t>
      </w:r>
      <w:r>
        <w:rPr>
          <w:rFonts w:hint="eastAsia"/>
          <w:color w:val="auto"/>
          <w:u w:val="single"/>
        </w:rPr>
        <w:t>喷洒植物除臭剂，加强厂区绿化。</w:t>
      </w:r>
    </w:p>
    <w:p>
      <w:pPr>
        <w:ind w:firstLine="480"/>
        <w:jc w:val="both"/>
        <w:rPr>
          <w:rFonts w:hint="default" w:ascii="Times New Roman" w:hAnsi="Times New Roman" w:eastAsia="宋体" w:cs="Times New Roman"/>
          <w:color w:val="auto"/>
          <w:u w:val="none"/>
        </w:rPr>
      </w:pPr>
      <w:r>
        <w:rPr>
          <w:rFonts w:hint="eastAsia"/>
          <w:u w:val="single"/>
        </w:rPr>
        <w:t>根据美国EPA（环境保护署）对污水处理厂恶臭污染物产生情况的研究，每去</w:t>
      </w:r>
      <w:r>
        <w:rPr>
          <w:rFonts w:hint="default" w:ascii="Times New Roman" w:hAnsi="Times New Roman" w:eastAsia="宋体" w:cs="Times New Roman"/>
          <w:u w:val="single"/>
        </w:rPr>
        <w:t>除1gBOD</w:t>
      </w:r>
      <w:r>
        <w:rPr>
          <w:rFonts w:hint="default" w:ascii="Times New Roman" w:hAnsi="Times New Roman" w:eastAsia="宋体" w:cs="Times New Roman"/>
          <w:u w:val="single"/>
          <w:vertAlign w:val="subscript"/>
        </w:rPr>
        <w:t>5</w:t>
      </w:r>
      <w:r>
        <w:rPr>
          <w:rFonts w:hint="default" w:ascii="Times New Roman" w:hAnsi="Times New Roman" w:eastAsia="宋体" w:cs="Times New Roman"/>
          <w:u w:val="single"/>
        </w:rPr>
        <w:t>可产生0.0031g的NH</w:t>
      </w:r>
      <w:r>
        <w:rPr>
          <w:rFonts w:hint="default" w:ascii="Times New Roman" w:hAnsi="Times New Roman" w:eastAsia="宋体" w:cs="Times New Roman"/>
          <w:u w:val="single"/>
          <w:vertAlign w:val="subscript"/>
        </w:rPr>
        <w:t>3</w:t>
      </w:r>
      <w:r>
        <w:rPr>
          <w:rFonts w:hint="default" w:ascii="Times New Roman" w:hAnsi="Times New Roman" w:eastAsia="宋体" w:cs="Times New Roman"/>
          <w:u w:val="single"/>
        </w:rPr>
        <w:t>、0.00012g的H</w:t>
      </w:r>
      <w:r>
        <w:rPr>
          <w:rFonts w:hint="default" w:ascii="Times New Roman" w:hAnsi="Times New Roman" w:eastAsia="宋体" w:cs="Times New Roman"/>
          <w:u w:val="single"/>
          <w:vertAlign w:val="subscript"/>
        </w:rPr>
        <w:t>2</w:t>
      </w:r>
      <w:r>
        <w:rPr>
          <w:rFonts w:hint="default" w:ascii="Times New Roman" w:hAnsi="Times New Roman" w:eastAsia="宋体" w:cs="Times New Roman"/>
          <w:u w:val="single"/>
        </w:rPr>
        <w:t>S。</w:t>
      </w:r>
    </w:p>
    <w:p>
      <w:pPr>
        <w:ind w:firstLine="480"/>
        <w:jc w:val="both"/>
        <w:rPr>
          <w:color w:val="000000"/>
          <w:u w:val="single"/>
        </w:rPr>
      </w:pPr>
      <w:r>
        <w:rPr>
          <w:rFonts w:hint="eastAsia" w:ascii="Times New Roman" w:hAnsi="Times New Roman" w:eastAsia="宋体" w:cs="Times New Roman"/>
          <w:color w:val="000000"/>
          <w:u w:val="single"/>
          <w:lang w:eastAsia="zh-CN"/>
        </w:rPr>
        <w:t>本项目一期工程处理规模</w:t>
      </w:r>
      <w:r>
        <w:rPr>
          <w:rFonts w:hint="default" w:ascii="Times New Roman" w:hAnsi="Times New Roman" w:eastAsia="宋体" w:cs="Times New Roman"/>
          <w:u w:val="single"/>
        </w:rPr>
        <w:t>为</w:t>
      </w:r>
      <w:r>
        <w:rPr>
          <w:rFonts w:hint="eastAsia" w:ascii="Times New Roman" w:hAnsi="Times New Roman" w:eastAsia="宋体" w:cs="Times New Roman"/>
          <w:u w:val="single"/>
          <w:lang w:val="en-US" w:eastAsia="zh-CN"/>
        </w:rPr>
        <w:t>400</w:t>
      </w:r>
      <w:r>
        <w:rPr>
          <w:rFonts w:hint="default" w:ascii="Times New Roman" w:hAnsi="Times New Roman" w:eastAsia="宋体" w:cs="Times New Roman"/>
          <w:u w:val="single"/>
        </w:rPr>
        <w:t>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/d，BOD</w:t>
      </w:r>
      <w:r>
        <w:rPr>
          <w:rFonts w:hint="default" w:ascii="Times New Roman" w:hAnsi="Times New Roman" w:eastAsia="宋体" w:cs="Times New Roman"/>
          <w:u w:val="single"/>
          <w:vertAlign w:val="subscript"/>
        </w:rPr>
        <w:t>5</w:t>
      </w:r>
      <w:r>
        <w:rPr>
          <w:rFonts w:hint="default" w:ascii="Times New Roman" w:hAnsi="Times New Roman" w:eastAsia="宋体" w:cs="Times New Roman"/>
          <w:u w:val="single"/>
        </w:rPr>
        <w:t>削减量为</w:t>
      </w:r>
      <w:r>
        <w:rPr>
          <w:rFonts w:hint="eastAsia" w:ascii="Times New Roman" w:hAnsi="Times New Roman" w:eastAsia="宋体" w:cs="Times New Roman"/>
          <w:u w:val="single"/>
          <w:lang w:val="en-US" w:eastAsia="zh-CN"/>
        </w:rPr>
        <w:t>42.34</w:t>
      </w:r>
      <w:r>
        <w:rPr>
          <w:rFonts w:hint="default" w:ascii="Times New Roman" w:hAnsi="Times New Roman" w:eastAsia="宋体" w:cs="Times New Roman"/>
          <w:u w:val="single"/>
        </w:rPr>
        <w:t>t/a，则NH</w:t>
      </w:r>
      <w:r>
        <w:rPr>
          <w:rFonts w:hint="default" w:ascii="Times New Roman" w:hAnsi="Times New Roman" w:eastAsia="宋体" w:cs="Times New Roman"/>
          <w:u w:val="single"/>
          <w:vertAlign w:val="subscript"/>
        </w:rPr>
        <w:t>3</w:t>
      </w:r>
      <w:r>
        <w:rPr>
          <w:rFonts w:hint="default" w:ascii="Times New Roman" w:hAnsi="Times New Roman" w:eastAsia="宋体" w:cs="Times New Roman"/>
          <w:u w:val="single"/>
        </w:rPr>
        <w:t>和H</w:t>
      </w:r>
      <w:r>
        <w:rPr>
          <w:rFonts w:hint="default" w:ascii="Times New Roman" w:hAnsi="Times New Roman" w:eastAsia="宋体" w:cs="Times New Roman"/>
          <w:u w:val="single"/>
          <w:vertAlign w:val="subscript"/>
        </w:rPr>
        <w:t>2</w:t>
      </w:r>
      <w:r>
        <w:rPr>
          <w:rFonts w:hint="default" w:ascii="Times New Roman" w:hAnsi="Times New Roman" w:eastAsia="宋体" w:cs="Times New Roman"/>
          <w:u w:val="single"/>
        </w:rPr>
        <w:t>S产生量分别为</w:t>
      </w:r>
      <w:r>
        <w:rPr>
          <w:rFonts w:hint="eastAsia" w:ascii="Times New Roman" w:hAnsi="Times New Roman" w:eastAsia="宋体" w:cs="Times New Roman"/>
          <w:u w:val="single"/>
          <w:lang w:val="en-US" w:eastAsia="zh-CN"/>
        </w:rPr>
        <w:t>0.1313</w:t>
      </w:r>
      <w:r>
        <w:rPr>
          <w:rFonts w:hint="default" w:ascii="Times New Roman" w:hAnsi="Times New Roman" w:eastAsia="宋体" w:cs="Times New Roman"/>
          <w:u w:val="single"/>
        </w:rPr>
        <w:t>t/a，</w:t>
      </w:r>
      <w:r>
        <w:rPr>
          <w:rFonts w:hint="eastAsia" w:ascii="Times New Roman" w:hAnsi="Times New Roman" w:eastAsia="宋体" w:cs="Times New Roman"/>
          <w:u w:val="single"/>
          <w:lang w:val="en-US" w:eastAsia="zh-CN"/>
        </w:rPr>
        <w:t>0.0051</w:t>
      </w:r>
      <w:r>
        <w:rPr>
          <w:rFonts w:hint="default" w:ascii="Times New Roman" w:hAnsi="Times New Roman" w:eastAsia="宋体" w:cs="Times New Roman"/>
          <w:u w:val="single"/>
        </w:rPr>
        <w:t>t/a。</w:t>
      </w:r>
      <w:r>
        <w:rPr>
          <w:rFonts w:hint="eastAsia"/>
          <w:u w:val="single"/>
        </w:rPr>
        <w:t>本项目恶臭污染物产生源强</w:t>
      </w:r>
      <w:r>
        <w:rPr>
          <w:color w:val="000000"/>
          <w:u w:val="single"/>
        </w:rPr>
        <w:t>见下表2</w:t>
      </w:r>
      <w:r>
        <w:rPr>
          <w:rFonts w:hint="eastAsia"/>
          <w:color w:val="000000"/>
          <w:u w:val="single"/>
        </w:rPr>
        <w:t>.4</w:t>
      </w:r>
      <w:r>
        <w:rPr>
          <w:color w:val="000000"/>
          <w:u w:val="single"/>
        </w:rPr>
        <w:t>-6</w:t>
      </w:r>
      <w:r>
        <w:rPr>
          <w:rFonts w:hint="eastAsia"/>
          <w:color w:val="000000"/>
          <w:u w:val="single"/>
        </w:rPr>
        <w:t>。</w:t>
      </w:r>
    </w:p>
    <w:p>
      <w:pPr>
        <w:tabs>
          <w:tab w:val="left" w:pos="915"/>
        </w:tabs>
        <w:ind w:firstLine="422"/>
        <w:jc w:val="center"/>
        <w:rPr>
          <w:rFonts w:hint="eastAsia"/>
          <w:b/>
          <w:color w:val="000000"/>
          <w:kern w:val="0"/>
          <w:sz w:val="21"/>
          <w:szCs w:val="21"/>
          <w:u w:val="single"/>
        </w:rPr>
      </w:pPr>
      <w:r>
        <w:rPr>
          <w:rFonts w:hint="eastAsia"/>
          <w:b/>
          <w:color w:val="000000"/>
          <w:kern w:val="0"/>
          <w:sz w:val="21"/>
          <w:szCs w:val="21"/>
          <w:u w:val="single"/>
        </w:rPr>
        <w:t>表</w:t>
      </w:r>
      <w:r>
        <w:rPr>
          <w:b/>
          <w:color w:val="000000"/>
          <w:kern w:val="0"/>
          <w:sz w:val="21"/>
          <w:szCs w:val="21"/>
          <w:u w:val="single"/>
        </w:rPr>
        <w:t>2</w:t>
      </w:r>
      <w:r>
        <w:rPr>
          <w:rFonts w:hint="eastAsia"/>
          <w:b/>
          <w:color w:val="000000"/>
          <w:kern w:val="0"/>
          <w:sz w:val="21"/>
          <w:szCs w:val="21"/>
          <w:u w:val="single"/>
        </w:rPr>
        <w:t>.4</w:t>
      </w:r>
      <w:r>
        <w:rPr>
          <w:b/>
          <w:color w:val="000000"/>
          <w:kern w:val="0"/>
          <w:sz w:val="21"/>
          <w:szCs w:val="21"/>
          <w:u w:val="single"/>
        </w:rPr>
        <w:t>-6</w:t>
      </w:r>
      <w:r>
        <w:rPr>
          <w:rFonts w:hint="eastAsia"/>
          <w:b/>
          <w:color w:val="000000"/>
          <w:kern w:val="0"/>
          <w:sz w:val="21"/>
          <w:szCs w:val="21"/>
          <w:u w:val="single"/>
        </w:rPr>
        <w:t xml:space="preserve">  </w:t>
      </w:r>
      <w:r>
        <w:rPr>
          <w:rFonts w:hint="eastAsia"/>
          <w:b/>
          <w:color w:val="000000"/>
          <w:kern w:val="0"/>
          <w:sz w:val="21"/>
          <w:szCs w:val="21"/>
          <w:u w:val="single"/>
          <w:lang w:eastAsia="zh-CN"/>
        </w:rPr>
        <w:t>产生</w:t>
      </w:r>
      <w:r>
        <w:rPr>
          <w:rFonts w:hint="eastAsia"/>
          <w:b/>
          <w:color w:val="000000"/>
          <w:kern w:val="0"/>
          <w:sz w:val="21"/>
          <w:szCs w:val="21"/>
          <w:u w:val="single"/>
        </w:rPr>
        <w:t>源强  单位：</w:t>
      </w:r>
      <w:r>
        <w:rPr>
          <w:b/>
          <w:color w:val="000000"/>
          <w:kern w:val="0"/>
          <w:sz w:val="21"/>
          <w:szCs w:val="21"/>
          <w:u w:val="single"/>
        </w:rPr>
        <w:t>kg/h</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2822"/>
        <w:gridCol w:w="2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2" w:type="dxa"/>
            <w:noWrap w:val="0"/>
            <w:vAlign w:val="center"/>
          </w:tcPr>
          <w:p>
            <w:pPr>
              <w:pStyle w:val="73"/>
              <w:rPr>
                <w:rFonts w:hint="default" w:ascii="Times New Roman" w:hAnsi="Times New Roman" w:cs="Times New Roman"/>
                <w:b/>
                <w:bCs/>
                <w:u w:val="single"/>
              </w:rPr>
            </w:pPr>
            <w:r>
              <w:rPr>
                <w:rFonts w:hint="default" w:ascii="Times New Roman" w:hAnsi="Times New Roman" w:cs="Times New Roman"/>
                <w:b/>
                <w:bCs/>
                <w:u w:val="single"/>
              </w:rPr>
              <w:t>污染源</w:t>
            </w:r>
          </w:p>
        </w:tc>
        <w:tc>
          <w:tcPr>
            <w:tcW w:w="2822" w:type="dxa"/>
            <w:noWrap w:val="0"/>
            <w:vAlign w:val="center"/>
          </w:tcPr>
          <w:p>
            <w:pPr>
              <w:pStyle w:val="73"/>
              <w:rPr>
                <w:rFonts w:hint="default" w:ascii="Times New Roman" w:hAnsi="Times New Roman" w:cs="Times New Roman"/>
                <w:b/>
                <w:bCs/>
                <w:u w:val="single"/>
                <w:vertAlign w:val="subscript"/>
              </w:rPr>
            </w:pPr>
            <w:r>
              <w:rPr>
                <w:rFonts w:hint="default" w:ascii="Times New Roman" w:hAnsi="Times New Roman" w:cs="Times New Roman"/>
                <w:b/>
                <w:bCs/>
                <w:u w:val="single"/>
              </w:rPr>
              <w:t>NH</w:t>
            </w:r>
            <w:r>
              <w:rPr>
                <w:rFonts w:hint="default" w:ascii="Times New Roman" w:hAnsi="Times New Roman" w:cs="Times New Roman"/>
                <w:b/>
                <w:bCs/>
                <w:u w:val="single"/>
                <w:vertAlign w:val="subscript"/>
              </w:rPr>
              <w:t>3</w:t>
            </w:r>
          </w:p>
        </w:tc>
        <w:tc>
          <w:tcPr>
            <w:tcW w:w="2822" w:type="dxa"/>
            <w:noWrap w:val="0"/>
            <w:vAlign w:val="center"/>
          </w:tcPr>
          <w:p>
            <w:pPr>
              <w:pStyle w:val="73"/>
              <w:rPr>
                <w:rFonts w:hint="default" w:ascii="Times New Roman" w:hAnsi="Times New Roman" w:cs="Times New Roman"/>
                <w:b/>
                <w:bCs/>
                <w:u w:val="single"/>
              </w:rPr>
            </w:pPr>
            <w:r>
              <w:rPr>
                <w:rFonts w:hint="default" w:ascii="Times New Roman" w:hAnsi="Times New Roman" w:cs="Times New Roman"/>
                <w:b/>
                <w:bCs/>
                <w:u w:val="single"/>
              </w:rPr>
              <w:t>H</w:t>
            </w:r>
            <w:r>
              <w:rPr>
                <w:rFonts w:hint="default" w:ascii="Times New Roman" w:hAnsi="Times New Roman" w:cs="Times New Roman"/>
                <w:b/>
                <w:bCs/>
                <w:u w:val="single"/>
                <w:vertAlign w:val="subscript"/>
              </w:rPr>
              <w:t>2</w:t>
            </w:r>
            <w:r>
              <w:rPr>
                <w:rFonts w:hint="default" w:ascii="Times New Roman" w:hAnsi="Times New Roman" w:cs="Times New Roman"/>
                <w:b/>
                <w:bCs/>
                <w:u w:val="singl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2" w:type="dxa"/>
            <w:noWrap w:val="0"/>
            <w:vAlign w:val="center"/>
          </w:tcPr>
          <w:p>
            <w:pPr>
              <w:pStyle w:val="73"/>
              <w:rPr>
                <w:rFonts w:hint="default" w:ascii="Times New Roman" w:hAnsi="Times New Roman" w:cs="Times New Roman"/>
                <w:u w:val="single"/>
              </w:rPr>
            </w:pPr>
            <w:r>
              <w:rPr>
                <w:rFonts w:hint="default" w:ascii="Times New Roman" w:hAnsi="Times New Roman" w:cs="Times New Roman"/>
                <w:u w:val="single"/>
              </w:rPr>
              <w:t>污水处理构筑物</w:t>
            </w:r>
          </w:p>
        </w:tc>
        <w:tc>
          <w:tcPr>
            <w:tcW w:w="2822" w:type="dxa"/>
            <w:noWrap w:val="0"/>
            <w:vAlign w:val="center"/>
          </w:tcPr>
          <w:p>
            <w:pPr>
              <w:pStyle w:val="73"/>
              <w:rPr>
                <w:rFonts w:hint="default" w:ascii="Times New Roman" w:hAnsi="Times New Roman" w:eastAsia="宋体" w:cs="Times New Roman"/>
                <w:u w:val="single"/>
                <w:lang w:val="en-US" w:eastAsia="zh-CN"/>
              </w:rPr>
            </w:pPr>
            <w:r>
              <w:rPr>
                <w:rFonts w:hint="eastAsia" w:ascii="Times New Roman" w:cs="Times New Roman"/>
                <w:u w:val="single"/>
                <w:lang w:val="en-US" w:eastAsia="zh-CN"/>
              </w:rPr>
              <w:t>0.1313</w:t>
            </w:r>
          </w:p>
        </w:tc>
        <w:tc>
          <w:tcPr>
            <w:tcW w:w="2822" w:type="dxa"/>
            <w:noWrap w:val="0"/>
            <w:vAlign w:val="center"/>
          </w:tcPr>
          <w:p>
            <w:pPr>
              <w:pStyle w:val="73"/>
              <w:rPr>
                <w:rFonts w:hint="default" w:ascii="Times New Roman" w:hAnsi="Times New Roman" w:eastAsia="宋体" w:cs="Times New Roman"/>
                <w:u w:val="single"/>
                <w:lang w:val="en-US" w:eastAsia="zh-CN"/>
              </w:rPr>
            </w:pPr>
            <w:r>
              <w:rPr>
                <w:rFonts w:hint="eastAsia" w:ascii="Times New Roman" w:cs="Times New Roman"/>
                <w:u w:val="single"/>
                <w:lang w:val="en-US" w:eastAsia="zh-CN"/>
              </w:rPr>
              <w:t>0.0051</w:t>
            </w:r>
          </w:p>
        </w:tc>
      </w:tr>
    </w:tbl>
    <w:p>
      <w:pPr>
        <w:widowControl w:val="0"/>
        <w:ind w:firstLine="480"/>
        <w:jc w:val="both"/>
        <w:rPr>
          <w:color w:val="auto"/>
          <w:kern w:val="0"/>
          <w:u w:val="none"/>
        </w:rPr>
      </w:pPr>
      <w:r>
        <w:rPr>
          <w:rFonts w:hint="eastAsia"/>
          <w:kern w:val="0"/>
          <w:u w:val="single"/>
        </w:rPr>
        <w:t>本项目除臭系统风机量为</w:t>
      </w:r>
      <w:r>
        <w:rPr>
          <w:rFonts w:hint="eastAsia"/>
          <w:kern w:val="0"/>
          <w:u w:val="single"/>
          <w:lang w:val="en-US" w:eastAsia="zh-CN"/>
        </w:rPr>
        <w:t>2500</w:t>
      </w:r>
      <w:r>
        <w:rPr>
          <w:rFonts w:hint="eastAsia"/>
          <w:kern w:val="0"/>
          <w:u w:val="single"/>
        </w:rPr>
        <w:t>m</w:t>
      </w:r>
      <w:r>
        <w:rPr>
          <w:rFonts w:hint="eastAsia"/>
          <w:kern w:val="0"/>
          <w:u w:val="single"/>
          <w:vertAlign w:val="superscript"/>
        </w:rPr>
        <w:t>3</w:t>
      </w:r>
      <w:r>
        <w:rPr>
          <w:rFonts w:hint="eastAsia"/>
          <w:kern w:val="0"/>
          <w:u w:val="single"/>
        </w:rPr>
        <w:t>/h；数量：1座。根据《城镇污水处理厂臭气处理技术规程》（CJJ/T243-2016）要求，城镇污水处理厂臭气的收集系统设计漏风系数10%及一般净化组装臭气去除率不小于90%，考虑到实际收集及运行情况难以达到设计要求，环评按照收集率取90%，去除率取 90% 进行估算，经处理后再经 15m 排气筒排放。</w:t>
      </w:r>
    </w:p>
    <w:p>
      <w:pPr>
        <w:widowControl w:val="0"/>
        <w:ind w:firstLine="480"/>
        <w:jc w:val="both"/>
        <w:rPr>
          <w:rFonts w:hint="default" w:ascii="Times New Roman" w:hAnsi="Times New Roman" w:cs="Times New Roman"/>
          <w:color w:val="auto"/>
          <w:kern w:val="0"/>
          <w:u w:val="none"/>
        </w:rPr>
      </w:pPr>
      <w:r>
        <w:rPr>
          <w:color w:val="auto"/>
          <w:kern w:val="0"/>
          <w:u w:val="single"/>
        </w:rPr>
        <w:t>本项目</w:t>
      </w:r>
      <w:r>
        <w:rPr>
          <w:rFonts w:hint="eastAsia"/>
          <w:color w:val="auto"/>
          <w:kern w:val="0"/>
          <w:u w:val="single"/>
          <w:lang w:eastAsia="zh-CN"/>
        </w:rPr>
        <w:t>无组织废气</w:t>
      </w:r>
      <w:r>
        <w:rPr>
          <w:color w:val="auto"/>
          <w:kern w:val="0"/>
          <w:u w:val="single"/>
        </w:rPr>
        <w:t>采用植物提取液喷雾法除臭，将植物提取液通过专业设备喷洒成雾状，大大增加吸收液表面积，加快对空气中的异味分子的吸收，反应产物为可生化降解的无毒无害产物，无二次污染。</w:t>
      </w:r>
      <w:r>
        <w:rPr>
          <w:rFonts w:hint="eastAsia"/>
          <w:color w:val="auto"/>
          <w:kern w:val="0"/>
          <w:u w:val="single"/>
        </w:rPr>
        <w:t>根据广东省微生物研究所罗永华等人的研究，微生物除</w:t>
      </w:r>
      <w:r>
        <w:rPr>
          <w:rFonts w:hint="default" w:ascii="Times New Roman" w:hAnsi="Times New Roman" w:cs="Times New Roman"/>
          <w:color w:val="auto"/>
          <w:kern w:val="0"/>
          <w:u w:val="single"/>
        </w:rPr>
        <w:t>臭剂（由氨氧化细菌、硫氧化细菌等多种微生物复合发酵制成的生物除臭剂）对氨气的去除率65.2~75.2（本项目取65%），对硫化氢的去除率则可达90%以上（本项目取90%）。</w:t>
      </w:r>
    </w:p>
    <w:p>
      <w:pPr>
        <w:tabs>
          <w:tab w:val="left" w:pos="915"/>
        </w:tabs>
        <w:ind w:firstLine="422"/>
        <w:jc w:val="center"/>
        <w:rPr>
          <w:rFonts w:hint="eastAsia"/>
          <w:b/>
          <w:color w:val="auto"/>
          <w:kern w:val="0"/>
          <w:sz w:val="21"/>
          <w:szCs w:val="21"/>
          <w:u w:val="single"/>
        </w:rPr>
      </w:pPr>
      <w:r>
        <w:rPr>
          <w:rFonts w:hint="eastAsia"/>
          <w:b/>
          <w:color w:val="auto"/>
          <w:kern w:val="0"/>
          <w:sz w:val="21"/>
          <w:szCs w:val="21"/>
          <w:u w:val="single"/>
        </w:rPr>
        <w:t>表2.4-</w:t>
      </w:r>
      <w:r>
        <w:rPr>
          <w:rFonts w:hint="eastAsia"/>
          <w:b/>
          <w:color w:val="auto"/>
          <w:kern w:val="0"/>
          <w:sz w:val="21"/>
          <w:szCs w:val="21"/>
          <w:u w:val="single"/>
          <w:lang w:val="en-US" w:eastAsia="zh-CN"/>
        </w:rPr>
        <w:t>7</w:t>
      </w:r>
      <w:r>
        <w:rPr>
          <w:rFonts w:hint="eastAsia"/>
          <w:b/>
          <w:color w:val="auto"/>
          <w:kern w:val="0"/>
          <w:sz w:val="21"/>
          <w:szCs w:val="21"/>
          <w:u w:val="single"/>
        </w:rPr>
        <w:t>本项目主要构筑物恶臭污染物有组织排放源强产排量</w:t>
      </w:r>
    </w:p>
    <w:tbl>
      <w:tblPr>
        <w:tblStyle w:val="36"/>
        <w:tblW w:w="52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625"/>
        <w:gridCol w:w="570"/>
        <w:gridCol w:w="810"/>
        <w:gridCol w:w="705"/>
        <w:gridCol w:w="645"/>
        <w:gridCol w:w="735"/>
        <w:gridCol w:w="735"/>
        <w:gridCol w:w="690"/>
        <w:gridCol w:w="960"/>
        <w:gridCol w:w="75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84" w:type="pct"/>
            <w:vMerge w:val="restar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构建物名称</w:t>
            </w:r>
          </w:p>
        </w:tc>
        <w:tc>
          <w:tcPr>
            <w:tcW w:w="1511" w:type="pct"/>
            <w:gridSpan w:val="4"/>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恶臭污染物产生量</w:t>
            </w:r>
          </w:p>
        </w:tc>
        <w:tc>
          <w:tcPr>
            <w:tcW w:w="359" w:type="pct"/>
            <w:vMerge w:val="restar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除臭措施</w:t>
            </w:r>
          </w:p>
        </w:tc>
        <w:tc>
          <w:tcPr>
            <w:tcW w:w="410" w:type="pct"/>
            <w:vMerge w:val="restar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除臭效率</w:t>
            </w:r>
          </w:p>
        </w:tc>
        <w:tc>
          <w:tcPr>
            <w:tcW w:w="1748" w:type="pct"/>
            <w:gridSpan w:val="4"/>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恶臭污染物排放量</w:t>
            </w:r>
          </w:p>
        </w:tc>
        <w:tc>
          <w:tcPr>
            <w:tcW w:w="384" w:type="pct"/>
            <w:vMerge w:val="restart"/>
            <w:noWrap w:val="0"/>
            <w:vAlign w:val="center"/>
          </w:tcPr>
          <w:p>
            <w:pPr>
              <w:pStyle w:val="73"/>
              <w:rPr>
                <w:rFonts w:hint="default" w:ascii="Times New Roman" w:hAnsi="Times New Roman" w:eastAsia="宋体" w:cs="Times New Roman"/>
                <w:b/>
                <w:bCs/>
                <w:color w:val="auto"/>
                <w:u w:val="single"/>
              </w:rPr>
            </w:pPr>
            <w:r>
              <w:rPr>
                <w:rFonts w:hint="default" w:ascii="Times New Roman" w:hAnsi="Times New Roman" w:eastAsia="宋体" w:cs="Times New Roman"/>
                <w:b/>
                <w:bCs/>
                <w:color w:val="auto"/>
                <w:u w:val="singl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84" w:type="pct"/>
            <w:vMerge w:val="continue"/>
            <w:noWrap w:val="0"/>
            <w:vAlign w:val="center"/>
          </w:tcPr>
          <w:p>
            <w:pPr>
              <w:pStyle w:val="73"/>
              <w:rPr>
                <w:rFonts w:hint="default" w:ascii="Times New Roman" w:hAnsi="Times New Roman" w:eastAsia="宋体" w:cs="Times New Roman"/>
                <w:color w:val="auto"/>
                <w:u w:val="single"/>
              </w:rPr>
            </w:pPr>
          </w:p>
        </w:tc>
        <w:tc>
          <w:tcPr>
            <w:tcW w:w="666"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NH</w:t>
            </w:r>
            <w:r>
              <w:rPr>
                <w:rFonts w:hint="default" w:ascii="Times New Roman" w:hAnsi="Times New Roman" w:eastAsia="宋体" w:cs="Times New Roman"/>
                <w:color w:val="auto"/>
                <w:u w:val="single"/>
                <w:vertAlign w:val="subscript"/>
              </w:rPr>
              <w:t>3</w:t>
            </w:r>
          </w:p>
        </w:tc>
        <w:tc>
          <w:tcPr>
            <w:tcW w:w="845"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H</w:t>
            </w:r>
            <w:r>
              <w:rPr>
                <w:rFonts w:hint="default" w:ascii="Times New Roman" w:hAnsi="Times New Roman" w:eastAsia="宋体" w:cs="Times New Roman"/>
                <w:color w:val="auto"/>
                <w:u w:val="single"/>
                <w:vertAlign w:val="subscript"/>
              </w:rPr>
              <w:t>2</w:t>
            </w:r>
            <w:r>
              <w:rPr>
                <w:rFonts w:hint="default" w:ascii="Times New Roman" w:hAnsi="Times New Roman" w:eastAsia="宋体" w:cs="Times New Roman"/>
                <w:color w:val="auto"/>
                <w:u w:val="single"/>
              </w:rPr>
              <w:t>S</w:t>
            </w:r>
          </w:p>
        </w:tc>
        <w:tc>
          <w:tcPr>
            <w:tcW w:w="359" w:type="pct"/>
            <w:vMerge w:val="continue"/>
            <w:noWrap w:val="0"/>
            <w:vAlign w:val="center"/>
          </w:tcPr>
          <w:p>
            <w:pPr>
              <w:pStyle w:val="73"/>
              <w:rPr>
                <w:rFonts w:hint="default" w:ascii="Times New Roman" w:hAnsi="Times New Roman" w:eastAsia="宋体" w:cs="Times New Roman"/>
                <w:color w:val="auto"/>
                <w:u w:val="single"/>
              </w:rPr>
            </w:pPr>
          </w:p>
        </w:tc>
        <w:tc>
          <w:tcPr>
            <w:tcW w:w="410" w:type="pct"/>
            <w:vMerge w:val="continue"/>
            <w:noWrap w:val="0"/>
            <w:vAlign w:val="top"/>
          </w:tcPr>
          <w:p>
            <w:pPr>
              <w:pStyle w:val="73"/>
              <w:rPr>
                <w:rFonts w:hint="default" w:ascii="Times New Roman" w:hAnsi="Times New Roman" w:eastAsia="宋体" w:cs="Times New Roman"/>
                <w:color w:val="auto"/>
                <w:u w:val="single"/>
              </w:rPr>
            </w:pPr>
          </w:p>
        </w:tc>
        <w:tc>
          <w:tcPr>
            <w:tcW w:w="794"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NH</w:t>
            </w:r>
            <w:r>
              <w:rPr>
                <w:rFonts w:hint="default" w:ascii="Times New Roman" w:hAnsi="Times New Roman" w:eastAsia="宋体" w:cs="Times New Roman"/>
                <w:color w:val="auto"/>
                <w:u w:val="single"/>
                <w:vertAlign w:val="subscript"/>
              </w:rPr>
              <w:t>3</w:t>
            </w:r>
          </w:p>
        </w:tc>
        <w:tc>
          <w:tcPr>
            <w:tcW w:w="953" w:type="pct"/>
            <w:gridSpan w:val="2"/>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H</w:t>
            </w:r>
            <w:r>
              <w:rPr>
                <w:rFonts w:hint="default" w:ascii="Times New Roman" w:hAnsi="Times New Roman" w:eastAsia="宋体" w:cs="Times New Roman"/>
                <w:color w:val="auto"/>
                <w:u w:val="single"/>
                <w:vertAlign w:val="subscript"/>
              </w:rPr>
              <w:t>2</w:t>
            </w:r>
            <w:r>
              <w:rPr>
                <w:rFonts w:hint="default" w:ascii="Times New Roman" w:hAnsi="Times New Roman" w:eastAsia="宋体" w:cs="Times New Roman"/>
                <w:color w:val="auto"/>
                <w:u w:val="single"/>
              </w:rPr>
              <w:t>S</w:t>
            </w:r>
          </w:p>
        </w:tc>
        <w:tc>
          <w:tcPr>
            <w:tcW w:w="384" w:type="pct"/>
            <w:vMerge w:val="continue"/>
            <w:noWrap w:val="0"/>
            <w:vAlign w:val="center"/>
          </w:tcPr>
          <w:p>
            <w:pPr>
              <w:pStyle w:val="73"/>
              <w:rPr>
                <w:rFonts w:hint="default" w:ascii="Times New Roman" w:hAnsi="Times New Roman" w:eastAsia="宋体"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84" w:type="pct"/>
            <w:vMerge w:val="continue"/>
            <w:noWrap w:val="0"/>
            <w:vAlign w:val="center"/>
          </w:tcPr>
          <w:p>
            <w:pPr>
              <w:pStyle w:val="73"/>
              <w:rPr>
                <w:rFonts w:hint="default" w:ascii="Times New Roman" w:hAnsi="Times New Roman" w:eastAsia="宋体" w:cs="Times New Roman"/>
                <w:color w:val="auto"/>
                <w:u w:val="single"/>
              </w:rPr>
            </w:pPr>
          </w:p>
        </w:tc>
        <w:tc>
          <w:tcPr>
            <w:tcW w:w="348"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kg/h</w:t>
            </w:r>
          </w:p>
        </w:tc>
        <w:tc>
          <w:tcPr>
            <w:tcW w:w="317"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t/a</w:t>
            </w:r>
          </w:p>
        </w:tc>
        <w:tc>
          <w:tcPr>
            <w:tcW w:w="451"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kg/h</w:t>
            </w:r>
          </w:p>
        </w:tc>
        <w:tc>
          <w:tcPr>
            <w:tcW w:w="393"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val="en-US" w:eastAsia="zh-CN"/>
              </w:rPr>
              <w:t>t/a</w:t>
            </w:r>
          </w:p>
        </w:tc>
        <w:tc>
          <w:tcPr>
            <w:tcW w:w="359" w:type="pct"/>
            <w:vMerge w:val="continue"/>
            <w:noWrap w:val="0"/>
            <w:vAlign w:val="center"/>
          </w:tcPr>
          <w:p>
            <w:pPr>
              <w:pStyle w:val="73"/>
              <w:rPr>
                <w:rFonts w:hint="default" w:ascii="Times New Roman" w:hAnsi="Times New Roman" w:eastAsia="宋体" w:cs="Times New Roman"/>
                <w:color w:val="auto"/>
                <w:u w:val="single"/>
              </w:rPr>
            </w:pPr>
          </w:p>
        </w:tc>
        <w:tc>
          <w:tcPr>
            <w:tcW w:w="410" w:type="pct"/>
            <w:vMerge w:val="continue"/>
            <w:noWrap w:val="0"/>
            <w:vAlign w:val="top"/>
          </w:tcPr>
          <w:p>
            <w:pPr>
              <w:pStyle w:val="73"/>
              <w:rPr>
                <w:rFonts w:hint="default" w:ascii="Times New Roman" w:hAnsi="Times New Roman" w:eastAsia="宋体" w:cs="Times New Roman"/>
                <w:color w:val="auto"/>
                <w:u w:val="single"/>
              </w:rPr>
            </w:pPr>
          </w:p>
        </w:tc>
        <w:tc>
          <w:tcPr>
            <w:tcW w:w="410"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kg/h</w:t>
            </w:r>
          </w:p>
        </w:tc>
        <w:tc>
          <w:tcPr>
            <w:tcW w:w="384"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val="en-US" w:eastAsia="zh-CN"/>
              </w:rPr>
              <w:t>t/a</w:t>
            </w:r>
          </w:p>
        </w:tc>
        <w:tc>
          <w:tcPr>
            <w:tcW w:w="535"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kg/h</w:t>
            </w:r>
          </w:p>
        </w:tc>
        <w:tc>
          <w:tcPr>
            <w:tcW w:w="418"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val="en-US" w:eastAsia="zh-CN"/>
              </w:rPr>
              <w:t>t/a</w:t>
            </w:r>
          </w:p>
        </w:tc>
        <w:tc>
          <w:tcPr>
            <w:tcW w:w="384" w:type="pct"/>
            <w:vMerge w:val="continue"/>
            <w:noWrap w:val="0"/>
            <w:vAlign w:val="center"/>
          </w:tcPr>
          <w:p>
            <w:pPr>
              <w:pStyle w:val="73"/>
              <w:rPr>
                <w:rFonts w:hint="default" w:ascii="Times New Roman" w:hAnsi="Times New Roman" w:eastAsia="宋体"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584" w:type="pct"/>
            <w:noWrap w:val="0"/>
            <w:vAlign w:val="center"/>
          </w:tcPr>
          <w:p>
            <w:pPr>
              <w:pStyle w:val="73"/>
              <w:jc w:val="both"/>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格栅渠、沉砂池、调节池、</w:t>
            </w:r>
            <w:r>
              <w:rPr>
                <w:rFonts w:hint="default" w:ascii="Times New Roman" w:hAnsi="Times New Roman" w:eastAsia="宋体" w:cs="Times New Roman"/>
                <w:color w:val="auto"/>
                <w:u w:val="single"/>
                <w:lang w:val="en-US" w:eastAsia="zh-CN"/>
              </w:rPr>
              <w:t>MBR设备、膜离线清洗池、清水池、</w:t>
            </w:r>
            <w:r>
              <w:rPr>
                <w:rFonts w:hint="default" w:ascii="Times New Roman" w:hAnsi="Times New Roman" w:eastAsia="宋体" w:cs="Times New Roman"/>
                <w:color w:val="auto"/>
                <w:u w:val="single"/>
                <w:lang w:eastAsia="zh-CN"/>
              </w:rPr>
              <w:t>污泥脱水间</w:t>
            </w:r>
          </w:p>
        </w:tc>
        <w:tc>
          <w:tcPr>
            <w:tcW w:w="348"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0.013485</w:t>
            </w:r>
          </w:p>
        </w:tc>
        <w:tc>
          <w:tcPr>
            <w:tcW w:w="317"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0.118129</w:t>
            </w:r>
          </w:p>
        </w:tc>
        <w:tc>
          <w:tcPr>
            <w:tcW w:w="451"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0.0005222</w:t>
            </w:r>
          </w:p>
        </w:tc>
        <w:tc>
          <w:tcPr>
            <w:tcW w:w="393"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0.004573</w:t>
            </w:r>
          </w:p>
        </w:tc>
        <w:tc>
          <w:tcPr>
            <w:tcW w:w="359"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活性炭除臭</w:t>
            </w:r>
          </w:p>
        </w:tc>
        <w:tc>
          <w:tcPr>
            <w:tcW w:w="410"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eastAsia="zh-CN"/>
              </w:rPr>
              <w:t>风机量为</w:t>
            </w:r>
            <w:r>
              <w:rPr>
                <w:rFonts w:hint="default" w:ascii="Times New Roman" w:hAnsi="Times New Roman" w:eastAsia="宋体" w:cs="Times New Roman"/>
                <w:color w:val="auto"/>
                <w:u w:val="single"/>
                <w:lang w:val="en-US" w:eastAsia="zh-CN"/>
              </w:rPr>
              <w:t>2500m</w:t>
            </w:r>
            <w:r>
              <w:rPr>
                <w:rFonts w:hint="default" w:ascii="Times New Roman" w:hAnsi="Times New Roman" w:eastAsia="宋体" w:cs="Times New Roman"/>
                <w:color w:val="auto"/>
                <w:u w:val="single"/>
                <w:vertAlign w:val="superscript"/>
                <w:lang w:val="en-US" w:eastAsia="zh-CN"/>
              </w:rPr>
              <w:t>3</w:t>
            </w:r>
            <w:r>
              <w:rPr>
                <w:rFonts w:hint="default" w:ascii="Times New Roman" w:hAnsi="Times New Roman" w:eastAsia="宋体" w:cs="Times New Roman"/>
                <w:color w:val="auto"/>
                <w:u w:val="single"/>
                <w:lang w:val="en-US" w:eastAsia="zh-CN"/>
              </w:rPr>
              <w:t>/h，</w:t>
            </w:r>
            <w:r>
              <w:rPr>
                <w:rFonts w:hint="default" w:ascii="Times New Roman" w:hAnsi="Times New Roman" w:eastAsia="宋体" w:cs="Times New Roman"/>
                <w:color w:val="auto"/>
                <w:u w:val="single"/>
                <w:lang w:eastAsia="zh-CN"/>
              </w:rPr>
              <w:t>处理效率</w:t>
            </w:r>
            <w:r>
              <w:rPr>
                <w:rFonts w:hint="default" w:ascii="Times New Roman" w:hAnsi="Times New Roman" w:eastAsia="宋体" w:cs="Times New Roman"/>
                <w:color w:val="auto"/>
                <w:u w:val="single"/>
                <w:lang w:val="en-US" w:eastAsia="zh-CN"/>
              </w:rPr>
              <w:t>90%</w:t>
            </w:r>
          </w:p>
        </w:tc>
        <w:tc>
          <w:tcPr>
            <w:tcW w:w="410"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0.001349</w:t>
            </w:r>
          </w:p>
        </w:tc>
        <w:tc>
          <w:tcPr>
            <w:tcW w:w="384"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0.011813</w:t>
            </w:r>
          </w:p>
        </w:tc>
        <w:tc>
          <w:tcPr>
            <w:tcW w:w="535"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0.000052</w:t>
            </w:r>
          </w:p>
        </w:tc>
        <w:tc>
          <w:tcPr>
            <w:tcW w:w="418"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0.000457</w:t>
            </w:r>
          </w:p>
        </w:tc>
        <w:tc>
          <w:tcPr>
            <w:tcW w:w="384" w:type="pct"/>
            <w:vMerge w:val="restar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4"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合计</w:t>
            </w:r>
          </w:p>
        </w:tc>
        <w:tc>
          <w:tcPr>
            <w:tcW w:w="625" w:type="dxa"/>
            <w:noWrap w:val="0"/>
            <w:vAlign w:val="center"/>
          </w:tcPr>
          <w:p>
            <w:pPr>
              <w:pStyle w:val="73"/>
              <w:ind w:firstLine="0" w:firstLineChars="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val="en-US" w:eastAsia="zh-CN"/>
              </w:rPr>
              <w:t>0.013485</w:t>
            </w:r>
          </w:p>
        </w:tc>
        <w:tc>
          <w:tcPr>
            <w:tcW w:w="57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u w:val="single"/>
                <w:lang w:val="en-US" w:eastAsia="zh-CN"/>
              </w:rPr>
              <w:t>0.118129</w:t>
            </w:r>
          </w:p>
        </w:tc>
        <w:tc>
          <w:tcPr>
            <w:tcW w:w="81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u w:val="single"/>
                <w:lang w:val="en-US" w:eastAsia="zh-CN"/>
              </w:rPr>
              <w:t>0.0005222</w:t>
            </w:r>
          </w:p>
        </w:tc>
        <w:tc>
          <w:tcPr>
            <w:tcW w:w="705"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u w:val="single"/>
                <w:lang w:val="en-US" w:eastAsia="zh-CN"/>
              </w:rPr>
              <w:t>0.004573</w:t>
            </w:r>
          </w:p>
        </w:tc>
        <w:tc>
          <w:tcPr>
            <w:tcW w:w="359" w:type="pct"/>
            <w:noWrap w:val="0"/>
            <w:vAlign w:val="center"/>
          </w:tcPr>
          <w:p>
            <w:pPr>
              <w:pStyle w:val="7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w:t>
            </w:r>
          </w:p>
        </w:tc>
        <w:tc>
          <w:tcPr>
            <w:tcW w:w="410" w:type="pct"/>
            <w:noWrap w:val="0"/>
            <w:vAlign w:val="top"/>
          </w:tcPr>
          <w:p>
            <w:pPr>
              <w:pStyle w:val="73"/>
              <w:rPr>
                <w:rFonts w:hint="default" w:ascii="Times New Roman" w:hAnsi="Times New Roman" w:eastAsia="宋体" w:cs="Times New Roman"/>
                <w:color w:val="auto"/>
                <w:u w:val="single"/>
                <w:lang w:val="en-US" w:eastAsia="zh-CN"/>
              </w:rPr>
            </w:pPr>
          </w:p>
        </w:tc>
        <w:tc>
          <w:tcPr>
            <w:tcW w:w="735" w:type="dxa"/>
            <w:noWrap w:val="0"/>
            <w:vAlign w:val="center"/>
          </w:tcPr>
          <w:p>
            <w:pPr>
              <w:pStyle w:val="73"/>
              <w:ind w:firstLine="0" w:firstLineChars="0"/>
              <w:rPr>
                <w:rFonts w:hint="default" w:ascii="Times New Roman" w:hAnsi="Times New Roman" w:eastAsia="宋体" w:cs="Times New Roman"/>
                <w:color w:val="auto"/>
                <w:u w:val="single"/>
                <w:lang w:val="en-US"/>
              </w:rPr>
            </w:pPr>
            <w:r>
              <w:rPr>
                <w:rFonts w:hint="default" w:ascii="Times New Roman" w:hAnsi="Times New Roman" w:eastAsia="宋体" w:cs="Times New Roman"/>
                <w:color w:val="auto"/>
                <w:u w:val="single"/>
                <w:lang w:val="en-US" w:eastAsia="zh-CN"/>
              </w:rPr>
              <w:t>0.001349</w:t>
            </w:r>
          </w:p>
        </w:tc>
        <w:tc>
          <w:tcPr>
            <w:tcW w:w="69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u w:val="single"/>
                <w:lang w:val="en-US" w:eastAsia="zh-CN"/>
              </w:rPr>
              <w:t>0.011813</w:t>
            </w:r>
          </w:p>
        </w:tc>
        <w:tc>
          <w:tcPr>
            <w:tcW w:w="96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u w:val="single"/>
                <w:lang w:val="en-US" w:eastAsia="zh-CN"/>
              </w:rPr>
              <w:t>0.000052</w:t>
            </w:r>
          </w:p>
        </w:tc>
        <w:tc>
          <w:tcPr>
            <w:tcW w:w="75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u w:val="single"/>
                <w:lang w:val="en-US" w:eastAsia="zh-CN"/>
              </w:rPr>
              <w:t>0.000457</w:t>
            </w:r>
          </w:p>
        </w:tc>
        <w:tc>
          <w:tcPr>
            <w:tcW w:w="384" w:type="pct"/>
            <w:vMerge w:val="continue"/>
            <w:noWrap w:val="0"/>
            <w:vAlign w:val="center"/>
          </w:tcPr>
          <w:p>
            <w:pPr>
              <w:pStyle w:val="73"/>
              <w:rPr>
                <w:rFonts w:hint="default" w:ascii="Times New Roman" w:hAnsi="Times New Roman" w:eastAsia="宋体" w:cs="Times New Roman"/>
                <w:color w:val="auto"/>
                <w:u w:val="single"/>
              </w:rPr>
            </w:pPr>
          </w:p>
        </w:tc>
      </w:tr>
    </w:tbl>
    <w:p>
      <w:pPr>
        <w:tabs>
          <w:tab w:val="left" w:pos="915"/>
        </w:tabs>
        <w:ind w:firstLine="422"/>
        <w:jc w:val="center"/>
        <w:rPr>
          <w:color w:val="auto"/>
          <w:u w:val="single"/>
        </w:rPr>
      </w:pPr>
      <w:r>
        <w:rPr>
          <w:rFonts w:hint="eastAsia"/>
          <w:b/>
          <w:color w:val="auto"/>
          <w:kern w:val="0"/>
          <w:sz w:val="21"/>
          <w:szCs w:val="21"/>
          <w:u w:val="single"/>
        </w:rPr>
        <w:t>表2.4 -</w:t>
      </w:r>
      <w:r>
        <w:rPr>
          <w:rFonts w:hint="eastAsia"/>
          <w:b/>
          <w:color w:val="auto"/>
          <w:kern w:val="0"/>
          <w:sz w:val="21"/>
          <w:szCs w:val="21"/>
          <w:u w:val="single"/>
          <w:lang w:val="en-US" w:eastAsia="zh-CN"/>
        </w:rPr>
        <w:t>8</w:t>
      </w:r>
      <w:r>
        <w:rPr>
          <w:rFonts w:hint="eastAsia"/>
          <w:b/>
          <w:color w:val="auto"/>
          <w:kern w:val="0"/>
          <w:sz w:val="21"/>
          <w:szCs w:val="21"/>
          <w:u w:val="single"/>
        </w:rPr>
        <w:t>本项目主要构筑物恶臭污染物无组织排放源强产排量</w:t>
      </w:r>
    </w:p>
    <w:tbl>
      <w:tblPr>
        <w:tblStyle w:val="36"/>
        <w:tblW w:w="53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625"/>
        <w:gridCol w:w="570"/>
        <w:gridCol w:w="810"/>
        <w:gridCol w:w="705"/>
        <w:gridCol w:w="645"/>
        <w:gridCol w:w="735"/>
        <w:gridCol w:w="735"/>
        <w:gridCol w:w="690"/>
        <w:gridCol w:w="960"/>
        <w:gridCol w:w="75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29" w:type="pct"/>
            <w:vMerge w:val="restart"/>
            <w:noWrap w:val="0"/>
            <w:vAlign w:val="center"/>
          </w:tcPr>
          <w:p>
            <w:pPr>
              <w:pStyle w:val="73"/>
              <w:rPr>
                <w:rFonts w:hint="eastAsia"/>
                <w:b/>
                <w:bCs/>
                <w:color w:val="auto"/>
                <w:u w:val="single"/>
              </w:rPr>
            </w:pPr>
            <w:r>
              <w:rPr>
                <w:rFonts w:hint="eastAsia"/>
                <w:b/>
                <w:bCs/>
                <w:color w:val="auto"/>
                <w:u w:val="single"/>
              </w:rPr>
              <w:t>构建物名称</w:t>
            </w:r>
          </w:p>
        </w:tc>
        <w:tc>
          <w:tcPr>
            <w:tcW w:w="1496" w:type="pct"/>
            <w:gridSpan w:val="4"/>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恶臭污染物产生量</w:t>
            </w:r>
          </w:p>
        </w:tc>
        <w:tc>
          <w:tcPr>
            <w:tcW w:w="356" w:type="pct"/>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除臭措施</w:t>
            </w:r>
          </w:p>
        </w:tc>
        <w:tc>
          <w:tcPr>
            <w:tcW w:w="405" w:type="pct"/>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除臭效率</w:t>
            </w:r>
          </w:p>
        </w:tc>
        <w:tc>
          <w:tcPr>
            <w:tcW w:w="1730" w:type="pct"/>
            <w:gridSpan w:val="4"/>
            <w:noWrap w:val="0"/>
            <w:vAlign w:val="center"/>
          </w:tcPr>
          <w:p>
            <w:pPr>
              <w:pStyle w:val="73"/>
              <w:rPr>
                <w:rFonts w:hint="eastAsia"/>
                <w:b/>
                <w:bCs/>
                <w:color w:val="auto"/>
                <w:u w:val="single"/>
              </w:rPr>
            </w:pPr>
            <w:r>
              <w:rPr>
                <w:rFonts w:hint="default" w:ascii="Times New Roman" w:hAnsi="Times New Roman" w:cs="Times New Roman"/>
                <w:b/>
                <w:bCs/>
                <w:color w:val="auto"/>
                <w:u w:val="single"/>
              </w:rPr>
              <w:t>恶臭污染物排放量</w:t>
            </w:r>
          </w:p>
        </w:tc>
        <w:tc>
          <w:tcPr>
            <w:tcW w:w="380" w:type="pct"/>
            <w:vMerge w:val="restart"/>
            <w:noWrap w:val="0"/>
            <w:vAlign w:val="center"/>
          </w:tcPr>
          <w:p>
            <w:pPr>
              <w:pStyle w:val="73"/>
              <w:rPr>
                <w:rFonts w:hint="eastAsia"/>
                <w:b/>
                <w:bCs/>
                <w:color w:val="auto"/>
                <w:u w:val="single"/>
              </w:rPr>
            </w:pPr>
            <w:r>
              <w:rPr>
                <w:rFonts w:hint="eastAsia"/>
                <w:b/>
                <w:bCs/>
                <w:color w:val="auto"/>
                <w:u w:val="singl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29" w:type="pct"/>
            <w:vMerge w:val="continue"/>
            <w:noWrap w:val="0"/>
            <w:vAlign w:val="center"/>
          </w:tcPr>
          <w:p>
            <w:pPr>
              <w:pStyle w:val="73"/>
              <w:rPr>
                <w:rFonts w:hint="eastAsia"/>
                <w:color w:val="auto"/>
                <w:u w:val="single"/>
              </w:rPr>
            </w:pPr>
          </w:p>
        </w:tc>
        <w:tc>
          <w:tcPr>
            <w:tcW w:w="659"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836"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356" w:type="pct"/>
            <w:vMerge w:val="continue"/>
            <w:noWrap w:val="0"/>
            <w:vAlign w:val="center"/>
          </w:tcPr>
          <w:p>
            <w:pPr>
              <w:pStyle w:val="73"/>
              <w:rPr>
                <w:rFonts w:hint="default" w:ascii="Times New Roman" w:hAnsi="Times New Roman" w:cs="Times New Roman"/>
                <w:color w:val="auto"/>
                <w:u w:val="single"/>
              </w:rPr>
            </w:pPr>
          </w:p>
        </w:tc>
        <w:tc>
          <w:tcPr>
            <w:tcW w:w="405" w:type="pct"/>
            <w:vMerge w:val="continue"/>
            <w:noWrap w:val="0"/>
            <w:vAlign w:val="top"/>
          </w:tcPr>
          <w:p>
            <w:pPr>
              <w:pStyle w:val="73"/>
              <w:rPr>
                <w:rFonts w:hint="default" w:ascii="Times New Roman" w:hAnsi="Times New Roman" w:cs="Times New Roman"/>
                <w:color w:val="auto"/>
                <w:u w:val="single"/>
              </w:rPr>
            </w:pPr>
          </w:p>
        </w:tc>
        <w:tc>
          <w:tcPr>
            <w:tcW w:w="786"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944" w:type="pct"/>
            <w:gridSpan w:val="2"/>
            <w:noWrap w:val="0"/>
            <w:vAlign w:val="center"/>
          </w:tcPr>
          <w:p>
            <w:pPr>
              <w:pStyle w:val="73"/>
              <w:rPr>
                <w:rFonts w:hint="eastAsia"/>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380" w:type="pct"/>
            <w:vMerge w:val="continue"/>
            <w:noWrap w:val="0"/>
            <w:vAlign w:val="center"/>
          </w:tcPr>
          <w:p>
            <w:pPr>
              <w:pStyle w:val="73"/>
              <w:rPr>
                <w:rFonts w:hint="eastAsia"/>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29" w:type="pct"/>
            <w:vMerge w:val="continue"/>
            <w:noWrap w:val="0"/>
            <w:vAlign w:val="center"/>
          </w:tcPr>
          <w:p>
            <w:pPr>
              <w:pStyle w:val="73"/>
              <w:rPr>
                <w:rFonts w:hint="eastAsia"/>
                <w:color w:val="auto"/>
                <w:u w:val="single"/>
              </w:rPr>
            </w:pPr>
          </w:p>
        </w:tc>
        <w:tc>
          <w:tcPr>
            <w:tcW w:w="345"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314"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t/a</w:t>
            </w:r>
          </w:p>
        </w:tc>
        <w:tc>
          <w:tcPr>
            <w:tcW w:w="447"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389" w:type="pct"/>
            <w:noWrap w:val="0"/>
            <w:vAlign w:val="center"/>
          </w:tcPr>
          <w:p>
            <w:pPr>
              <w:pStyle w:val="73"/>
              <w:rPr>
                <w:rFonts w:hint="default" w:ascii="Times New Roman" w:hAnsi="Times New Roman" w:cs="Times New Roman"/>
                <w:color w:val="auto"/>
                <w:u w:val="single"/>
              </w:rPr>
            </w:pPr>
            <w:r>
              <w:rPr>
                <w:rFonts w:hint="eastAsia" w:ascii="Times New Roman" w:hAnsi="Times New Roman" w:cs="Times New Roman"/>
                <w:color w:val="auto"/>
                <w:u w:val="single"/>
                <w:lang w:val="en-US" w:eastAsia="zh-CN"/>
              </w:rPr>
              <w:t>t/a</w:t>
            </w:r>
          </w:p>
        </w:tc>
        <w:tc>
          <w:tcPr>
            <w:tcW w:w="356" w:type="pct"/>
            <w:vMerge w:val="continue"/>
            <w:noWrap w:val="0"/>
            <w:vAlign w:val="center"/>
          </w:tcPr>
          <w:p>
            <w:pPr>
              <w:pStyle w:val="73"/>
              <w:rPr>
                <w:rFonts w:hint="default" w:ascii="Times New Roman" w:hAnsi="Times New Roman" w:cs="Times New Roman"/>
                <w:color w:val="auto"/>
                <w:u w:val="single"/>
              </w:rPr>
            </w:pPr>
          </w:p>
        </w:tc>
        <w:tc>
          <w:tcPr>
            <w:tcW w:w="405" w:type="pct"/>
            <w:vMerge w:val="continue"/>
            <w:noWrap w:val="0"/>
            <w:vAlign w:val="top"/>
          </w:tcPr>
          <w:p>
            <w:pPr>
              <w:pStyle w:val="73"/>
              <w:rPr>
                <w:rFonts w:hint="default" w:ascii="Times New Roman" w:hAnsi="Times New Roman" w:cs="Times New Roman"/>
                <w:color w:val="auto"/>
                <w:u w:val="single"/>
              </w:rPr>
            </w:pPr>
          </w:p>
        </w:tc>
        <w:tc>
          <w:tcPr>
            <w:tcW w:w="405"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380" w:type="pct"/>
            <w:noWrap w:val="0"/>
            <w:vAlign w:val="center"/>
          </w:tcPr>
          <w:p>
            <w:pPr>
              <w:pStyle w:val="73"/>
              <w:rPr>
                <w:rFonts w:hint="eastAsia" w:ascii="Times New Roman" w:hAnsi="Times New Roman" w:eastAsia="宋体" w:cs="Times New Roman"/>
                <w:color w:val="auto"/>
                <w:u w:val="single"/>
                <w:lang w:eastAsia="zh-CN"/>
              </w:rPr>
            </w:pPr>
            <w:r>
              <w:rPr>
                <w:rFonts w:hint="eastAsia" w:ascii="Times New Roman" w:hAnsi="Times New Roman" w:cs="Times New Roman"/>
                <w:color w:val="auto"/>
                <w:u w:val="single"/>
                <w:lang w:val="en-US" w:eastAsia="zh-CN"/>
              </w:rPr>
              <w:t>t/a</w:t>
            </w:r>
          </w:p>
        </w:tc>
        <w:tc>
          <w:tcPr>
            <w:tcW w:w="530"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414"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lang w:val="en-US" w:eastAsia="zh-CN"/>
              </w:rPr>
              <w:t>t/a</w:t>
            </w:r>
          </w:p>
        </w:tc>
        <w:tc>
          <w:tcPr>
            <w:tcW w:w="380" w:type="pct"/>
            <w:vMerge w:val="continue"/>
            <w:noWrap w:val="0"/>
            <w:vAlign w:val="center"/>
          </w:tcPr>
          <w:p>
            <w:pPr>
              <w:pStyle w:val="73"/>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629" w:type="pct"/>
            <w:noWrap w:val="0"/>
            <w:vAlign w:val="center"/>
          </w:tcPr>
          <w:p>
            <w:pPr>
              <w:pStyle w:val="73"/>
              <w:rPr>
                <w:rFonts w:hint="eastAsia" w:eastAsia="宋体"/>
                <w:color w:val="auto"/>
                <w:u w:val="single"/>
                <w:lang w:eastAsia="zh-CN"/>
              </w:rPr>
            </w:pPr>
            <w:r>
              <w:rPr>
                <w:rFonts w:hint="eastAsia"/>
                <w:color w:val="auto"/>
                <w:u w:val="single"/>
                <w:lang w:eastAsia="zh-CN"/>
              </w:rPr>
              <w:t>格栅渠、沉砂池、调节池、</w:t>
            </w:r>
            <w:r>
              <w:rPr>
                <w:rFonts w:hint="eastAsia"/>
                <w:color w:val="auto"/>
                <w:u w:val="single"/>
                <w:lang w:val="en-US" w:eastAsia="zh-CN"/>
              </w:rPr>
              <w:t>MBR设备、膜离线清洗池、清水池、</w:t>
            </w:r>
            <w:r>
              <w:rPr>
                <w:rFonts w:hint="eastAsia"/>
                <w:color w:val="auto"/>
                <w:u w:val="single"/>
                <w:lang w:eastAsia="zh-CN"/>
              </w:rPr>
              <w:t>污泥脱水间</w:t>
            </w:r>
          </w:p>
        </w:tc>
        <w:tc>
          <w:tcPr>
            <w:tcW w:w="345"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0.001498</w:t>
            </w:r>
          </w:p>
        </w:tc>
        <w:tc>
          <w:tcPr>
            <w:tcW w:w="314" w:type="pct"/>
            <w:noWrap w:val="0"/>
            <w:vAlign w:val="center"/>
          </w:tcPr>
          <w:p>
            <w:pPr>
              <w:pStyle w:val="73"/>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0.013125</w:t>
            </w:r>
          </w:p>
        </w:tc>
        <w:tc>
          <w:tcPr>
            <w:tcW w:w="447"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0.000058</w:t>
            </w:r>
          </w:p>
        </w:tc>
        <w:tc>
          <w:tcPr>
            <w:tcW w:w="389"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0.0000508</w:t>
            </w:r>
          </w:p>
        </w:tc>
        <w:tc>
          <w:tcPr>
            <w:tcW w:w="356"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加盖、绿化、喷洒植物除臭液</w:t>
            </w:r>
          </w:p>
        </w:tc>
        <w:tc>
          <w:tcPr>
            <w:tcW w:w="405" w:type="pct"/>
            <w:vMerge w:val="restart"/>
            <w:noWrap w:val="0"/>
            <w:vAlign w:val="center"/>
          </w:tcPr>
          <w:p>
            <w:pPr>
              <w:pStyle w:val="73"/>
              <w:rPr>
                <w:rFonts w:hint="default" w:ascii="Times New Roman" w:hAnsi="Times New Roman" w:cs="Times New Roman"/>
                <w:color w:val="auto"/>
                <w:u w:val="single"/>
                <w:lang w:val="en-US"/>
              </w:rPr>
            </w:pPr>
            <w:r>
              <w:rPr>
                <w:rFonts w:hint="eastAsia" w:ascii="Times New Roman" w:hAnsi="Times New Roman" w:cs="Times New Roman"/>
                <w:color w:val="auto"/>
                <w:u w:val="single"/>
                <w:lang w:eastAsia="zh-CN"/>
              </w:rPr>
              <w:t>氨气除臭效率为</w:t>
            </w:r>
            <w:r>
              <w:rPr>
                <w:rFonts w:hint="eastAsia" w:ascii="Times New Roman" w:hAnsi="Times New Roman" w:cs="Times New Roman"/>
                <w:color w:val="auto"/>
                <w:u w:val="single"/>
                <w:lang w:val="en-US" w:eastAsia="zh-CN"/>
              </w:rPr>
              <w:t>65%，硫化氢除臭效率为90%</w:t>
            </w:r>
          </w:p>
        </w:tc>
        <w:tc>
          <w:tcPr>
            <w:tcW w:w="405"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0.000524</w:t>
            </w:r>
          </w:p>
        </w:tc>
        <w:tc>
          <w:tcPr>
            <w:tcW w:w="380" w:type="pct"/>
            <w:noWrap w:val="0"/>
            <w:vAlign w:val="center"/>
          </w:tcPr>
          <w:p>
            <w:pPr>
              <w:pStyle w:val="73"/>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0.004594</w:t>
            </w:r>
          </w:p>
        </w:tc>
        <w:tc>
          <w:tcPr>
            <w:tcW w:w="530"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0.000006</w:t>
            </w:r>
          </w:p>
        </w:tc>
        <w:tc>
          <w:tcPr>
            <w:tcW w:w="414"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0.000051</w:t>
            </w:r>
          </w:p>
        </w:tc>
        <w:tc>
          <w:tcPr>
            <w:tcW w:w="380" w:type="pct"/>
            <w:vMerge w:val="restart"/>
            <w:noWrap w:val="0"/>
            <w:vAlign w:val="center"/>
          </w:tcPr>
          <w:p>
            <w:pPr>
              <w:pStyle w:val="73"/>
              <w:rPr>
                <w:rFonts w:hint="eastAsia"/>
                <w:color w:val="auto"/>
                <w:u w:val="single"/>
              </w:rPr>
            </w:pPr>
            <w:r>
              <w:rPr>
                <w:rFonts w:hint="eastAsia"/>
                <w:color w:val="auto"/>
                <w:u w:val="single"/>
                <w:lang w:eastAsia="zh-CN"/>
              </w:rPr>
              <w:t>无</w:t>
            </w:r>
            <w:r>
              <w:rPr>
                <w:rFonts w:hint="eastAsia"/>
                <w:color w:val="auto"/>
                <w:u w:val="single"/>
              </w:rPr>
              <w:t>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29" w:type="pct"/>
            <w:noWrap w:val="0"/>
            <w:vAlign w:val="center"/>
          </w:tcPr>
          <w:p>
            <w:pPr>
              <w:pStyle w:val="73"/>
              <w:rPr>
                <w:rFonts w:hint="eastAsia"/>
                <w:color w:val="auto"/>
                <w:u w:val="single"/>
              </w:rPr>
            </w:pPr>
            <w:r>
              <w:rPr>
                <w:rFonts w:hint="eastAsia"/>
                <w:color w:val="auto"/>
                <w:u w:val="single"/>
              </w:rPr>
              <w:t>合计</w:t>
            </w:r>
          </w:p>
        </w:tc>
        <w:tc>
          <w:tcPr>
            <w:tcW w:w="625" w:type="dxa"/>
            <w:noWrap w:val="0"/>
            <w:vAlign w:val="center"/>
          </w:tcPr>
          <w:p>
            <w:pPr>
              <w:pStyle w:val="73"/>
              <w:ind w:firstLine="0" w:firstLineChars="0"/>
              <w:rPr>
                <w:rFonts w:hint="default" w:ascii="Times New Roman" w:hAnsi="Times New Roman" w:cs="Times New Roman"/>
                <w:color w:val="auto"/>
                <w:u w:val="single"/>
                <w:lang w:val="en-US"/>
              </w:rPr>
            </w:pPr>
            <w:r>
              <w:rPr>
                <w:rFonts w:hint="eastAsia" w:ascii="Times New Roman" w:hAnsi="Times New Roman" w:cs="Times New Roman"/>
                <w:color w:val="auto"/>
                <w:u w:val="single"/>
                <w:lang w:val="en-US" w:eastAsia="zh-CN"/>
              </w:rPr>
              <w:t>0.001498</w:t>
            </w:r>
          </w:p>
        </w:tc>
        <w:tc>
          <w:tcPr>
            <w:tcW w:w="570" w:type="dxa"/>
            <w:noWrap w:val="0"/>
            <w:vAlign w:val="center"/>
          </w:tcPr>
          <w:p>
            <w:pPr>
              <w:pStyle w:val="73"/>
              <w:ind w:firstLine="0" w:firstLineChars="0"/>
              <w:rPr>
                <w:rFonts w:hint="default" w:ascii="Times New Roman" w:hAnsi="Times New Roman" w:cs="Times New Roman"/>
                <w:color w:val="auto"/>
                <w:kern w:val="0"/>
                <w:sz w:val="21"/>
                <w:szCs w:val="21"/>
                <w:u w:val="single"/>
                <w:lang w:val="en-US" w:eastAsia="zh-CN" w:bidi="ar-SA"/>
              </w:rPr>
            </w:pPr>
            <w:r>
              <w:rPr>
                <w:rFonts w:hint="eastAsia" w:ascii="Times New Roman" w:hAnsi="Times New Roman" w:cs="Times New Roman"/>
                <w:color w:val="auto"/>
                <w:u w:val="single"/>
                <w:lang w:val="en-US" w:eastAsia="zh-CN"/>
              </w:rPr>
              <w:t>0.013125</w:t>
            </w:r>
          </w:p>
        </w:tc>
        <w:tc>
          <w:tcPr>
            <w:tcW w:w="81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u w:val="single"/>
                <w:lang w:val="en-US" w:eastAsia="zh-CN"/>
              </w:rPr>
              <w:t>0.000058</w:t>
            </w:r>
          </w:p>
        </w:tc>
        <w:tc>
          <w:tcPr>
            <w:tcW w:w="705"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u w:val="single"/>
                <w:lang w:val="en-US" w:eastAsia="zh-CN"/>
              </w:rPr>
              <w:t>0.0000508</w:t>
            </w:r>
          </w:p>
        </w:tc>
        <w:tc>
          <w:tcPr>
            <w:tcW w:w="356" w:type="pct"/>
            <w:vMerge w:val="continue"/>
            <w:noWrap w:val="0"/>
            <w:vAlign w:val="center"/>
          </w:tcPr>
          <w:p>
            <w:pPr>
              <w:pStyle w:val="73"/>
              <w:rPr>
                <w:rFonts w:hint="default" w:ascii="Times New Roman" w:hAnsi="Times New Roman" w:cs="Times New Roman"/>
                <w:color w:val="auto"/>
                <w:u w:val="single"/>
              </w:rPr>
            </w:pPr>
          </w:p>
        </w:tc>
        <w:tc>
          <w:tcPr>
            <w:tcW w:w="405" w:type="pct"/>
            <w:vMerge w:val="continue"/>
            <w:noWrap w:val="0"/>
            <w:vAlign w:val="top"/>
          </w:tcPr>
          <w:p>
            <w:pPr>
              <w:pStyle w:val="73"/>
              <w:rPr>
                <w:rFonts w:hint="default" w:ascii="Times New Roman" w:hAnsi="Times New Roman" w:eastAsia="宋体" w:cs="Times New Roman"/>
                <w:color w:val="auto"/>
                <w:u w:val="single"/>
                <w:lang w:val="en-US" w:eastAsia="zh-CN"/>
              </w:rPr>
            </w:pPr>
          </w:p>
        </w:tc>
        <w:tc>
          <w:tcPr>
            <w:tcW w:w="735" w:type="dxa"/>
            <w:noWrap w:val="0"/>
            <w:vAlign w:val="center"/>
          </w:tcPr>
          <w:p>
            <w:pPr>
              <w:pStyle w:val="73"/>
              <w:ind w:firstLine="0" w:firstLineChars="0"/>
              <w:rPr>
                <w:rFonts w:hint="default" w:ascii="Times New Roman" w:hAnsi="Times New Roman" w:cs="Times New Roman"/>
                <w:color w:val="auto"/>
                <w:u w:val="single"/>
                <w:lang w:val="en-US"/>
              </w:rPr>
            </w:pPr>
            <w:r>
              <w:rPr>
                <w:rFonts w:hint="eastAsia" w:ascii="Times New Roman" w:hAnsi="Times New Roman" w:cs="Times New Roman"/>
                <w:color w:val="auto"/>
                <w:u w:val="single"/>
                <w:lang w:val="en-US" w:eastAsia="zh-CN"/>
              </w:rPr>
              <w:t>0.000524</w:t>
            </w:r>
          </w:p>
        </w:tc>
        <w:tc>
          <w:tcPr>
            <w:tcW w:w="690" w:type="dxa"/>
            <w:noWrap w:val="0"/>
            <w:vAlign w:val="center"/>
          </w:tcPr>
          <w:p>
            <w:pPr>
              <w:pStyle w:val="73"/>
              <w:ind w:firstLine="0" w:firstLineChars="0"/>
              <w:rPr>
                <w:rFonts w:hint="default" w:ascii="Times New Roman" w:hAnsi="Times New Roman" w:cs="Times New Roman"/>
                <w:color w:val="auto"/>
                <w:kern w:val="0"/>
                <w:sz w:val="21"/>
                <w:szCs w:val="21"/>
                <w:u w:val="single"/>
                <w:lang w:val="en-US" w:eastAsia="zh-CN" w:bidi="ar-SA"/>
              </w:rPr>
            </w:pPr>
            <w:r>
              <w:rPr>
                <w:rFonts w:hint="eastAsia" w:ascii="Times New Roman" w:hAnsi="Times New Roman" w:cs="Times New Roman"/>
                <w:color w:val="auto"/>
                <w:u w:val="single"/>
                <w:lang w:val="en-US" w:eastAsia="zh-CN"/>
              </w:rPr>
              <w:t>0.004594</w:t>
            </w:r>
          </w:p>
        </w:tc>
        <w:tc>
          <w:tcPr>
            <w:tcW w:w="96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u w:val="single"/>
                <w:lang w:val="en-US" w:eastAsia="zh-CN"/>
              </w:rPr>
              <w:t>0.000006</w:t>
            </w:r>
          </w:p>
        </w:tc>
        <w:tc>
          <w:tcPr>
            <w:tcW w:w="75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u w:val="single"/>
                <w:lang w:val="en-US" w:eastAsia="zh-CN"/>
              </w:rPr>
              <w:t>0.000051</w:t>
            </w:r>
          </w:p>
        </w:tc>
        <w:tc>
          <w:tcPr>
            <w:tcW w:w="380" w:type="pct"/>
            <w:vMerge w:val="continue"/>
            <w:noWrap w:val="0"/>
            <w:vAlign w:val="center"/>
          </w:tcPr>
          <w:p>
            <w:pPr>
              <w:pStyle w:val="73"/>
              <w:rPr>
                <w:rFonts w:hint="eastAsia"/>
                <w:color w:val="auto"/>
                <w:u w:val="single"/>
              </w:rPr>
            </w:pPr>
          </w:p>
        </w:tc>
      </w:tr>
    </w:tbl>
    <w:p>
      <w:pPr>
        <w:ind w:firstLine="422"/>
        <w:jc w:val="center"/>
        <w:rPr>
          <w:rFonts w:hint="eastAsia"/>
          <w:b/>
          <w:color w:val="auto"/>
          <w:kern w:val="0"/>
          <w:sz w:val="21"/>
          <w:szCs w:val="21"/>
          <w:u w:val="single"/>
        </w:rPr>
      </w:pPr>
      <w:r>
        <w:rPr>
          <w:rFonts w:hint="eastAsia"/>
          <w:b/>
          <w:color w:val="auto"/>
          <w:kern w:val="0"/>
          <w:sz w:val="21"/>
          <w:szCs w:val="21"/>
          <w:u w:val="single"/>
        </w:rPr>
        <w:t>表2.4-</w:t>
      </w:r>
      <w:r>
        <w:rPr>
          <w:rFonts w:hint="eastAsia"/>
          <w:b/>
          <w:color w:val="auto"/>
          <w:kern w:val="0"/>
          <w:sz w:val="21"/>
          <w:szCs w:val="21"/>
          <w:u w:val="single"/>
          <w:lang w:val="en-US" w:eastAsia="zh-CN"/>
        </w:rPr>
        <w:t>9</w:t>
      </w:r>
      <w:r>
        <w:rPr>
          <w:rFonts w:hint="eastAsia"/>
          <w:b/>
          <w:color w:val="auto"/>
          <w:kern w:val="0"/>
          <w:sz w:val="21"/>
          <w:szCs w:val="21"/>
          <w:u w:val="single"/>
        </w:rPr>
        <w:t>项目</w:t>
      </w:r>
      <w:r>
        <w:rPr>
          <w:rFonts w:hint="eastAsia"/>
          <w:b/>
          <w:color w:val="auto"/>
          <w:kern w:val="0"/>
          <w:sz w:val="21"/>
          <w:szCs w:val="21"/>
          <w:u w:val="single"/>
          <w:lang w:eastAsia="zh-CN"/>
        </w:rPr>
        <w:t>一期工程</w:t>
      </w:r>
      <w:r>
        <w:rPr>
          <w:rFonts w:hint="eastAsia"/>
          <w:b/>
          <w:color w:val="auto"/>
          <w:kern w:val="0"/>
          <w:sz w:val="21"/>
          <w:szCs w:val="21"/>
          <w:u w:val="single"/>
        </w:rPr>
        <w:t>恶臭污染物最终排放量一览表</w:t>
      </w:r>
    </w:p>
    <w:tbl>
      <w:tblPr>
        <w:tblStyle w:val="36"/>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4"/>
        <w:gridCol w:w="2214"/>
        <w:gridCol w:w="2215"/>
        <w:gridCol w:w="2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214"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污染物排放量</w:t>
            </w:r>
          </w:p>
        </w:tc>
        <w:tc>
          <w:tcPr>
            <w:tcW w:w="6645" w:type="dxa"/>
            <w:gridSpan w:val="3"/>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214" w:type="dxa"/>
            <w:vMerge w:val="continue"/>
            <w:noWrap w:val="0"/>
            <w:vAlign w:val="center"/>
          </w:tcPr>
          <w:p>
            <w:pPr>
              <w:pStyle w:val="73"/>
              <w:rPr>
                <w:rFonts w:hint="default" w:ascii="Times New Roman" w:hAnsi="Times New Roman" w:cs="Times New Roman"/>
                <w:color w:val="auto"/>
                <w:u w:val="single"/>
              </w:rPr>
            </w:pPr>
          </w:p>
        </w:tc>
        <w:tc>
          <w:tcPr>
            <w:tcW w:w="2214"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2215"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kg/d</w:t>
            </w:r>
          </w:p>
        </w:tc>
        <w:tc>
          <w:tcPr>
            <w:tcW w:w="221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214" w:type="dxa"/>
            <w:noWrap w:val="0"/>
            <w:vAlign w:val="center"/>
          </w:tcPr>
          <w:p>
            <w:pPr>
              <w:pStyle w:val="73"/>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2214"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0.001873</w:t>
            </w:r>
          </w:p>
        </w:tc>
        <w:tc>
          <w:tcPr>
            <w:tcW w:w="2215"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0.044950</w:t>
            </w:r>
          </w:p>
        </w:tc>
        <w:tc>
          <w:tcPr>
            <w:tcW w:w="2216"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0.016407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14"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2214"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0.000058</w:t>
            </w:r>
          </w:p>
        </w:tc>
        <w:tc>
          <w:tcPr>
            <w:tcW w:w="2215"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0.001392</w:t>
            </w:r>
          </w:p>
        </w:tc>
        <w:tc>
          <w:tcPr>
            <w:tcW w:w="2216"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0.000508</w:t>
            </w:r>
          </w:p>
        </w:tc>
      </w:tr>
    </w:tbl>
    <w:p>
      <w:pPr>
        <w:ind w:firstLine="482"/>
        <w:jc w:val="both"/>
        <w:rPr>
          <w:rFonts w:hint="eastAsia"/>
          <w:b/>
          <w:color w:val="auto"/>
          <w:kern w:val="0"/>
          <w:u w:val="single"/>
        </w:rPr>
      </w:pPr>
      <w:r>
        <w:rPr>
          <w:rFonts w:hint="eastAsia"/>
          <w:b/>
          <w:color w:val="auto"/>
          <w:kern w:val="0"/>
          <w:u w:val="single"/>
        </w:rPr>
        <w:t>（2）管道铺设工程</w:t>
      </w:r>
    </w:p>
    <w:p>
      <w:pPr>
        <w:pStyle w:val="104"/>
        <w:ind w:firstLine="480"/>
        <w:jc w:val="both"/>
        <w:rPr>
          <w:rFonts w:hint="eastAsia" w:ascii="Times New Roman" w:hAnsi="Times New Roman"/>
          <w:bCs/>
          <w:color w:val="auto"/>
          <w:szCs w:val="24"/>
          <w:u w:val="single"/>
        </w:rPr>
      </w:pPr>
      <w:r>
        <w:rPr>
          <w:rFonts w:hint="eastAsia" w:ascii="Times New Roman" w:hAnsi="Times New Roman"/>
          <w:color w:val="auto"/>
          <w:u w:val="single"/>
        </w:rPr>
        <w:t>管道铺设采用地底填埋，铺设完成运营后正常情况下不会对区域大气环境造成不良影响，污水管道的铺设</w:t>
      </w:r>
      <w:r>
        <w:rPr>
          <w:rFonts w:ascii="Times New Roman" w:hAnsi="Times New Roman"/>
          <w:bCs/>
          <w:color w:val="auto"/>
          <w:szCs w:val="24"/>
          <w:u w:val="single"/>
        </w:rPr>
        <w:t>实现污水的集中处理，减少废水的直接排放量，</w:t>
      </w:r>
      <w:r>
        <w:rPr>
          <w:rFonts w:hint="eastAsia" w:ascii="Times New Roman" w:hAnsi="Times New Roman"/>
          <w:bCs/>
          <w:color w:val="auto"/>
          <w:szCs w:val="24"/>
          <w:u w:val="single"/>
        </w:rPr>
        <w:t>有助于其自然生态环境的改善提高。</w:t>
      </w:r>
    </w:p>
    <w:p>
      <w:pPr>
        <w:pStyle w:val="69"/>
        <w:rPr>
          <w:rFonts w:hint="eastAsia"/>
          <w:color w:val="auto"/>
          <w:u w:val="none"/>
        </w:rPr>
      </w:pPr>
      <w:r>
        <w:rPr>
          <w:rFonts w:hint="eastAsia"/>
          <w:color w:val="auto"/>
          <w:u w:val="none"/>
        </w:rPr>
        <w:t>2.4.</w:t>
      </w:r>
      <w:r>
        <w:rPr>
          <w:color w:val="auto"/>
          <w:u w:val="none"/>
        </w:rPr>
        <w:t>5</w:t>
      </w:r>
      <w:r>
        <w:rPr>
          <w:rFonts w:hint="eastAsia"/>
          <w:color w:val="auto"/>
          <w:u w:val="none"/>
        </w:rPr>
        <w:t>.3噪声污染源</w:t>
      </w:r>
    </w:p>
    <w:p>
      <w:pPr>
        <w:bidi w:val="0"/>
        <w:rPr>
          <w:rFonts w:hint="eastAsia"/>
          <w:color w:val="auto"/>
          <w:u w:val="single"/>
        </w:rPr>
      </w:pPr>
      <w:r>
        <w:rPr>
          <w:rFonts w:hint="eastAsia"/>
          <w:color w:val="auto"/>
          <w:u w:val="single"/>
        </w:rPr>
        <w:t>（1）污水处理厂工程</w:t>
      </w:r>
    </w:p>
    <w:p>
      <w:pPr>
        <w:ind w:firstLine="480"/>
        <w:rPr>
          <w:b/>
          <w:color w:val="auto"/>
          <w:kern w:val="0"/>
          <w:u w:val="single"/>
        </w:rPr>
      </w:pPr>
      <w:r>
        <w:rPr>
          <w:rFonts w:hint="eastAsia"/>
          <w:color w:val="auto"/>
          <w:kern w:val="0"/>
          <w:u w:val="single"/>
        </w:rPr>
        <w:t>污水处理厂工程噪声源主要来自厂区</w:t>
      </w:r>
      <w:r>
        <w:rPr>
          <w:rFonts w:hint="eastAsia"/>
          <w:color w:val="auto"/>
          <w:kern w:val="0"/>
          <w:u w:val="single"/>
          <w:lang w:eastAsia="zh-CN"/>
        </w:rPr>
        <w:t>水池中机械设备</w:t>
      </w:r>
      <w:r>
        <w:rPr>
          <w:rFonts w:hint="eastAsia"/>
          <w:color w:val="auto"/>
          <w:kern w:val="0"/>
          <w:u w:val="single"/>
        </w:rPr>
        <w:t>、污泥</w:t>
      </w:r>
      <w:r>
        <w:rPr>
          <w:rFonts w:hint="eastAsia"/>
          <w:color w:val="auto"/>
          <w:kern w:val="0"/>
          <w:u w:val="single"/>
          <w:lang w:eastAsia="zh-CN"/>
        </w:rPr>
        <w:t>脱水机</w:t>
      </w:r>
      <w:r>
        <w:rPr>
          <w:rFonts w:hint="eastAsia"/>
          <w:color w:val="auto"/>
          <w:kern w:val="0"/>
          <w:u w:val="single"/>
        </w:rPr>
        <w:t>、M</w:t>
      </w:r>
      <w:r>
        <w:rPr>
          <w:color w:val="auto"/>
          <w:kern w:val="0"/>
          <w:u w:val="single"/>
        </w:rPr>
        <w:t>BR</w:t>
      </w:r>
      <w:r>
        <w:rPr>
          <w:rFonts w:hint="eastAsia"/>
          <w:color w:val="auto"/>
          <w:kern w:val="0"/>
          <w:u w:val="single"/>
          <w:lang w:eastAsia="zh-CN"/>
        </w:rPr>
        <w:t>设备</w:t>
      </w:r>
      <w:r>
        <w:rPr>
          <w:rFonts w:hint="eastAsia"/>
          <w:color w:val="auto"/>
          <w:kern w:val="0"/>
          <w:u w:val="single"/>
        </w:rPr>
        <w:t>及</w:t>
      </w:r>
      <w:r>
        <w:rPr>
          <w:rFonts w:hint="eastAsia"/>
          <w:color w:val="auto"/>
          <w:kern w:val="0"/>
          <w:u w:val="single"/>
          <w:lang w:eastAsia="zh-CN"/>
        </w:rPr>
        <w:t>风机</w:t>
      </w:r>
      <w:r>
        <w:rPr>
          <w:rFonts w:hint="eastAsia"/>
          <w:color w:val="auto"/>
          <w:kern w:val="0"/>
          <w:u w:val="single"/>
        </w:rPr>
        <w:t>等</w:t>
      </w:r>
      <w:r>
        <w:rPr>
          <w:rFonts w:hint="eastAsia"/>
          <w:color w:val="auto"/>
          <w:kern w:val="0"/>
          <w:u w:val="single"/>
          <w:lang w:eastAsia="zh-CN"/>
        </w:rPr>
        <w:t>设备</w:t>
      </w:r>
      <w:r>
        <w:rPr>
          <w:rFonts w:hint="eastAsia"/>
          <w:color w:val="auto"/>
          <w:kern w:val="0"/>
          <w:u w:val="single"/>
        </w:rPr>
        <w:t>所产噪声，其设备数量和噪声值见表2.4</w:t>
      </w:r>
      <w:r>
        <w:rPr>
          <w:color w:val="auto"/>
          <w:kern w:val="0"/>
          <w:u w:val="single"/>
        </w:rPr>
        <w:t>-</w:t>
      </w:r>
      <w:r>
        <w:rPr>
          <w:rFonts w:hint="eastAsia"/>
          <w:color w:val="auto"/>
          <w:kern w:val="0"/>
          <w:u w:val="single"/>
          <w:lang w:val="en-US" w:eastAsia="zh-CN"/>
        </w:rPr>
        <w:t>10</w:t>
      </w:r>
      <w:r>
        <w:rPr>
          <w:rFonts w:hint="eastAsia"/>
          <w:color w:val="auto"/>
          <w:kern w:val="0"/>
          <w:u w:val="single"/>
        </w:rPr>
        <w:t>。</w:t>
      </w:r>
    </w:p>
    <w:p>
      <w:pPr>
        <w:ind w:firstLine="422"/>
        <w:jc w:val="center"/>
        <w:rPr>
          <w:rFonts w:hint="eastAsia"/>
          <w:b/>
          <w:color w:val="auto"/>
          <w:kern w:val="0"/>
          <w:sz w:val="21"/>
          <w:szCs w:val="21"/>
          <w:u w:val="single"/>
        </w:rPr>
      </w:pPr>
      <w:r>
        <w:rPr>
          <w:rFonts w:hint="eastAsia"/>
          <w:b/>
          <w:color w:val="auto"/>
          <w:kern w:val="0"/>
          <w:sz w:val="21"/>
          <w:szCs w:val="21"/>
          <w:u w:val="single"/>
        </w:rPr>
        <w:t>表2.4.</w:t>
      </w:r>
      <w:r>
        <w:rPr>
          <w:b/>
          <w:color w:val="auto"/>
          <w:kern w:val="0"/>
          <w:sz w:val="21"/>
          <w:szCs w:val="21"/>
          <w:u w:val="single"/>
        </w:rPr>
        <w:t>-</w:t>
      </w:r>
      <w:r>
        <w:rPr>
          <w:rFonts w:hint="eastAsia"/>
          <w:b/>
          <w:color w:val="auto"/>
          <w:kern w:val="0"/>
          <w:sz w:val="21"/>
          <w:szCs w:val="21"/>
          <w:u w:val="single"/>
          <w:lang w:val="en-US" w:eastAsia="zh-CN"/>
        </w:rPr>
        <w:t>10</w:t>
      </w:r>
      <w:r>
        <w:rPr>
          <w:rFonts w:hint="eastAsia"/>
          <w:b/>
          <w:color w:val="auto"/>
          <w:kern w:val="0"/>
          <w:sz w:val="21"/>
          <w:szCs w:val="21"/>
          <w:u w:val="single"/>
        </w:rPr>
        <w:t>工程运营期主要噪声源表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692"/>
        <w:gridCol w:w="1694"/>
        <w:gridCol w:w="1695"/>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b/>
                <w:color w:val="auto"/>
                <w:kern w:val="0"/>
                <w:sz w:val="21"/>
                <w:szCs w:val="21"/>
                <w:u w:val="single"/>
              </w:rPr>
            </w:pPr>
            <w:r>
              <w:rPr>
                <w:rFonts w:hint="eastAsia"/>
                <w:b/>
                <w:color w:val="auto"/>
                <w:kern w:val="0"/>
                <w:sz w:val="21"/>
                <w:szCs w:val="21"/>
                <w:u w:val="single"/>
              </w:rPr>
              <w:t>工段</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b/>
                <w:color w:val="auto"/>
                <w:kern w:val="0"/>
                <w:sz w:val="21"/>
                <w:szCs w:val="21"/>
                <w:u w:val="single"/>
              </w:rPr>
            </w:pPr>
            <w:r>
              <w:rPr>
                <w:rFonts w:hint="eastAsia"/>
                <w:b/>
                <w:color w:val="auto"/>
                <w:kern w:val="0"/>
                <w:sz w:val="21"/>
                <w:szCs w:val="21"/>
                <w:u w:val="single"/>
              </w:rPr>
              <w:t>高噪声设备</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b/>
                <w:color w:val="auto"/>
                <w:kern w:val="0"/>
                <w:sz w:val="21"/>
                <w:szCs w:val="21"/>
                <w:u w:val="single"/>
              </w:rPr>
            </w:pPr>
            <w:r>
              <w:rPr>
                <w:rFonts w:hint="eastAsia"/>
                <w:b/>
                <w:color w:val="auto"/>
                <w:kern w:val="0"/>
                <w:sz w:val="21"/>
                <w:szCs w:val="21"/>
                <w:u w:val="single"/>
              </w:rPr>
              <w:t>数量</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b/>
                <w:color w:val="auto"/>
                <w:kern w:val="0"/>
                <w:sz w:val="21"/>
                <w:szCs w:val="21"/>
                <w:u w:val="single"/>
              </w:rPr>
            </w:pPr>
            <w:r>
              <w:rPr>
                <w:rFonts w:hint="eastAsia"/>
                <w:b/>
                <w:color w:val="auto"/>
                <w:kern w:val="0"/>
                <w:sz w:val="21"/>
                <w:szCs w:val="21"/>
                <w:u w:val="single"/>
              </w:rPr>
              <w:t>预测源强dB（A）</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b/>
                <w:color w:val="auto"/>
                <w:kern w:val="0"/>
                <w:sz w:val="21"/>
                <w:szCs w:val="21"/>
                <w:u w:val="single"/>
              </w:rPr>
            </w:pPr>
            <w:r>
              <w:rPr>
                <w:rFonts w:hint="eastAsia"/>
                <w:b/>
                <w:color w:val="auto"/>
                <w:kern w:val="0"/>
                <w:sz w:val="21"/>
                <w:szCs w:val="21"/>
                <w:u w:val="single"/>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op w:val="single" w:color="auto" w:sz="4" w:space="0"/>
              <w:left w:val="single" w:color="auto" w:sz="4" w:space="0"/>
              <w:bottom w:val="single" w:color="auto" w:sz="4" w:space="0"/>
              <w:right w:val="single" w:color="auto" w:sz="4" w:space="0"/>
            </w:tcBorders>
            <w:noWrap w:val="0"/>
            <w:vAlign w:val="center"/>
          </w:tcPr>
          <w:p>
            <w:pPr>
              <w:pStyle w:val="73"/>
              <w:rPr>
                <w:rFonts w:hint="eastAsia"/>
                <w:color w:val="auto"/>
                <w:u w:val="single"/>
                <w:lang w:bidi="zh-CN"/>
              </w:rPr>
            </w:pPr>
            <w:r>
              <w:rPr>
                <w:rFonts w:hint="eastAsia"/>
                <w:color w:val="auto"/>
                <w:u w:val="single"/>
                <w:lang w:bidi="zh-CN"/>
              </w:rPr>
              <w:t>调节池</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single"/>
                <w:lang w:eastAsia="zh-CN"/>
              </w:rPr>
            </w:pPr>
            <w:r>
              <w:rPr>
                <w:rFonts w:hint="eastAsia"/>
                <w:color w:val="auto"/>
                <w:kern w:val="0"/>
                <w:sz w:val="21"/>
                <w:szCs w:val="21"/>
                <w:u w:val="single"/>
                <w:lang w:eastAsia="zh-CN"/>
              </w:rPr>
              <w:t>污水提升泵</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single"/>
                <w:lang w:val="en-US" w:eastAsia="zh-CN"/>
              </w:rPr>
            </w:pPr>
            <w:r>
              <w:rPr>
                <w:rFonts w:hint="eastAsia"/>
                <w:color w:val="auto"/>
                <w:kern w:val="0"/>
                <w:sz w:val="21"/>
                <w:szCs w:val="21"/>
                <w:u w:val="single"/>
                <w:lang w:val="en-US" w:eastAsia="zh-CN"/>
              </w:rPr>
              <w:t>2台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85</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lang w:eastAsia="zh-CN"/>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op w:val="single" w:color="auto" w:sz="4" w:space="0"/>
              <w:left w:val="single" w:color="auto" w:sz="4" w:space="0"/>
              <w:bottom w:val="single" w:color="auto" w:sz="4" w:space="0"/>
              <w:right w:val="single" w:color="auto" w:sz="4" w:space="0"/>
            </w:tcBorders>
            <w:noWrap w:val="0"/>
            <w:vAlign w:val="center"/>
          </w:tcPr>
          <w:p>
            <w:pPr>
              <w:pStyle w:val="73"/>
              <w:rPr>
                <w:color w:val="auto"/>
                <w:u w:val="single"/>
                <w:lang w:bidi="zh-CN"/>
              </w:rPr>
            </w:pPr>
            <w:r>
              <w:rPr>
                <w:rFonts w:hint="eastAsia"/>
                <w:color w:val="auto"/>
                <w:u w:val="single"/>
                <w:lang w:bidi="zh-CN"/>
              </w:rPr>
              <w:t>预处理</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格栅除污机</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1台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80</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single"/>
                <w:lang w:eastAsia="zh-CN"/>
              </w:rPr>
            </w:pPr>
            <w:r>
              <w:rPr>
                <w:rFonts w:hint="eastAsia"/>
                <w:color w:val="auto"/>
                <w:kern w:val="0"/>
                <w:sz w:val="21"/>
                <w:szCs w:val="21"/>
                <w:u w:val="single"/>
                <w:lang w:eastAsia="zh-CN"/>
              </w:rPr>
              <w:t>生化处理</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MBR设备</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lang w:val="en-US" w:eastAsia="zh-CN"/>
              </w:rPr>
              <w:t>2</w:t>
            </w:r>
            <w:r>
              <w:rPr>
                <w:rFonts w:hint="eastAsia"/>
                <w:color w:val="auto"/>
                <w:kern w:val="0"/>
                <w:sz w:val="21"/>
                <w:szCs w:val="21"/>
                <w:u w:val="single"/>
              </w:rPr>
              <w:t>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80</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single"/>
                <w:lang w:eastAsia="zh-CN"/>
              </w:rPr>
            </w:pPr>
            <w:r>
              <w:rPr>
                <w:rFonts w:hint="eastAsia"/>
                <w:color w:val="auto"/>
                <w:kern w:val="0"/>
                <w:sz w:val="21"/>
                <w:szCs w:val="21"/>
                <w:u w:val="single"/>
                <w:lang w:eastAsia="zh-CN"/>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single"/>
                <w:lang w:eastAsia="zh-CN"/>
              </w:rPr>
            </w:pPr>
            <w:r>
              <w:rPr>
                <w:rFonts w:hint="eastAsia"/>
                <w:color w:val="auto"/>
                <w:kern w:val="0"/>
                <w:sz w:val="21"/>
                <w:szCs w:val="21"/>
                <w:u w:val="single"/>
              </w:rPr>
              <w:t>污泥</w:t>
            </w:r>
            <w:r>
              <w:rPr>
                <w:rFonts w:hint="eastAsia"/>
                <w:color w:val="auto"/>
                <w:kern w:val="0"/>
                <w:sz w:val="21"/>
                <w:szCs w:val="21"/>
                <w:u w:val="single"/>
                <w:lang w:eastAsia="zh-CN"/>
              </w:rPr>
              <w:t>浓缩</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rPr>
              <w:t>污泥泵</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lang w:val="en-US" w:eastAsia="zh-CN"/>
              </w:rPr>
              <w:t>1</w:t>
            </w:r>
            <w:r>
              <w:rPr>
                <w:rFonts w:hint="eastAsia"/>
                <w:color w:val="auto"/>
                <w:kern w:val="0"/>
                <w:sz w:val="21"/>
                <w:szCs w:val="21"/>
                <w:u w:val="single"/>
              </w:rPr>
              <w:t>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rPr>
              <w:t>85</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lang w:eastAsia="zh-CN"/>
              </w:rPr>
              <w:t>污泥脱水</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ascii="宋体" w:hAnsi="宋体" w:cs="宋体"/>
                <w:color w:val="auto"/>
                <w:kern w:val="0"/>
                <w:sz w:val="21"/>
                <w:szCs w:val="21"/>
                <w:u w:val="single"/>
              </w:rPr>
              <w:t>叠螺脱水机</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color w:val="auto"/>
                <w:kern w:val="0"/>
                <w:sz w:val="21"/>
                <w:szCs w:val="21"/>
                <w:u w:val="single"/>
                <w:lang w:val="en-US" w:eastAsia="zh-CN"/>
              </w:rPr>
            </w:pPr>
            <w:r>
              <w:rPr>
                <w:rFonts w:hint="eastAsia"/>
                <w:color w:val="auto"/>
                <w:kern w:val="0"/>
                <w:sz w:val="21"/>
                <w:szCs w:val="21"/>
                <w:u w:val="single"/>
                <w:lang w:val="en-US" w:eastAsia="zh-CN"/>
              </w:rPr>
              <w:t>1台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85</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single"/>
                <w:lang w:eastAsia="zh-CN"/>
              </w:rPr>
            </w:pPr>
            <w:r>
              <w:rPr>
                <w:rFonts w:hint="eastAsia"/>
                <w:color w:val="auto"/>
                <w:kern w:val="0"/>
                <w:sz w:val="21"/>
                <w:szCs w:val="21"/>
                <w:u w:val="single"/>
                <w:lang w:eastAsia="zh-CN"/>
              </w:rPr>
              <w:t>风机</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lang w:val="en-US" w:eastAsia="zh-CN"/>
              </w:rPr>
              <w:t>1</w:t>
            </w:r>
            <w:r>
              <w:rPr>
                <w:rFonts w:hint="eastAsia"/>
                <w:color w:val="auto"/>
                <w:kern w:val="0"/>
                <w:sz w:val="21"/>
                <w:szCs w:val="21"/>
                <w:u w:val="single"/>
              </w:rPr>
              <w:t>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rPr>
              <w:t>90</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rPr>
              <w:t>室内</w:t>
            </w:r>
          </w:p>
        </w:tc>
      </w:tr>
    </w:tbl>
    <w:p>
      <w:pPr>
        <w:ind w:firstLine="482"/>
        <w:rPr>
          <w:rFonts w:hint="eastAsia"/>
          <w:b/>
          <w:color w:val="auto"/>
          <w:kern w:val="0"/>
          <w:u w:val="none"/>
        </w:rPr>
      </w:pPr>
      <w:r>
        <w:rPr>
          <w:rFonts w:hint="eastAsia"/>
          <w:b/>
          <w:color w:val="auto"/>
          <w:kern w:val="0"/>
          <w:u w:val="none"/>
        </w:rPr>
        <w:t>（2）管道铺设工程</w:t>
      </w:r>
    </w:p>
    <w:p>
      <w:pPr>
        <w:ind w:firstLine="480"/>
        <w:rPr>
          <w:color w:val="auto"/>
          <w:kern w:val="0"/>
          <w:u w:val="none"/>
        </w:rPr>
      </w:pPr>
      <w:r>
        <w:rPr>
          <w:rFonts w:hint="eastAsia"/>
          <w:color w:val="auto"/>
          <w:kern w:val="0"/>
          <w:u w:val="none"/>
        </w:rPr>
        <w:t>管道铺设采用地底填埋，铺设完成运营后正常情况下不会对区域声环境造成不良影响。</w:t>
      </w:r>
    </w:p>
    <w:p>
      <w:pPr>
        <w:pStyle w:val="69"/>
        <w:rPr>
          <w:rFonts w:hint="eastAsia"/>
          <w:color w:val="auto"/>
          <w:u w:val="none"/>
        </w:rPr>
      </w:pPr>
      <w:r>
        <w:rPr>
          <w:rFonts w:hint="eastAsia"/>
          <w:color w:val="auto"/>
          <w:u w:val="none"/>
        </w:rPr>
        <w:t>2.4.</w:t>
      </w:r>
      <w:r>
        <w:rPr>
          <w:color w:val="auto"/>
          <w:u w:val="none"/>
        </w:rPr>
        <w:t>5</w:t>
      </w:r>
      <w:r>
        <w:rPr>
          <w:rFonts w:hint="eastAsia"/>
          <w:color w:val="auto"/>
          <w:u w:val="none"/>
        </w:rPr>
        <w:t>.4固体废物</w:t>
      </w:r>
    </w:p>
    <w:p>
      <w:pPr>
        <w:ind w:firstLine="482"/>
        <w:rPr>
          <w:rFonts w:hint="eastAsia"/>
          <w:b/>
          <w:color w:val="auto"/>
          <w:kern w:val="0"/>
          <w:u w:val="none"/>
        </w:rPr>
      </w:pPr>
      <w:r>
        <w:rPr>
          <w:rFonts w:hint="eastAsia"/>
          <w:b/>
          <w:color w:val="auto"/>
          <w:kern w:val="0"/>
          <w:u w:val="none"/>
        </w:rPr>
        <w:t>（1）污水处理厂工程</w:t>
      </w:r>
    </w:p>
    <w:p>
      <w:pPr>
        <w:ind w:firstLine="480"/>
        <w:jc w:val="both"/>
        <w:rPr>
          <w:rFonts w:hint="eastAsia"/>
          <w:color w:val="auto"/>
          <w:kern w:val="0"/>
          <w:u w:val="none"/>
        </w:rPr>
      </w:pPr>
      <w:bookmarkStart w:id="195" w:name="_Hlk25564599"/>
      <w:r>
        <w:rPr>
          <w:color w:val="auto"/>
          <w:kern w:val="0"/>
          <w:u w:val="none"/>
        </w:rPr>
        <w:t>1）工艺污泥</w:t>
      </w:r>
    </w:p>
    <w:p>
      <w:pPr>
        <w:ind w:firstLine="480"/>
        <w:jc w:val="both"/>
        <w:rPr>
          <w:rFonts w:hint="eastAsia"/>
          <w:color w:val="auto"/>
          <w:kern w:val="0"/>
          <w:u w:val="none"/>
          <w:lang w:eastAsia="zh-CN"/>
        </w:rPr>
      </w:pPr>
      <w:r>
        <w:rPr>
          <w:color w:val="auto"/>
          <w:kern w:val="0"/>
          <w:u w:val="none"/>
        </w:rPr>
        <w:t>本项目产生的固体废物包括污水预处理阶段截留的格</w:t>
      </w:r>
      <w:r>
        <w:rPr>
          <w:rFonts w:hint="eastAsia"/>
          <w:color w:val="auto"/>
          <w:kern w:val="0"/>
          <w:u w:val="none"/>
        </w:rPr>
        <w:t>栅</w:t>
      </w:r>
      <w:r>
        <w:rPr>
          <w:color w:val="auto"/>
          <w:kern w:val="0"/>
          <w:u w:val="none"/>
        </w:rPr>
        <w:t>渣和沉砂，生化处理阶段的剩余污泥</w:t>
      </w:r>
      <w:r>
        <w:rPr>
          <w:rFonts w:hint="eastAsia"/>
          <w:color w:val="auto"/>
          <w:kern w:val="0"/>
          <w:u w:val="none"/>
          <w:lang w:eastAsia="zh-CN"/>
        </w:rPr>
        <w:t>。</w:t>
      </w:r>
    </w:p>
    <w:p>
      <w:pPr>
        <w:ind w:firstLine="480"/>
        <w:jc w:val="both"/>
        <w:rPr>
          <w:rFonts w:hint="eastAsia" w:eastAsia="宋体"/>
          <w:color w:val="auto"/>
          <w:kern w:val="0"/>
          <w:u w:val="none"/>
          <w:lang w:val="en-US" w:eastAsia="zh-CN"/>
        </w:rPr>
      </w:pPr>
      <w:r>
        <w:rPr>
          <w:rFonts w:hint="eastAsia"/>
          <w:color w:val="auto"/>
          <w:kern w:val="0"/>
          <w:u w:val="none"/>
          <w:lang w:eastAsia="zh-CN"/>
        </w:rPr>
        <w:t>①</w:t>
      </w:r>
      <w:r>
        <w:rPr>
          <w:color w:val="auto"/>
          <w:kern w:val="0"/>
          <w:u w:val="none"/>
        </w:rPr>
        <w:t>格</w:t>
      </w:r>
      <w:r>
        <w:rPr>
          <w:rFonts w:hint="eastAsia"/>
          <w:color w:val="auto"/>
          <w:kern w:val="0"/>
          <w:u w:val="none"/>
        </w:rPr>
        <w:t>栅</w:t>
      </w:r>
      <w:r>
        <w:rPr>
          <w:color w:val="auto"/>
          <w:kern w:val="0"/>
          <w:u w:val="none"/>
        </w:rPr>
        <w:t>渣</w:t>
      </w:r>
      <w:r>
        <w:rPr>
          <w:rFonts w:hint="eastAsia"/>
          <w:color w:val="auto"/>
          <w:kern w:val="0"/>
          <w:u w:val="none"/>
          <w:lang w:eastAsia="zh-CN"/>
        </w:rPr>
        <w:t>：格栅用来拦截污水中较大的漂浮物，本项目采用格栅除污机；格栅渣多为块状固体物质，其中包括无机物质和有机物质，性状类似生活垃圾，格栅拦截直径大于6mm的杂物，类比同工艺污水处理厂环评报告，处理一立方米污水产生0.05kg栅渣，</w:t>
      </w:r>
      <w:r>
        <w:rPr>
          <w:color w:val="auto"/>
          <w:kern w:val="0"/>
          <w:u w:val="none"/>
        </w:rPr>
        <w:t>本项目日处理规模</w:t>
      </w:r>
      <w:r>
        <w:rPr>
          <w:rFonts w:hint="eastAsia"/>
          <w:color w:val="auto"/>
          <w:kern w:val="0"/>
          <w:u w:val="none"/>
          <w:lang w:val="en-US" w:eastAsia="zh-CN"/>
        </w:rPr>
        <w:t>400</w:t>
      </w:r>
      <w:r>
        <w:rPr>
          <w:color w:val="auto"/>
          <w:kern w:val="0"/>
          <w:u w:val="none"/>
        </w:rPr>
        <w:t>m</w:t>
      </w:r>
      <w:r>
        <w:rPr>
          <w:rFonts w:hint="eastAsia"/>
          <w:color w:val="auto"/>
          <w:kern w:val="0"/>
          <w:u w:val="none"/>
          <w:vertAlign w:val="superscript"/>
        </w:rPr>
        <w:t>3</w:t>
      </w:r>
      <w:r>
        <w:rPr>
          <w:color w:val="auto"/>
          <w:kern w:val="0"/>
          <w:u w:val="none"/>
        </w:rPr>
        <w:t>/d</w:t>
      </w:r>
      <w:r>
        <w:rPr>
          <w:rFonts w:hint="eastAsia"/>
          <w:color w:val="auto"/>
          <w:kern w:val="0"/>
          <w:u w:val="none"/>
          <w:lang w:eastAsia="zh-CN"/>
        </w:rPr>
        <w:t>，</w:t>
      </w:r>
      <w:r>
        <w:rPr>
          <w:color w:val="auto"/>
          <w:kern w:val="0"/>
          <w:u w:val="none"/>
        </w:rPr>
        <w:t>则预计格栅渣产生量为</w:t>
      </w:r>
      <w:r>
        <w:rPr>
          <w:rFonts w:hint="eastAsia"/>
          <w:color w:val="auto"/>
          <w:kern w:val="0"/>
          <w:u w:val="none"/>
          <w:lang w:val="en-US" w:eastAsia="zh-CN"/>
        </w:rPr>
        <w:t>20kg</w:t>
      </w:r>
      <w:r>
        <w:rPr>
          <w:color w:val="auto"/>
          <w:kern w:val="0"/>
          <w:u w:val="none"/>
        </w:rPr>
        <w:t>/d（</w:t>
      </w:r>
      <w:r>
        <w:rPr>
          <w:rFonts w:hint="eastAsia"/>
          <w:color w:val="auto"/>
          <w:kern w:val="0"/>
          <w:u w:val="none"/>
          <w:lang w:val="en-US" w:eastAsia="zh-CN"/>
        </w:rPr>
        <w:t>7.3</w:t>
      </w:r>
      <w:r>
        <w:rPr>
          <w:color w:val="auto"/>
          <w:kern w:val="0"/>
          <w:u w:val="none"/>
        </w:rPr>
        <w:t>t/a）</w:t>
      </w:r>
      <w:r>
        <w:rPr>
          <w:rFonts w:hint="eastAsia"/>
          <w:color w:val="auto"/>
          <w:kern w:val="0"/>
          <w:u w:val="none"/>
          <w:lang w:eastAsia="zh-CN"/>
        </w:rPr>
        <w:t>。</w:t>
      </w:r>
    </w:p>
    <w:p>
      <w:pPr>
        <w:ind w:firstLine="480"/>
        <w:jc w:val="both"/>
        <w:rPr>
          <w:rFonts w:hint="eastAsia"/>
          <w:color w:val="auto"/>
          <w:kern w:val="0"/>
          <w:u w:val="none"/>
        </w:rPr>
      </w:pPr>
      <w:r>
        <w:rPr>
          <w:rFonts w:hint="eastAsia"/>
          <w:color w:val="auto"/>
          <w:kern w:val="0"/>
          <w:u w:val="none"/>
          <w:lang w:eastAsia="zh-CN"/>
        </w:rPr>
        <w:t>②沉砂：沉砂的主要成分为大的无机颗粒，主要为泥砂、石子等。类比同工艺污水处理厂环评报告，处理一万吨污水产生0.45吨沉砂量。本项目一期污水处理量为400m</w:t>
      </w:r>
      <w:r>
        <w:rPr>
          <w:rFonts w:hint="eastAsia"/>
          <w:color w:val="auto"/>
          <w:kern w:val="0"/>
          <w:u w:val="none"/>
          <w:vertAlign w:val="superscript"/>
          <w:lang w:eastAsia="zh-CN"/>
        </w:rPr>
        <w:t>3</w:t>
      </w:r>
      <w:r>
        <w:rPr>
          <w:rFonts w:hint="eastAsia"/>
          <w:color w:val="auto"/>
          <w:kern w:val="0"/>
          <w:u w:val="none"/>
          <w:lang w:eastAsia="zh-CN"/>
        </w:rPr>
        <w:t>/d，</w:t>
      </w:r>
      <w:r>
        <w:rPr>
          <w:color w:val="auto"/>
          <w:kern w:val="0"/>
          <w:u w:val="none"/>
        </w:rPr>
        <w:t>则预计沉砂池沉砂产生量为</w:t>
      </w:r>
      <w:r>
        <w:rPr>
          <w:rFonts w:hint="eastAsia"/>
          <w:color w:val="auto"/>
          <w:kern w:val="0"/>
          <w:u w:val="none"/>
          <w:lang w:val="en-US" w:eastAsia="zh-CN"/>
        </w:rPr>
        <w:t>18kg</w:t>
      </w:r>
      <w:r>
        <w:rPr>
          <w:color w:val="auto"/>
          <w:kern w:val="0"/>
          <w:u w:val="none"/>
        </w:rPr>
        <w:t>/d（</w:t>
      </w:r>
      <w:r>
        <w:rPr>
          <w:rFonts w:hint="eastAsia"/>
          <w:color w:val="auto"/>
          <w:kern w:val="0"/>
          <w:u w:val="none"/>
          <w:lang w:val="en-US" w:eastAsia="zh-CN"/>
        </w:rPr>
        <w:t>6.57</w:t>
      </w:r>
      <w:r>
        <w:rPr>
          <w:color w:val="auto"/>
          <w:kern w:val="0"/>
          <w:u w:val="none"/>
        </w:rPr>
        <w:t>t/a）</w:t>
      </w:r>
      <w:r>
        <w:rPr>
          <w:rFonts w:hint="eastAsia"/>
          <w:color w:val="auto"/>
          <w:kern w:val="0"/>
          <w:u w:val="none"/>
        </w:rPr>
        <w:t>。</w:t>
      </w:r>
      <w:r>
        <w:rPr>
          <w:color w:val="auto"/>
          <w:kern w:val="0"/>
          <w:u w:val="none"/>
        </w:rPr>
        <w:t>格</w:t>
      </w:r>
      <w:r>
        <w:rPr>
          <w:rFonts w:hint="eastAsia"/>
          <w:color w:val="auto"/>
          <w:kern w:val="0"/>
          <w:u w:val="none"/>
        </w:rPr>
        <w:t>栅</w:t>
      </w:r>
      <w:r>
        <w:rPr>
          <w:color w:val="auto"/>
          <w:kern w:val="0"/>
          <w:u w:val="none"/>
        </w:rPr>
        <w:t>渣和沉砂</w:t>
      </w:r>
      <w:r>
        <w:rPr>
          <w:rFonts w:hint="eastAsia"/>
          <w:color w:val="auto"/>
          <w:kern w:val="0"/>
          <w:u w:val="none"/>
        </w:rPr>
        <w:t>为一般固废，</w:t>
      </w:r>
      <w:r>
        <w:rPr>
          <w:rFonts w:hint="eastAsia"/>
          <w:color w:val="auto"/>
          <w:u w:val="none"/>
        </w:rPr>
        <w:t>外运至</w:t>
      </w:r>
      <w:r>
        <w:rPr>
          <w:rFonts w:hint="eastAsia"/>
          <w:color w:val="auto"/>
          <w:u w:val="none"/>
          <w:lang w:eastAsia="zh-CN"/>
        </w:rPr>
        <w:t>永顺县</w:t>
      </w:r>
      <w:r>
        <w:rPr>
          <w:rFonts w:hint="eastAsia"/>
          <w:color w:val="auto"/>
          <w:u w:val="none"/>
        </w:rPr>
        <w:t>生活垃圾填埋场填埋。</w:t>
      </w:r>
    </w:p>
    <w:p>
      <w:pPr>
        <w:widowControl w:val="0"/>
        <w:ind w:firstLine="480"/>
        <w:jc w:val="both"/>
        <w:rPr>
          <w:color w:val="auto"/>
          <w:kern w:val="0"/>
          <w:u w:val="none"/>
        </w:rPr>
      </w:pPr>
      <w:r>
        <w:rPr>
          <w:rFonts w:hint="eastAsia"/>
          <w:color w:val="auto"/>
          <w:kern w:val="0"/>
          <w:u w:val="single"/>
          <w:lang w:eastAsia="zh-CN"/>
        </w:rPr>
        <w:t>③污泥：</w:t>
      </w:r>
      <w:r>
        <w:rPr>
          <w:rFonts w:hint="eastAsia"/>
          <w:color w:val="auto"/>
          <w:kern w:val="0"/>
          <w:u w:val="single"/>
        </w:rPr>
        <w:t>储存在</w:t>
      </w:r>
      <w:r>
        <w:rPr>
          <w:rFonts w:hint="eastAsia"/>
          <w:color w:val="auto"/>
          <w:kern w:val="0"/>
          <w:u w:val="single"/>
          <w:lang w:eastAsia="zh-CN"/>
        </w:rPr>
        <w:t>污泥</w:t>
      </w:r>
      <w:r>
        <w:rPr>
          <w:rFonts w:hint="eastAsia"/>
          <w:color w:val="auto"/>
          <w:kern w:val="0"/>
          <w:u w:val="single"/>
        </w:rPr>
        <w:t>池的剩余污泥</w:t>
      </w:r>
      <w:r>
        <w:rPr>
          <w:rFonts w:hint="eastAsia"/>
          <w:color w:val="auto"/>
          <w:kern w:val="0"/>
          <w:sz w:val="24"/>
          <w:szCs w:val="24"/>
          <w:u w:val="single"/>
        </w:rPr>
        <w:t>通过</w:t>
      </w:r>
      <w:r>
        <w:rPr>
          <w:rFonts w:hint="eastAsia" w:ascii="宋体" w:hAnsi="宋体" w:cs="宋体"/>
          <w:color w:val="auto"/>
          <w:kern w:val="0"/>
          <w:sz w:val="24"/>
          <w:szCs w:val="24"/>
          <w:u w:val="single"/>
        </w:rPr>
        <w:t>叠螺脱水机</w:t>
      </w:r>
      <w:r>
        <w:rPr>
          <w:rFonts w:hint="eastAsia"/>
          <w:color w:val="auto"/>
          <w:kern w:val="0"/>
          <w:sz w:val="24"/>
          <w:szCs w:val="24"/>
          <w:u w:val="single"/>
        </w:rPr>
        <w:t>进行</w:t>
      </w:r>
      <w:r>
        <w:rPr>
          <w:rFonts w:hint="eastAsia"/>
          <w:color w:val="auto"/>
          <w:kern w:val="0"/>
          <w:u w:val="single"/>
        </w:rPr>
        <w:t>污泥浓缩脱水，污泥浓缩脱水过程中需投加高分子有机絮凝剂PAM</w:t>
      </w:r>
      <w:r>
        <w:rPr>
          <w:rFonts w:hint="eastAsia"/>
          <w:color w:val="auto"/>
          <w:kern w:val="0"/>
          <w:u w:val="single"/>
          <w:lang w:eastAsia="zh-CN"/>
        </w:rPr>
        <w:t>、</w:t>
      </w:r>
      <w:r>
        <w:rPr>
          <w:rFonts w:hint="eastAsia"/>
          <w:color w:val="auto"/>
          <w:kern w:val="0"/>
          <w:u w:val="single"/>
          <w:lang w:val="en-US" w:eastAsia="zh-CN"/>
        </w:rPr>
        <w:t>PAC</w:t>
      </w:r>
      <w:r>
        <w:rPr>
          <w:rFonts w:hint="eastAsia"/>
          <w:color w:val="auto"/>
          <w:kern w:val="0"/>
          <w:u w:val="single"/>
        </w:rPr>
        <w:t>。类比同类型城市生活污水处理厂城北污水处理厂污泥产生量：污泥每天产生量（含水率</w:t>
      </w:r>
      <w:r>
        <w:rPr>
          <w:rFonts w:hint="eastAsia"/>
          <w:color w:val="auto"/>
          <w:kern w:val="0"/>
          <w:u w:val="single"/>
          <w:lang w:val="en-US" w:eastAsia="zh-CN"/>
        </w:rPr>
        <w:t>99</w:t>
      </w:r>
      <w:r>
        <w:rPr>
          <w:rFonts w:hint="eastAsia"/>
          <w:color w:val="auto"/>
          <w:kern w:val="0"/>
          <w:u w:val="single"/>
        </w:rPr>
        <w:t>%）约为3.57t/10</w:t>
      </w:r>
      <w:r>
        <w:rPr>
          <w:rFonts w:hint="eastAsia"/>
          <w:color w:val="auto"/>
          <w:kern w:val="0"/>
          <w:u w:val="single"/>
          <w:vertAlign w:val="superscript"/>
        </w:rPr>
        <w:t>4</w:t>
      </w:r>
      <w:r>
        <w:rPr>
          <w:rFonts w:hint="eastAsia"/>
          <w:color w:val="auto"/>
          <w:kern w:val="0"/>
          <w:u w:val="single"/>
        </w:rPr>
        <w:t>m</w:t>
      </w:r>
      <w:r>
        <w:rPr>
          <w:rFonts w:hint="eastAsia"/>
          <w:color w:val="auto"/>
          <w:kern w:val="0"/>
          <w:u w:val="single"/>
          <w:vertAlign w:val="superscript"/>
        </w:rPr>
        <w:t>3</w:t>
      </w:r>
      <w:r>
        <w:rPr>
          <w:rFonts w:hint="eastAsia"/>
          <w:color w:val="auto"/>
          <w:kern w:val="0"/>
          <w:u w:val="single"/>
        </w:rPr>
        <w:t xml:space="preserve"> 污水。本项目污水规模为</w:t>
      </w:r>
      <w:r>
        <w:rPr>
          <w:rFonts w:hint="eastAsia"/>
          <w:color w:val="auto"/>
          <w:kern w:val="0"/>
          <w:u w:val="single"/>
          <w:lang w:val="en-US" w:eastAsia="zh-CN"/>
        </w:rPr>
        <w:t>400</w:t>
      </w:r>
      <w:r>
        <w:rPr>
          <w:rFonts w:hint="eastAsia"/>
          <w:color w:val="auto"/>
          <w:kern w:val="0"/>
          <w:u w:val="single"/>
        </w:rPr>
        <w:t>m</w:t>
      </w:r>
      <w:r>
        <w:rPr>
          <w:rFonts w:hint="eastAsia"/>
          <w:color w:val="auto"/>
          <w:kern w:val="0"/>
          <w:u w:val="single"/>
          <w:vertAlign w:val="superscript"/>
        </w:rPr>
        <w:t>3</w:t>
      </w:r>
      <w:r>
        <w:rPr>
          <w:rFonts w:hint="eastAsia"/>
          <w:color w:val="auto"/>
          <w:kern w:val="0"/>
          <w:u w:val="single"/>
        </w:rPr>
        <w:t>/d，则本项目污泥（含水率</w:t>
      </w:r>
      <w:r>
        <w:rPr>
          <w:rFonts w:hint="eastAsia"/>
          <w:color w:val="auto"/>
          <w:kern w:val="0"/>
          <w:u w:val="single"/>
          <w:lang w:val="en-US" w:eastAsia="zh-CN"/>
        </w:rPr>
        <w:t>99</w:t>
      </w:r>
      <w:r>
        <w:rPr>
          <w:rFonts w:hint="eastAsia"/>
          <w:color w:val="auto"/>
          <w:kern w:val="0"/>
          <w:u w:val="single"/>
        </w:rPr>
        <w:t>%）产生量为</w:t>
      </w:r>
      <w:r>
        <w:rPr>
          <w:rFonts w:hint="eastAsia"/>
          <w:color w:val="auto"/>
          <w:kern w:val="0"/>
          <w:u w:val="single"/>
          <w:lang w:val="en-US" w:eastAsia="zh-CN"/>
        </w:rPr>
        <w:t>142.80kg</w:t>
      </w:r>
      <w:r>
        <w:rPr>
          <w:rFonts w:hint="eastAsia"/>
          <w:color w:val="auto"/>
          <w:kern w:val="0"/>
          <w:u w:val="single"/>
        </w:rPr>
        <w:t>/d</w:t>
      </w:r>
      <w:r>
        <w:rPr>
          <w:rFonts w:hint="eastAsia"/>
          <w:color w:val="auto"/>
          <w:kern w:val="0"/>
          <w:u w:val="single"/>
          <w:lang w:eastAsia="zh-CN"/>
        </w:rPr>
        <w:t>（</w:t>
      </w:r>
      <w:r>
        <w:rPr>
          <w:rFonts w:hint="eastAsia"/>
          <w:color w:val="auto"/>
          <w:kern w:val="0"/>
          <w:u w:val="single"/>
          <w:lang w:val="en-US" w:eastAsia="zh-CN"/>
        </w:rPr>
        <w:t>52.1220</w:t>
      </w:r>
      <w:r>
        <w:rPr>
          <w:color w:val="auto"/>
          <w:kern w:val="0"/>
          <w:u w:val="single"/>
        </w:rPr>
        <w:t>t/a</w:t>
      </w:r>
      <w:r>
        <w:rPr>
          <w:rFonts w:hint="eastAsia"/>
          <w:color w:val="auto"/>
          <w:kern w:val="0"/>
          <w:u w:val="single"/>
          <w:lang w:eastAsia="zh-CN"/>
        </w:rPr>
        <w:t>，其中干物质</w:t>
      </w:r>
      <w:r>
        <w:rPr>
          <w:rFonts w:hint="eastAsia"/>
          <w:color w:val="auto"/>
          <w:kern w:val="0"/>
          <w:u w:val="single"/>
          <w:lang w:val="en-US" w:eastAsia="zh-CN"/>
        </w:rPr>
        <w:t>1.4kg/d、0.5110</w:t>
      </w:r>
      <w:r>
        <w:rPr>
          <w:color w:val="auto"/>
          <w:kern w:val="0"/>
          <w:u w:val="single"/>
        </w:rPr>
        <w:t>t/a</w:t>
      </w:r>
      <w:r>
        <w:rPr>
          <w:rFonts w:hint="eastAsia"/>
          <w:color w:val="auto"/>
          <w:kern w:val="0"/>
          <w:u w:val="single"/>
          <w:lang w:eastAsia="zh-CN"/>
        </w:rPr>
        <w:t>），污泥经叠螺式污泥脱水机脱水后含水率为</w:t>
      </w:r>
      <w:r>
        <w:rPr>
          <w:rFonts w:hint="eastAsia"/>
          <w:color w:val="auto"/>
          <w:kern w:val="0"/>
          <w:u w:val="single"/>
          <w:lang w:val="en-US" w:eastAsia="zh-CN"/>
        </w:rPr>
        <w:t>80%，故污泥最终产生量为7.00kg</w:t>
      </w:r>
      <w:r>
        <w:rPr>
          <w:rFonts w:hint="eastAsia"/>
          <w:color w:val="auto"/>
          <w:kern w:val="0"/>
          <w:u w:val="single"/>
        </w:rPr>
        <w:t>/d</w:t>
      </w:r>
      <w:r>
        <w:rPr>
          <w:rFonts w:hint="eastAsia"/>
          <w:color w:val="auto"/>
          <w:kern w:val="0"/>
          <w:u w:val="single"/>
          <w:lang w:eastAsia="zh-CN"/>
        </w:rPr>
        <w:t>（</w:t>
      </w:r>
      <w:r>
        <w:rPr>
          <w:rFonts w:hint="eastAsia"/>
          <w:color w:val="auto"/>
          <w:kern w:val="0"/>
          <w:u w:val="single"/>
          <w:lang w:val="en-US" w:eastAsia="zh-CN"/>
        </w:rPr>
        <w:t>2.5550</w:t>
      </w:r>
      <w:r>
        <w:rPr>
          <w:color w:val="auto"/>
          <w:kern w:val="0"/>
          <w:u w:val="single"/>
        </w:rPr>
        <w:t>t/a</w:t>
      </w:r>
      <w:r>
        <w:rPr>
          <w:rFonts w:hint="eastAsia"/>
          <w:color w:val="auto"/>
          <w:kern w:val="0"/>
          <w:u w:val="single"/>
          <w:lang w:eastAsia="zh-CN"/>
        </w:rPr>
        <w:t>，其中干物质</w:t>
      </w:r>
      <w:r>
        <w:rPr>
          <w:rFonts w:hint="eastAsia"/>
          <w:color w:val="auto"/>
          <w:kern w:val="0"/>
          <w:u w:val="single"/>
          <w:lang w:val="en-US" w:eastAsia="zh-CN"/>
        </w:rPr>
        <w:t>1.4kg/d、0.5110</w:t>
      </w:r>
      <w:r>
        <w:rPr>
          <w:color w:val="auto"/>
          <w:kern w:val="0"/>
          <w:u w:val="single"/>
        </w:rPr>
        <w:t>t/a</w:t>
      </w:r>
      <w:r>
        <w:rPr>
          <w:rFonts w:hint="eastAsia"/>
          <w:color w:val="auto"/>
          <w:kern w:val="0"/>
          <w:u w:val="single"/>
          <w:lang w:eastAsia="zh-CN"/>
        </w:rPr>
        <w:t>）</w:t>
      </w:r>
      <w:r>
        <w:rPr>
          <w:rFonts w:hint="eastAsia"/>
          <w:color w:val="auto"/>
          <w:kern w:val="0"/>
          <w:u w:val="single"/>
        </w:rPr>
        <w:t>。</w:t>
      </w:r>
    </w:p>
    <w:p>
      <w:pPr>
        <w:widowControl w:val="0"/>
        <w:ind w:firstLine="480"/>
        <w:jc w:val="both"/>
        <w:rPr>
          <w:color w:val="auto"/>
          <w:kern w:val="0"/>
          <w:u w:val="none"/>
        </w:rPr>
      </w:pPr>
      <w:r>
        <w:rPr>
          <w:rFonts w:hint="eastAsia"/>
          <w:color w:val="auto"/>
          <w:u w:val="none"/>
        </w:rPr>
        <w:t>根据《关于污（废）水处理设施产生污泥危险特性鉴别有关意见的函》（环函[2010]129号）：专门处理工业废水（或同时处理少量生活污水）的处理设施产生的污泥，可能具有危险特性，应按《国家危险废物名录》、国家环境保护标准《危险废物鉴别技术规范》（HJ/T298-2007）和危险废物鉴别标准的规定，对污泥进行危险特性鉴别。故项目工业污泥需鉴定，如为危险废物，运营单位应按照危险废物要求进行管理，并委托具有相应资质单位进行安全处置；如鉴别属于一般固废，</w:t>
      </w:r>
      <w:r>
        <w:rPr>
          <w:rFonts w:hint="eastAsia"/>
          <w:color w:val="auto"/>
          <w:kern w:val="0"/>
          <w:u w:val="none"/>
          <w:lang w:eastAsia="zh-CN"/>
        </w:rPr>
        <w:t>污泥经叠螺式污泥脱水机脱水后</w:t>
      </w:r>
      <w:r>
        <w:rPr>
          <w:rFonts w:hint="eastAsia"/>
          <w:color w:val="auto"/>
          <w:kern w:val="0"/>
          <w:u w:val="none"/>
        </w:rPr>
        <w:t>送到</w:t>
      </w:r>
      <w:r>
        <w:rPr>
          <w:rFonts w:hint="eastAsia"/>
          <w:color w:val="auto"/>
          <w:kern w:val="0"/>
          <w:u w:val="none"/>
          <w:lang w:eastAsia="zh-CN"/>
        </w:rPr>
        <w:t>永顺县</w:t>
      </w:r>
      <w:r>
        <w:rPr>
          <w:rFonts w:hint="eastAsia"/>
          <w:color w:val="auto"/>
          <w:kern w:val="0"/>
          <w:u w:val="none"/>
        </w:rPr>
        <w:t>垃圾填埋场卫生填埋。</w:t>
      </w:r>
    </w:p>
    <w:p>
      <w:pPr>
        <w:pStyle w:val="3"/>
        <w:wordWrap w:val="0"/>
        <w:ind w:left="0" w:firstLine="480" w:firstLineChars="20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2）员工生活垃圾</w:t>
      </w:r>
    </w:p>
    <w:p>
      <w:pPr>
        <w:pStyle w:val="3"/>
        <w:wordWrap w:val="0"/>
        <w:ind w:left="0" w:firstLine="480" w:firstLineChars="20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本项目一期运营期劳动定员为</w:t>
      </w:r>
      <w:r>
        <w:rPr>
          <w:rFonts w:hint="eastAsia" w:ascii="Times New Roman" w:hAnsi="Times New Roman" w:cs="Times New Roman"/>
          <w:color w:val="auto"/>
          <w:u w:val="none"/>
          <w:lang w:val="en-US" w:eastAsia="zh-CN"/>
        </w:rPr>
        <w:t>5</w:t>
      </w:r>
      <w:r>
        <w:rPr>
          <w:rFonts w:hint="eastAsia" w:ascii="Times New Roman" w:hAnsi="Times New Roman" w:cs="Times New Roman"/>
          <w:color w:val="auto"/>
          <w:u w:val="none"/>
          <w:lang w:eastAsia="zh-CN"/>
        </w:rPr>
        <w:t>人，生活垃圾产生量按每人每天0.38kg计，则生活垃圾产生量为</w:t>
      </w:r>
      <w:r>
        <w:rPr>
          <w:rFonts w:hint="eastAsia" w:ascii="Times New Roman" w:hAnsi="Times New Roman" w:cs="Times New Roman"/>
          <w:color w:val="auto"/>
          <w:u w:val="none"/>
          <w:lang w:val="en-US" w:eastAsia="zh-CN"/>
        </w:rPr>
        <w:t>1.9</w:t>
      </w:r>
      <w:r>
        <w:rPr>
          <w:rFonts w:hint="eastAsia" w:ascii="Times New Roman" w:hAnsi="Times New Roman" w:cs="Times New Roman"/>
          <w:color w:val="auto"/>
          <w:u w:val="none"/>
          <w:lang w:eastAsia="zh-CN"/>
        </w:rPr>
        <w:t>kg/d</w:t>
      </w:r>
      <w:r>
        <w:rPr>
          <w:rFonts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0.6935</w:t>
      </w:r>
      <w:r>
        <w:rPr>
          <w:rFonts w:ascii="Times New Roman" w:hAnsi="Times New Roman" w:cs="Times New Roman"/>
          <w:color w:val="auto"/>
          <w:u w:val="none"/>
          <w:lang w:eastAsia="zh-CN"/>
        </w:rPr>
        <w:t>t/a）</w:t>
      </w:r>
      <w:r>
        <w:rPr>
          <w:rFonts w:hint="eastAsia" w:ascii="Times New Roman" w:hAnsi="Times New Roman" w:cs="Times New Roman"/>
          <w:color w:val="auto"/>
          <w:u w:val="none"/>
          <w:lang w:eastAsia="zh-CN"/>
        </w:rPr>
        <w:t>。</w:t>
      </w:r>
    </w:p>
    <w:p>
      <w:pPr>
        <w:pStyle w:val="3"/>
        <w:ind w:left="0" w:firstLine="420"/>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3）</w:t>
      </w:r>
      <w:r>
        <w:rPr>
          <w:rFonts w:hint="eastAsia" w:ascii="Times New Roman" w:hAnsi="Times New Roman" w:cs="Times New Roman"/>
          <w:color w:val="auto"/>
          <w:u w:val="none"/>
          <w:lang w:eastAsia="zh-CN"/>
        </w:rPr>
        <w:t>废紫外灯管</w:t>
      </w:r>
    </w:p>
    <w:p>
      <w:pPr>
        <w:pStyle w:val="3"/>
        <w:ind w:left="0" w:firstLine="420"/>
        <w:rPr>
          <w:rFonts w:ascii="Times New Roman" w:hAnsi="Times New Roman" w:cs="Times New Roman"/>
          <w:color w:val="auto"/>
          <w:u w:val="none"/>
          <w:lang w:eastAsia="zh-CN"/>
        </w:rPr>
      </w:pPr>
      <w:r>
        <w:rPr>
          <w:rFonts w:hint="eastAsia" w:ascii="Times New Roman" w:hAnsi="Times New Roman" w:cs="Times New Roman"/>
          <w:color w:val="auto"/>
          <w:u w:val="none"/>
          <w:lang w:eastAsia="zh-CN"/>
        </w:rPr>
        <w:t>污水处理消毒系统在运行过程中，消毒系统中的紫外灯管一般使用寿命为一年左右，需要定期更换，年废弃灯管产生量为0.0</w:t>
      </w:r>
      <w:r>
        <w:rPr>
          <w:rFonts w:hint="eastAsia" w:ascii="Times New Roman" w:hAnsi="Times New Roman" w:cs="Times New Roman"/>
          <w:color w:val="auto"/>
          <w:u w:val="none"/>
          <w:lang w:val="en-US" w:eastAsia="zh-CN"/>
        </w:rPr>
        <w:t>1</w:t>
      </w:r>
      <w:r>
        <w:rPr>
          <w:rFonts w:hint="eastAsia" w:ascii="Times New Roman" w:hAnsi="Times New Roman" w:cs="Times New Roman"/>
          <w:color w:val="auto"/>
          <w:u w:val="none"/>
          <w:lang w:eastAsia="zh-CN"/>
        </w:rPr>
        <w:t>t/a，更换下来的灯管在厂区暂存，</w:t>
      </w:r>
      <w:r>
        <w:rPr>
          <w:rFonts w:hint="eastAsia"/>
          <w:color w:val="auto"/>
          <w:szCs w:val="21"/>
          <w:u w:val="none"/>
          <w:lang w:eastAsia="zh-CN"/>
        </w:rPr>
        <w:t>又厂家定期回收</w:t>
      </w:r>
      <w:r>
        <w:rPr>
          <w:rFonts w:hint="eastAsia" w:ascii="Times New Roman" w:hAnsi="Times New Roman" w:cs="Times New Roman"/>
          <w:color w:val="auto"/>
          <w:u w:val="none"/>
          <w:lang w:eastAsia="zh-CN"/>
        </w:rPr>
        <w:t>。</w:t>
      </w:r>
    </w:p>
    <w:p>
      <w:pPr>
        <w:pStyle w:val="3"/>
        <w:ind w:left="0" w:firstLine="420"/>
        <w:rPr>
          <w:rFonts w:ascii="Times New Roman" w:hAnsi="Times New Roman" w:cs="Times New Roman"/>
          <w:color w:val="auto"/>
          <w:u w:val="none"/>
          <w:lang w:eastAsia="zh-CN"/>
        </w:rPr>
      </w:pPr>
      <w:r>
        <w:rPr>
          <w:rFonts w:hint="eastAsia" w:ascii="Times New Roman" w:hAnsi="Times New Roman" w:cs="Times New Roman"/>
          <w:color w:val="auto"/>
          <w:u w:val="none"/>
          <w:lang w:eastAsia="zh-CN"/>
        </w:rPr>
        <w:t>4）废活性炭</w:t>
      </w:r>
    </w:p>
    <w:p>
      <w:pPr>
        <w:ind w:firstLine="480"/>
        <w:jc w:val="both"/>
        <w:rPr>
          <w:color w:val="auto"/>
          <w:szCs w:val="21"/>
          <w:u w:val="none"/>
        </w:rPr>
      </w:pPr>
      <w:r>
        <w:rPr>
          <w:rFonts w:hint="eastAsia"/>
          <w:color w:val="auto"/>
          <w:u w:val="none"/>
        </w:rPr>
        <w:t>本项目污泥脱水间采用活性炭吸附工艺处理臭气，</w:t>
      </w:r>
      <w:r>
        <w:rPr>
          <w:rFonts w:hint="eastAsia"/>
          <w:color w:val="auto"/>
          <w:szCs w:val="21"/>
          <w:u w:val="none"/>
          <w:lang w:eastAsia="zh-CN"/>
        </w:rPr>
        <w:t>属于</w:t>
      </w:r>
      <w:r>
        <w:rPr>
          <w:color w:val="auto"/>
          <w:szCs w:val="21"/>
          <w:u w:val="none"/>
        </w:rPr>
        <w:t>《国家危险</w:t>
      </w:r>
      <w:r>
        <w:rPr>
          <w:rFonts w:hint="eastAsia"/>
          <w:color w:val="auto"/>
          <w:szCs w:val="21"/>
          <w:u w:val="none"/>
        </w:rPr>
        <w:t>废物</w:t>
      </w:r>
      <w:r>
        <w:rPr>
          <w:color w:val="auto"/>
          <w:szCs w:val="21"/>
          <w:u w:val="none"/>
        </w:rPr>
        <w:t>名录》</w:t>
      </w:r>
      <w:r>
        <w:rPr>
          <w:rFonts w:hint="eastAsia"/>
          <w:color w:val="auto"/>
          <w:szCs w:val="21"/>
          <w:u w:val="none"/>
        </w:rPr>
        <w:t>（</w:t>
      </w:r>
      <w:r>
        <w:rPr>
          <w:rFonts w:hint="eastAsia"/>
          <w:color w:val="auto"/>
          <w:szCs w:val="21"/>
          <w:u w:val="none"/>
          <w:lang w:val="en-US" w:eastAsia="zh-CN"/>
        </w:rPr>
        <w:t>2021</w:t>
      </w:r>
      <w:r>
        <w:rPr>
          <w:rFonts w:hint="eastAsia"/>
          <w:color w:val="auto"/>
          <w:szCs w:val="21"/>
          <w:u w:val="none"/>
        </w:rPr>
        <w:t>）</w:t>
      </w:r>
      <w:r>
        <w:rPr>
          <w:rFonts w:hint="eastAsia"/>
          <w:color w:val="auto"/>
          <w:szCs w:val="21"/>
          <w:u w:val="none"/>
          <w:lang w:eastAsia="zh-CN"/>
        </w:rPr>
        <w:t>中“</w:t>
      </w:r>
      <w:r>
        <w:rPr>
          <w:rFonts w:hint="eastAsia"/>
          <w:color w:val="auto"/>
          <w:szCs w:val="21"/>
          <w:u w:val="none"/>
          <w:lang w:val="en-US" w:eastAsia="zh-CN"/>
        </w:rPr>
        <w:t>900-039-49烟气治理过程中产生的废活性炭</w:t>
      </w:r>
      <w:r>
        <w:rPr>
          <w:rFonts w:hint="eastAsia"/>
          <w:color w:val="auto"/>
          <w:szCs w:val="21"/>
          <w:u w:val="none"/>
          <w:lang w:eastAsia="zh-CN"/>
        </w:rPr>
        <w:t>”</w:t>
      </w:r>
      <w:r>
        <w:rPr>
          <w:color w:val="auto"/>
          <w:szCs w:val="21"/>
          <w:u w:val="none"/>
        </w:rPr>
        <w:t>。类比相关项目，</w:t>
      </w:r>
      <w:r>
        <w:rPr>
          <w:rFonts w:hint="eastAsia"/>
          <w:color w:val="auto"/>
          <w:u w:val="none"/>
        </w:rPr>
        <w:t>年废弃活性炭产生量为</w:t>
      </w:r>
      <w:r>
        <w:rPr>
          <w:rFonts w:hint="eastAsia"/>
          <w:color w:val="auto"/>
          <w:u w:val="none"/>
          <w:lang w:val="en-US" w:eastAsia="zh-CN"/>
        </w:rPr>
        <w:t>0.015</w:t>
      </w:r>
      <w:r>
        <w:rPr>
          <w:rFonts w:hint="eastAsia"/>
          <w:color w:val="auto"/>
          <w:u w:val="none"/>
        </w:rPr>
        <w:t>t/a</w:t>
      </w:r>
      <w:r>
        <w:rPr>
          <w:rFonts w:hint="eastAsia"/>
          <w:color w:val="auto"/>
          <w:szCs w:val="21"/>
          <w:u w:val="none"/>
        </w:rPr>
        <w:t>，</w:t>
      </w:r>
      <w:r>
        <w:rPr>
          <w:rFonts w:hint="eastAsia"/>
          <w:color w:val="auto"/>
          <w:szCs w:val="21"/>
          <w:u w:val="none"/>
          <w:lang w:eastAsia="zh-CN"/>
        </w:rPr>
        <w:t>委托有资质单位处理</w:t>
      </w:r>
      <w:r>
        <w:rPr>
          <w:color w:val="auto"/>
          <w:szCs w:val="21"/>
          <w:u w:val="none"/>
        </w:rPr>
        <w:t>。</w:t>
      </w:r>
    </w:p>
    <w:bookmarkEnd w:id="195"/>
    <w:p>
      <w:pPr>
        <w:pStyle w:val="3"/>
        <w:ind w:left="0"/>
        <w:jc w:val="center"/>
        <w:rPr>
          <w:rFonts w:hint="eastAsia" w:ascii="Times New Roman" w:hAnsi="Times New Roman"/>
          <w:b/>
          <w:color w:val="auto"/>
          <w:sz w:val="21"/>
          <w:szCs w:val="21"/>
          <w:u w:val="none"/>
          <w:lang w:eastAsia="zh-CN"/>
        </w:rPr>
      </w:pPr>
      <w:r>
        <w:rPr>
          <w:rFonts w:hint="eastAsia" w:ascii="Times New Roman" w:hAnsi="Times New Roman"/>
          <w:b/>
          <w:color w:val="auto"/>
          <w:sz w:val="21"/>
          <w:szCs w:val="21"/>
          <w:u w:val="none"/>
          <w:lang w:eastAsia="zh-CN"/>
        </w:rPr>
        <w:t>表</w:t>
      </w:r>
      <w:r>
        <w:rPr>
          <w:rFonts w:hint="eastAsia" w:ascii="Times New Roman" w:hAnsi="Times New Roman" w:cs="Times New Roman"/>
          <w:b/>
          <w:color w:val="auto"/>
          <w:sz w:val="21"/>
          <w:szCs w:val="21"/>
          <w:u w:val="none"/>
          <w:lang w:eastAsia="zh-CN"/>
        </w:rPr>
        <w:t>2</w:t>
      </w:r>
      <w:r>
        <w:rPr>
          <w:rFonts w:ascii="Times New Roman" w:hAnsi="Times New Roman" w:cs="Times New Roman"/>
          <w:b/>
          <w:color w:val="auto"/>
          <w:sz w:val="21"/>
          <w:szCs w:val="21"/>
          <w:u w:val="none"/>
          <w:lang w:eastAsia="zh-CN"/>
        </w:rPr>
        <w:t>.</w:t>
      </w:r>
      <w:r>
        <w:rPr>
          <w:rFonts w:hint="eastAsia" w:ascii="Times New Roman" w:hAnsi="Times New Roman" w:cs="Times New Roman"/>
          <w:b/>
          <w:color w:val="auto"/>
          <w:sz w:val="21"/>
          <w:szCs w:val="21"/>
          <w:u w:val="none"/>
          <w:lang w:eastAsia="zh-CN"/>
        </w:rPr>
        <w:t>4</w:t>
      </w:r>
      <w:r>
        <w:rPr>
          <w:rFonts w:ascii="Times New Roman" w:hAnsi="Times New Roman" w:cs="Times New Roman"/>
          <w:b/>
          <w:color w:val="auto"/>
          <w:sz w:val="21"/>
          <w:szCs w:val="21"/>
          <w:u w:val="none"/>
          <w:lang w:eastAsia="zh-CN"/>
        </w:rPr>
        <w:t>-</w:t>
      </w:r>
      <w:r>
        <w:rPr>
          <w:rFonts w:hint="eastAsia" w:ascii="Times New Roman" w:hAnsi="Times New Roman" w:cs="Times New Roman"/>
          <w:b/>
          <w:color w:val="auto"/>
          <w:sz w:val="21"/>
          <w:szCs w:val="21"/>
          <w:u w:val="none"/>
          <w:lang w:val="en-US" w:eastAsia="zh-CN"/>
        </w:rPr>
        <w:t xml:space="preserve">11  </w:t>
      </w:r>
      <w:r>
        <w:rPr>
          <w:rFonts w:hint="eastAsia" w:ascii="Times New Roman" w:hAnsi="Times New Roman"/>
          <w:b/>
          <w:color w:val="auto"/>
          <w:sz w:val="21"/>
          <w:szCs w:val="21"/>
          <w:u w:val="none"/>
          <w:lang w:eastAsia="zh-CN"/>
        </w:rPr>
        <w:t>本项目运营期固体废物产生量</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1457"/>
        <w:gridCol w:w="1407"/>
        <w:gridCol w:w="1405"/>
        <w:gridCol w:w="1399"/>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vMerge w:val="restart"/>
            <w:noWrap w:val="0"/>
            <w:vAlign w:val="center"/>
          </w:tcPr>
          <w:p>
            <w:pPr>
              <w:pStyle w:val="3"/>
              <w:spacing w:line="240" w:lineRule="auto"/>
              <w:ind w:left="0"/>
              <w:jc w:val="center"/>
              <w:rPr>
                <w:rFonts w:hint="default" w:ascii="Times New Roman" w:hAnsi="Times New Roman" w:cs="Times New Roman"/>
                <w:b/>
                <w:color w:val="auto"/>
                <w:sz w:val="21"/>
                <w:szCs w:val="21"/>
                <w:u w:val="none"/>
                <w:lang w:eastAsia="zh-CN"/>
              </w:rPr>
            </w:pPr>
            <w:r>
              <w:rPr>
                <w:rFonts w:hint="default" w:ascii="Times New Roman" w:hAnsi="Times New Roman" w:cs="Times New Roman"/>
                <w:b/>
                <w:color w:val="auto"/>
                <w:sz w:val="21"/>
                <w:szCs w:val="21"/>
                <w:u w:val="none"/>
                <w:lang w:eastAsia="zh-CN"/>
              </w:rPr>
              <w:t>来源及种类</w:t>
            </w:r>
          </w:p>
        </w:tc>
        <w:tc>
          <w:tcPr>
            <w:tcW w:w="1457" w:type="dxa"/>
            <w:vMerge w:val="restart"/>
            <w:noWrap w:val="0"/>
            <w:vAlign w:val="center"/>
          </w:tcPr>
          <w:p>
            <w:pPr>
              <w:pStyle w:val="3"/>
              <w:spacing w:line="240" w:lineRule="auto"/>
              <w:ind w:left="0"/>
              <w:jc w:val="center"/>
              <w:rPr>
                <w:rFonts w:hint="default" w:ascii="Times New Roman" w:hAnsi="Times New Roman" w:cs="Times New Roman"/>
                <w:b/>
                <w:color w:val="auto"/>
                <w:sz w:val="21"/>
                <w:szCs w:val="21"/>
                <w:u w:val="none"/>
                <w:lang w:eastAsia="zh-CN"/>
              </w:rPr>
            </w:pPr>
            <w:r>
              <w:rPr>
                <w:rFonts w:hint="default" w:ascii="Times New Roman" w:hAnsi="Times New Roman" w:cs="Times New Roman"/>
                <w:b/>
                <w:color w:val="auto"/>
                <w:sz w:val="21"/>
                <w:szCs w:val="21"/>
                <w:u w:val="none"/>
                <w:lang w:eastAsia="zh-CN"/>
              </w:rPr>
              <w:t>发生系数</w:t>
            </w:r>
          </w:p>
        </w:tc>
        <w:tc>
          <w:tcPr>
            <w:tcW w:w="2812" w:type="dxa"/>
            <w:gridSpan w:val="2"/>
            <w:noWrap w:val="0"/>
            <w:vAlign w:val="center"/>
          </w:tcPr>
          <w:p>
            <w:pPr>
              <w:pStyle w:val="3"/>
              <w:spacing w:line="240" w:lineRule="auto"/>
              <w:ind w:left="0"/>
              <w:jc w:val="center"/>
              <w:rPr>
                <w:rFonts w:hint="default" w:ascii="Times New Roman" w:hAnsi="Times New Roman" w:cs="Times New Roman"/>
                <w:b/>
                <w:color w:val="auto"/>
                <w:sz w:val="21"/>
                <w:szCs w:val="21"/>
                <w:u w:val="none"/>
                <w:lang w:eastAsia="zh-CN"/>
              </w:rPr>
            </w:pPr>
            <w:r>
              <w:rPr>
                <w:rFonts w:hint="default" w:ascii="Times New Roman" w:hAnsi="Times New Roman" w:cs="Times New Roman"/>
                <w:b/>
                <w:color w:val="auto"/>
                <w:sz w:val="21"/>
                <w:szCs w:val="21"/>
                <w:u w:val="none"/>
                <w:lang w:eastAsia="zh-CN"/>
              </w:rPr>
              <w:t>产生量</w:t>
            </w:r>
          </w:p>
        </w:tc>
        <w:tc>
          <w:tcPr>
            <w:tcW w:w="1399" w:type="dxa"/>
            <w:vMerge w:val="restart"/>
            <w:noWrap w:val="0"/>
            <w:vAlign w:val="center"/>
          </w:tcPr>
          <w:p>
            <w:pPr>
              <w:pStyle w:val="3"/>
              <w:spacing w:line="240" w:lineRule="auto"/>
              <w:ind w:left="0"/>
              <w:jc w:val="center"/>
              <w:rPr>
                <w:rFonts w:hint="default" w:ascii="Times New Roman" w:hAnsi="Times New Roman" w:cs="Times New Roman"/>
                <w:b/>
                <w:color w:val="auto"/>
                <w:sz w:val="21"/>
                <w:szCs w:val="21"/>
                <w:u w:val="none"/>
                <w:lang w:eastAsia="zh-CN"/>
              </w:rPr>
            </w:pPr>
            <w:r>
              <w:rPr>
                <w:rFonts w:hint="eastAsia" w:ascii="Times New Roman" w:hAnsi="Times New Roman" w:cs="Times New Roman"/>
                <w:b/>
                <w:color w:val="auto"/>
                <w:sz w:val="21"/>
                <w:szCs w:val="21"/>
                <w:u w:val="none"/>
                <w:lang w:eastAsia="zh-CN"/>
              </w:rPr>
              <w:t>属性</w:t>
            </w:r>
          </w:p>
        </w:tc>
        <w:tc>
          <w:tcPr>
            <w:tcW w:w="1398" w:type="dxa"/>
            <w:vMerge w:val="restart"/>
            <w:noWrap w:val="0"/>
            <w:vAlign w:val="center"/>
          </w:tcPr>
          <w:p>
            <w:pPr>
              <w:pStyle w:val="3"/>
              <w:spacing w:line="240" w:lineRule="auto"/>
              <w:ind w:left="0"/>
              <w:jc w:val="center"/>
              <w:rPr>
                <w:rFonts w:hint="default" w:ascii="Times New Roman" w:hAnsi="Times New Roman" w:cs="Times New Roman"/>
                <w:b/>
                <w:color w:val="auto"/>
                <w:sz w:val="21"/>
                <w:szCs w:val="21"/>
                <w:u w:val="none"/>
                <w:lang w:eastAsia="zh-CN"/>
              </w:rPr>
            </w:pPr>
            <w:r>
              <w:rPr>
                <w:rFonts w:hint="eastAsia" w:ascii="Times New Roman" w:hAnsi="Times New Roman" w:cs="Times New Roman"/>
                <w:b/>
                <w:color w:val="auto"/>
                <w:sz w:val="21"/>
                <w:szCs w:val="21"/>
                <w:u w:val="none"/>
                <w:lang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vMerge w:val="continue"/>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p>
        </w:tc>
        <w:tc>
          <w:tcPr>
            <w:tcW w:w="1457" w:type="dxa"/>
            <w:vMerge w:val="continue"/>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每天</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每年（t/a）</w:t>
            </w:r>
          </w:p>
        </w:tc>
        <w:tc>
          <w:tcPr>
            <w:tcW w:w="1399" w:type="dxa"/>
            <w:vMerge w:val="continue"/>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p>
        </w:tc>
        <w:tc>
          <w:tcPr>
            <w:tcW w:w="1398" w:type="dxa"/>
            <w:vMerge w:val="continue"/>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1、工艺污泥固废</w:t>
            </w:r>
          </w:p>
        </w:tc>
        <w:tc>
          <w:tcPr>
            <w:tcW w:w="7066" w:type="dxa"/>
            <w:gridSpan w:val="5"/>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格栅渣</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0.05kg/</w:t>
            </w:r>
            <w:r>
              <w:rPr>
                <w:rFonts w:hint="default" w:ascii="Times New Roman" w:hAnsi="Times New Roman" w:cs="Times New Roman"/>
                <w:color w:val="auto"/>
                <w:sz w:val="21"/>
                <w:szCs w:val="21"/>
                <w:u w:val="none"/>
                <w:lang w:eastAsia="zh-CN"/>
              </w:rPr>
              <w:t>m</w:t>
            </w:r>
            <w:r>
              <w:rPr>
                <w:rFonts w:hint="default" w:ascii="Times New Roman" w:hAnsi="Times New Roman" w:cs="Times New Roman"/>
                <w:color w:val="auto"/>
                <w:sz w:val="21"/>
                <w:szCs w:val="21"/>
                <w:u w:val="none"/>
                <w:vertAlign w:val="superscript"/>
                <w:lang w:eastAsia="zh-CN"/>
              </w:rPr>
              <w:t>3</w:t>
            </w: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20</w:t>
            </w:r>
            <w:r>
              <w:rPr>
                <w:rFonts w:hint="default" w:ascii="Times New Roman" w:hAnsi="Times New Roman" w:cs="Times New Roman"/>
                <w:color w:val="auto"/>
                <w:sz w:val="21"/>
                <w:szCs w:val="21"/>
                <w:u w:val="none"/>
                <w:lang w:val="en-US" w:eastAsia="zh-CN"/>
              </w:rPr>
              <w:t>kg</w:t>
            </w:r>
            <w:r>
              <w:rPr>
                <w:rFonts w:hint="default" w:ascii="Times New Roman" w:hAnsi="Times New Roman" w:cs="Times New Roman"/>
                <w:color w:val="auto"/>
                <w:sz w:val="21"/>
                <w:szCs w:val="21"/>
                <w:u w:val="none"/>
                <w:lang w:eastAsia="zh-CN"/>
              </w:rPr>
              <w:t>/d</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7.3</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color w:val="auto"/>
                <w:kern w:val="0"/>
                <w:sz w:val="21"/>
                <w:szCs w:val="21"/>
                <w:u w:val="none"/>
              </w:rPr>
              <w:t>一般固废</w:t>
            </w:r>
          </w:p>
        </w:tc>
        <w:tc>
          <w:tcPr>
            <w:tcW w:w="1398" w:type="dxa"/>
            <w:vMerge w:val="restart"/>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运输至永顺县垃圾填埋场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沉砂</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0.</w:t>
            </w:r>
            <w:r>
              <w:rPr>
                <w:rFonts w:hint="eastAsia" w:ascii="Times New Roman" w:hAnsi="Times New Roman" w:cs="Times New Roman"/>
                <w:color w:val="auto"/>
                <w:sz w:val="21"/>
                <w:szCs w:val="21"/>
                <w:u w:val="none"/>
                <w:lang w:val="en-US" w:eastAsia="zh-CN"/>
              </w:rPr>
              <w:t>45t/10000</w:t>
            </w:r>
            <w:r>
              <w:rPr>
                <w:rFonts w:hint="default" w:ascii="Times New Roman" w:hAnsi="Times New Roman" w:cs="Times New Roman"/>
                <w:color w:val="auto"/>
                <w:sz w:val="21"/>
                <w:szCs w:val="21"/>
                <w:u w:val="none"/>
                <w:lang w:eastAsia="zh-CN"/>
              </w:rPr>
              <w:t>m</w:t>
            </w:r>
            <w:r>
              <w:rPr>
                <w:rFonts w:hint="default" w:ascii="Times New Roman" w:hAnsi="Times New Roman" w:cs="Times New Roman"/>
                <w:color w:val="auto"/>
                <w:sz w:val="21"/>
                <w:szCs w:val="21"/>
                <w:u w:val="none"/>
                <w:vertAlign w:val="superscript"/>
                <w:lang w:eastAsia="zh-CN"/>
              </w:rPr>
              <w:t>3</w:t>
            </w: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18</w:t>
            </w:r>
            <w:r>
              <w:rPr>
                <w:rFonts w:hint="default" w:ascii="Times New Roman" w:hAnsi="Times New Roman" w:cs="Times New Roman"/>
                <w:color w:val="auto"/>
                <w:sz w:val="21"/>
                <w:szCs w:val="21"/>
                <w:u w:val="none"/>
                <w:lang w:val="en-US" w:eastAsia="zh-CN"/>
              </w:rPr>
              <w:t>kg</w:t>
            </w:r>
            <w:r>
              <w:rPr>
                <w:rFonts w:hint="default" w:ascii="Times New Roman" w:hAnsi="Times New Roman" w:cs="Times New Roman"/>
                <w:color w:val="auto"/>
                <w:sz w:val="21"/>
                <w:szCs w:val="21"/>
                <w:u w:val="none"/>
                <w:lang w:eastAsia="zh-CN"/>
              </w:rPr>
              <w:t>/d</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6.57</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一般固废</w:t>
            </w:r>
          </w:p>
        </w:tc>
        <w:tc>
          <w:tcPr>
            <w:tcW w:w="1398" w:type="dxa"/>
            <w:vMerge w:val="continue"/>
            <w:noWrap w:val="0"/>
            <w:vAlign w:val="center"/>
          </w:tcPr>
          <w:p>
            <w:pPr>
              <w:pStyle w:val="3"/>
              <w:spacing w:line="240" w:lineRule="auto"/>
              <w:ind w:left="0" w:leftChars="0" w:firstLine="0" w:firstLineChars="0"/>
              <w:jc w:val="center"/>
              <w:rPr>
                <w:rFonts w:hint="default" w:ascii="Times New Roman" w:hAnsi="Times New Roman" w:cs="Times New Roman"/>
                <w:color w:val="auto"/>
                <w:kern w:val="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剩余污泥</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3.57t/104m</w:t>
            </w:r>
            <w:r>
              <w:rPr>
                <w:rFonts w:hint="default" w:ascii="Times New Roman" w:hAnsi="Times New Roman" w:cs="Times New Roman"/>
                <w:color w:val="auto"/>
                <w:sz w:val="21"/>
                <w:szCs w:val="21"/>
                <w:u w:val="none"/>
                <w:vertAlign w:val="superscript"/>
                <w:lang w:eastAsia="zh-CN"/>
              </w:rPr>
              <w:t>3</w:t>
            </w:r>
            <w:r>
              <w:rPr>
                <w:rFonts w:hint="default" w:ascii="Times New Roman" w:hAnsi="Times New Roman" w:cs="Times New Roman"/>
                <w:color w:val="auto"/>
                <w:sz w:val="21"/>
                <w:szCs w:val="21"/>
                <w:u w:val="none"/>
                <w:lang w:eastAsia="zh-CN"/>
              </w:rPr>
              <w:t>污水</w:t>
            </w: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7.00</w:t>
            </w:r>
            <w:r>
              <w:rPr>
                <w:rFonts w:hint="default" w:ascii="Times New Roman" w:hAnsi="Times New Roman" w:cs="Times New Roman"/>
                <w:color w:val="auto"/>
                <w:sz w:val="21"/>
                <w:szCs w:val="21"/>
                <w:u w:val="none"/>
                <w:lang w:val="en-US" w:eastAsia="zh-CN"/>
              </w:rPr>
              <w:t>kg</w:t>
            </w:r>
            <w:r>
              <w:rPr>
                <w:rFonts w:hint="default" w:ascii="Times New Roman" w:hAnsi="Times New Roman" w:cs="Times New Roman"/>
                <w:color w:val="auto"/>
                <w:sz w:val="21"/>
                <w:szCs w:val="21"/>
                <w:u w:val="none"/>
                <w:lang w:eastAsia="zh-CN"/>
              </w:rPr>
              <w:t>/d</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2.5550</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待鉴定</w:t>
            </w:r>
          </w:p>
        </w:tc>
        <w:tc>
          <w:tcPr>
            <w:tcW w:w="1398"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鉴定为危险废物，则交由第三方有资质公司处理，否则交由永顺县环卫部门运输至永顺县垃圾填埋场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小计</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w:t>
            </w:r>
          </w:p>
        </w:tc>
        <w:tc>
          <w:tcPr>
            <w:tcW w:w="1407" w:type="dxa"/>
            <w:noWrap w:val="0"/>
            <w:vAlign w:val="center"/>
          </w:tcPr>
          <w:p>
            <w:pPr>
              <w:pStyle w:val="73"/>
              <w:jc w:val="center"/>
              <w:rPr>
                <w:rFonts w:hint="default" w:ascii="Times New Roman" w:hAnsi="Times New Roman" w:cs="Times New Roman"/>
                <w:color w:val="auto"/>
                <w:sz w:val="21"/>
                <w:szCs w:val="21"/>
                <w:u w:val="none"/>
              </w:rPr>
            </w:pPr>
            <w:r>
              <w:rPr>
                <w:rFonts w:hint="eastAsia" w:ascii="Times New Roman" w:cs="Times New Roman"/>
                <w:color w:val="auto"/>
                <w:sz w:val="21"/>
                <w:szCs w:val="21"/>
                <w:u w:val="none"/>
                <w:lang w:val="en-US" w:eastAsia="zh-CN"/>
              </w:rPr>
              <w:t>47.5</w:t>
            </w:r>
            <w:r>
              <w:rPr>
                <w:rFonts w:hint="default" w:ascii="Times New Roman" w:hAnsi="Times New Roman" w:cs="Times New Roman"/>
                <w:color w:val="auto"/>
                <w:sz w:val="21"/>
                <w:szCs w:val="21"/>
                <w:u w:val="none"/>
                <w:lang w:val="en-US" w:eastAsia="zh-CN"/>
              </w:rPr>
              <w:t>kg</w:t>
            </w:r>
            <w:r>
              <w:rPr>
                <w:rFonts w:hint="default" w:ascii="Times New Roman" w:hAnsi="Times New Roman" w:cs="Times New Roman"/>
                <w:color w:val="auto"/>
                <w:sz w:val="21"/>
                <w:szCs w:val="21"/>
                <w:u w:val="none"/>
              </w:rPr>
              <w:t>/d</w:t>
            </w:r>
          </w:p>
        </w:tc>
        <w:tc>
          <w:tcPr>
            <w:tcW w:w="1405" w:type="dxa"/>
            <w:noWrap w:val="0"/>
            <w:vAlign w:val="center"/>
          </w:tcPr>
          <w:p>
            <w:pPr>
              <w:pStyle w:val="73"/>
              <w:jc w:val="center"/>
              <w:rPr>
                <w:rFonts w:hint="default" w:ascii="Times New Roman" w:hAnsi="Times New Roman" w:eastAsia="宋体" w:cs="Times New Roman"/>
                <w:color w:val="auto"/>
                <w:sz w:val="21"/>
                <w:szCs w:val="21"/>
                <w:u w:val="none"/>
                <w:lang w:val="en-US" w:eastAsia="zh-CN"/>
              </w:rPr>
            </w:pPr>
            <w:r>
              <w:rPr>
                <w:rFonts w:hint="eastAsia" w:ascii="Times New Roman" w:cs="Times New Roman"/>
                <w:color w:val="auto"/>
                <w:sz w:val="21"/>
                <w:szCs w:val="21"/>
                <w:u w:val="none"/>
                <w:lang w:val="en-US" w:eastAsia="zh-CN"/>
              </w:rPr>
              <w:t>16.425</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w:t>
            </w:r>
          </w:p>
        </w:tc>
        <w:tc>
          <w:tcPr>
            <w:tcW w:w="1398"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2、员工生活垃圾</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0.38kg/</w:t>
            </w:r>
            <w:r>
              <w:rPr>
                <w:rFonts w:hint="eastAsia" w:ascii="Times New Roman" w:hAnsi="Times New Roman" w:cs="Times New Roman"/>
                <w:color w:val="auto"/>
                <w:sz w:val="21"/>
                <w:szCs w:val="21"/>
                <w:u w:val="none"/>
                <w:lang w:eastAsia="zh-CN"/>
              </w:rPr>
              <w:t>人</w:t>
            </w:r>
            <w:r>
              <w:rPr>
                <w:rFonts w:hint="eastAsia" w:ascii="Times New Roman" w:hAnsi="Times New Roman" w:cs="Times New Roman"/>
                <w:color w:val="auto"/>
                <w:sz w:val="21"/>
                <w:szCs w:val="21"/>
                <w:u w:val="none"/>
                <w:lang w:val="en-US" w:eastAsia="zh-CN"/>
              </w:rPr>
              <w:t>·</w:t>
            </w:r>
            <w:r>
              <w:rPr>
                <w:rFonts w:hint="default" w:ascii="Times New Roman" w:hAnsi="Times New Roman" w:cs="Times New Roman"/>
                <w:color w:val="auto"/>
                <w:sz w:val="21"/>
                <w:szCs w:val="21"/>
                <w:u w:val="none"/>
                <w:lang w:eastAsia="zh-CN"/>
              </w:rPr>
              <w:t>d</w:t>
            </w: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1.9</w:t>
            </w:r>
            <w:r>
              <w:rPr>
                <w:rFonts w:hint="default" w:ascii="Times New Roman" w:hAnsi="Times New Roman" w:cs="Times New Roman"/>
                <w:color w:val="auto"/>
                <w:sz w:val="21"/>
                <w:szCs w:val="21"/>
                <w:u w:val="none"/>
                <w:lang w:eastAsia="zh-CN"/>
              </w:rPr>
              <w:t>kg/d</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0.6935</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生活垃圾</w:t>
            </w:r>
          </w:p>
        </w:tc>
        <w:tc>
          <w:tcPr>
            <w:tcW w:w="1398"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运输至永顺县垃圾填埋场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3、废弃紫外灯管固体废物</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w:t>
            </w: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0.01</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危险废物</w:t>
            </w:r>
          </w:p>
        </w:tc>
        <w:tc>
          <w:tcPr>
            <w:tcW w:w="1398"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4、废活性炭</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eastAsia="zh-CN"/>
              </w:rPr>
              <w:t>0.0</w:t>
            </w:r>
            <w:r>
              <w:rPr>
                <w:rFonts w:hint="default" w:ascii="Times New Roman" w:hAnsi="Times New Roman" w:cs="Times New Roman"/>
                <w:color w:val="auto"/>
                <w:sz w:val="21"/>
                <w:szCs w:val="21"/>
                <w:u w:val="none"/>
                <w:lang w:val="en-US" w:eastAsia="zh-CN"/>
              </w:rPr>
              <w:t>15</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危险废物</w:t>
            </w:r>
          </w:p>
        </w:tc>
        <w:tc>
          <w:tcPr>
            <w:tcW w:w="1398" w:type="dxa"/>
            <w:noWrap w:val="0"/>
            <w:vAlign w:val="center"/>
          </w:tcPr>
          <w:p>
            <w:pPr>
              <w:pStyle w:val="3"/>
              <w:spacing w:line="240" w:lineRule="auto"/>
              <w:ind w:left="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由厂家回收</w:t>
            </w:r>
          </w:p>
        </w:tc>
      </w:tr>
    </w:tbl>
    <w:p>
      <w:pPr>
        <w:pStyle w:val="3"/>
        <w:ind w:left="0"/>
        <w:rPr>
          <w:rFonts w:hint="eastAsia" w:ascii="Times New Roman" w:hAnsi="Times New Roman" w:cs="Times New Roman"/>
          <w:color w:val="auto"/>
          <w:u w:val="none"/>
          <w:lang w:eastAsia="zh-CN"/>
        </w:rPr>
      </w:pPr>
    </w:p>
    <w:p>
      <w:pPr>
        <w:pStyle w:val="3"/>
        <w:ind w:left="0"/>
        <w:rPr>
          <w:rFonts w:hint="eastAsia" w:ascii="Times New Roman" w:hAnsi="Times New Roman" w:cs="Times New Roman"/>
          <w:color w:val="auto"/>
          <w:u w:val="none"/>
          <w:lang w:eastAsia="zh-CN"/>
        </w:rPr>
        <w:sectPr>
          <w:pgSz w:w="11850" w:h="16790"/>
          <w:pgMar w:top="1440" w:right="1800" w:bottom="1440" w:left="1800" w:header="720" w:footer="397" w:gutter="0"/>
          <w:pgBorders w:offsetFrom="page">
            <w:top w:val="none" w:sz="0" w:space="0"/>
            <w:left w:val="none" w:sz="0" w:space="0"/>
            <w:bottom w:val="none" w:sz="0" w:space="0"/>
            <w:right w:val="none" w:sz="0" w:space="0"/>
          </w:pgBorders>
          <w:cols w:space="720" w:num="1"/>
          <w:docGrid w:linePitch="326" w:charSpace="0"/>
        </w:sectPr>
      </w:pPr>
    </w:p>
    <w:p>
      <w:pPr>
        <w:pStyle w:val="69"/>
        <w:rPr>
          <w:rFonts w:hint="eastAsia"/>
          <w:color w:val="auto"/>
          <w:u w:val="none"/>
        </w:rPr>
      </w:pPr>
      <w:r>
        <w:rPr>
          <w:rFonts w:hint="eastAsia"/>
          <w:color w:val="auto"/>
          <w:u w:val="none"/>
        </w:rPr>
        <w:t>2.4.</w:t>
      </w:r>
      <w:r>
        <w:rPr>
          <w:color w:val="auto"/>
          <w:u w:val="none"/>
        </w:rPr>
        <w:t>5</w:t>
      </w:r>
      <w:r>
        <w:rPr>
          <w:rFonts w:hint="eastAsia"/>
          <w:color w:val="auto"/>
          <w:u w:val="none"/>
        </w:rPr>
        <w:t>.5</w:t>
      </w:r>
      <w:r>
        <w:rPr>
          <w:rFonts w:hint="eastAsia"/>
          <w:color w:val="auto"/>
          <w:u w:val="none"/>
          <w:lang w:val="en-US" w:eastAsia="zh-CN"/>
        </w:rPr>
        <w:t>一期</w:t>
      </w:r>
      <w:r>
        <w:rPr>
          <w:rFonts w:hint="eastAsia"/>
          <w:color w:val="auto"/>
          <w:u w:val="none"/>
        </w:rPr>
        <w:t>工程运营期污染源排放量汇总</w:t>
      </w:r>
    </w:p>
    <w:p>
      <w:pPr>
        <w:pStyle w:val="3"/>
        <w:ind w:left="0" w:firstLine="480" w:firstLineChars="20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本工程运营期污染物产生及排放情况汇总详见表2.4</w:t>
      </w:r>
      <w:r>
        <w:rPr>
          <w:rFonts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12</w:t>
      </w:r>
      <w:r>
        <w:rPr>
          <w:rFonts w:hint="eastAsia" w:ascii="Times New Roman" w:hAnsi="Times New Roman" w:cs="Times New Roman"/>
          <w:color w:val="auto"/>
          <w:u w:val="none"/>
          <w:lang w:eastAsia="zh-CN"/>
        </w:rPr>
        <w:t>。</w:t>
      </w:r>
    </w:p>
    <w:p>
      <w:pPr>
        <w:pStyle w:val="3"/>
        <w:ind w:left="0"/>
        <w:jc w:val="center"/>
        <w:rPr>
          <w:rFonts w:hint="eastAsia" w:ascii="Times New Roman" w:hAnsi="Times New Roman" w:cs="Times New Roman"/>
          <w:b/>
          <w:color w:val="auto"/>
          <w:sz w:val="21"/>
          <w:szCs w:val="21"/>
          <w:u w:val="none"/>
          <w:lang w:eastAsia="zh-CN"/>
        </w:rPr>
      </w:pPr>
      <w:r>
        <w:rPr>
          <w:rFonts w:hint="eastAsia" w:ascii="Times New Roman" w:hAnsi="Times New Roman" w:cs="Times New Roman"/>
          <w:b/>
          <w:color w:val="auto"/>
          <w:sz w:val="21"/>
          <w:szCs w:val="21"/>
          <w:u w:val="none"/>
          <w:lang w:eastAsia="zh-CN"/>
        </w:rPr>
        <w:t>表2.4</w:t>
      </w:r>
      <w:r>
        <w:rPr>
          <w:rFonts w:ascii="Times New Roman" w:hAnsi="Times New Roman" w:cs="Times New Roman"/>
          <w:b/>
          <w:color w:val="auto"/>
          <w:sz w:val="21"/>
          <w:szCs w:val="21"/>
          <w:u w:val="none"/>
          <w:lang w:eastAsia="zh-CN"/>
        </w:rPr>
        <w:t>-</w:t>
      </w:r>
      <w:r>
        <w:rPr>
          <w:rFonts w:hint="eastAsia" w:ascii="Times New Roman" w:hAnsi="Times New Roman" w:cs="Times New Roman"/>
          <w:b/>
          <w:color w:val="auto"/>
          <w:sz w:val="21"/>
          <w:szCs w:val="21"/>
          <w:u w:val="none"/>
          <w:lang w:val="en-US" w:eastAsia="zh-CN"/>
        </w:rPr>
        <w:t xml:space="preserve">12  </w:t>
      </w:r>
      <w:r>
        <w:rPr>
          <w:rFonts w:hint="eastAsia" w:ascii="Times New Roman" w:hAnsi="Times New Roman" w:cs="Times New Roman"/>
          <w:b/>
          <w:color w:val="auto"/>
          <w:sz w:val="21"/>
          <w:szCs w:val="21"/>
          <w:u w:val="none"/>
          <w:lang w:eastAsia="zh-CN"/>
        </w:rPr>
        <w:t>本项目运营期污染产生及排放情况汇总表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86"/>
        <w:gridCol w:w="2175"/>
        <w:gridCol w:w="1650"/>
        <w:gridCol w:w="1500"/>
        <w:gridCol w:w="1665"/>
        <w:gridCol w:w="1657"/>
        <w:gridCol w:w="1641"/>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pStyle w:val="3"/>
              <w:spacing w:line="240" w:lineRule="auto"/>
              <w:ind w:left="0"/>
              <w:jc w:val="center"/>
              <w:rPr>
                <w:rFonts w:ascii="Times New Roman" w:hAnsi="Times New Roman" w:cs="Times New Roman"/>
                <w:b/>
                <w:color w:val="auto"/>
                <w:sz w:val="21"/>
                <w:szCs w:val="21"/>
                <w:u w:val="none"/>
                <w:lang w:eastAsia="zh-CN"/>
              </w:rPr>
            </w:pPr>
            <w:bookmarkStart w:id="196" w:name="_Hlk34062417"/>
            <w:r>
              <w:rPr>
                <w:rFonts w:ascii="Times New Roman" w:hAnsi="Times New Roman" w:cs="Times New Roman"/>
                <w:b/>
                <w:color w:val="auto"/>
                <w:sz w:val="21"/>
                <w:szCs w:val="21"/>
                <w:u w:val="none"/>
                <w:lang w:eastAsia="zh-CN"/>
              </w:rPr>
              <w:t>分类</w:t>
            </w:r>
          </w:p>
        </w:tc>
        <w:tc>
          <w:tcPr>
            <w:tcW w:w="1586" w:type="dxa"/>
            <w:noWrap w:val="0"/>
            <w:vAlign w:val="center"/>
          </w:tcPr>
          <w:p>
            <w:pPr>
              <w:pStyle w:val="3"/>
              <w:spacing w:line="240" w:lineRule="auto"/>
              <w:ind w:left="0"/>
              <w:jc w:val="center"/>
              <w:rPr>
                <w:rFonts w:ascii="Times New Roman" w:hAnsi="Times New Roman" w:cs="Times New Roman"/>
                <w:b/>
                <w:color w:val="auto"/>
                <w:sz w:val="21"/>
                <w:szCs w:val="21"/>
                <w:u w:val="none"/>
                <w:lang w:eastAsia="zh-CN"/>
              </w:rPr>
            </w:pPr>
            <w:r>
              <w:rPr>
                <w:rFonts w:ascii="Times New Roman" w:hAnsi="Times New Roman" w:cs="Times New Roman"/>
                <w:b/>
                <w:color w:val="auto"/>
                <w:sz w:val="21"/>
                <w:szCs w:val="21"/>
                <w:u w:val="none"/>
                <w:lang w:eastAsia="zh-CN"/>
              </w:rPr>
              <w:t>污染源</w:t>
            </w:r>
          </w:p>
        </w:tc>
        <w:tc>
          <w:tcPr>
            <w:tcW w:w="2175" w:type="dxa"/>
            <w:noWrap w:val="0"/>
            <w:vAlign w:val="center"/>
          </w:tcPr>
          <w:p>
            <w:pPr>
              <w:pStyle w:val="3"/>
              <w:spacing w:line="240" w:lineRule="auto"/>
              <w:ind w:left="0"/>
              <w:jc w:val="center"/>
              <w:rPr>
                <w:rFonts w:ascii="Times New Roman" w:hAnsi="Times New Roman" w:cs="Times New Roman"/>
                <w:b/>
                <w:color w:val="auto"/>
                <w:sz w:val="21"/>
                <w:szCs w:val="21"/>
                <w:u w:val="none"/>
                <w:lang w:eastAsia="zh-CN"/>
              </w:rPr>
            </w:pPr>
            <w:r>
              <w:rPr>
                <w:rFonts w:ascii="Times New Roman" w:hAnsi="Times New Roman" w:cs="Times New Roman"/>
                <w:b/>
                <w:color w:val="auto"/>
                <w:sz w:val="21"/>
                <w:szCs w:val="21"/>
                <w:u w:val="none"/>
                <w:lang w:eastAsia="zh-CN"/>
              </w:rPr>
              <w:t>污染因子及产生浓度</w:t>
            </w:r>
          </w:p>
        </w:tc>
        <w:tc>
          <w:tcPr>
            <w:tcW w:w="1650" w:type="dxa"/>
            <w:noWrap w:val="0"/>
            <w:vAlign w:val="center"/>
          </w:tcPr>
          <w:p>
            <w:pPr>
              <w:pStyle w:val="3"/>
              <w:spacing w:line="240" w:lineRule="auto"/>
              <w:ind w:left="0"/>
              <w:jc w:val="center"/>
              <w:rPr>
                <w:rFonts w:ascii="Times New Roman" w:hAnsi="Times New Roman" w:cs="Times New Roman"/>
                <w:b/>
                <w:color w:val="auto"/>
                <w:sz w:val="21"/>
                <w:szCs w:val="21"/>
                <w:u w:val="none"/>
                <w:lang w:eastAsia="zh-CN"/>
              </w:rPr>
            </w:pPr>
            <w:r>
              <w:rPr>
                <w:rFonts w:ascii="Times New Roman" w:hAnsi="Times New Roman" w:cs="Times New Roman"/>
                <w:b/>
                <w:color w:val="auto"/>
                <w:sz w:val="21"/>
                <w:szCs w:val="21"/>
                <w:u w:val="none"/>
                <w:lang w:eastAsia="zh-CN"/>
              </w:rPr>
              <w:t>产生量</w:t>
            </w:r>
          </w:p>
        </w:tc>
        <w:tc>
          <w:tcPr>
            <w:tcW w:w="1500" w:type="dxa"/>
            <w:noWrap w:val="0"/>
            <w:vAlign w:val="center"/>
          </w:tcPr>
          <w:p>
            <w:pPr>
              <w:pStyle w:val="3"/>
              <w:spacing w:line="240" w:lineRule="auto"/>
              <w:ind w:left="0"/>
              <w:jc w:val="center"/>
              <w:rPr>
                <w:rFonts w:ascii="Times New Roman" w:hAnsi="Times New Roman" w:cs="Times New Roman"/>
                <w:b/>
                <w:color w:val="auto"/>
                <w:sz w:val="21"/>
                <w:szCs w:val="21"/>
                <w:u w:val="none"/>
                <w:lang w:eastAsia="zh-CN"/>
              </w:rPr>
            </w:pPr>
            <w:r>
              <w:rPr>
                <w:rFonts w:ascii="Times New Roman" w:hAnsi="Times New Roman" w:cs="Times New Roman"/>
                <w:b/>
                <w:color w:val="auto"/>
                <w:sz w:val="21"/>
                <w:szCs w:val="21"/>
                <w:u w:val="none"/>
                <w:lang w:eastAsia="zh-CN"/>
              </w:rPr>
              <w:t>处理措施</w:t>
            </w:r>
          </w:p>
        </w:tc>
        <w:tc>
          <w:tcPr>
            <w:tcW w:w="1665" w:type="dxa"/>
            <w:noWrap w:val="0"/>
            <w:vAlign w:val="center"/>
          </w:tcPr>
          <w:p>
            <w:pPr>
              <w:pStyle w:val="3"/>
              <w:spacing w:line="240" w:lineRule="auto"/>
              <w:ind w:left="0"/>
              <w:jc w:val="center"/>
              <w:rPr>
                <w:rFonts w:ascii="Times New Roman" w:hAnsi="Times New Roman" w:cs="Times New Roman"/>
                <w:b/>
                <w:color w:val="auto"/>
                <w:sz w:val="21"/>
                <w:szCs w:val="21"/>
                <w:u w:val="none"/>
                <w:lang w:eastAsia="zh-CN"/>
              </w:rPr>
            </w:pPr>
            <w:r>
              <w:rPr>
                <w:rFonts w:ascii="Times New Roman" w:hAnsi="Times New Roman" w:cs="Times New Roman"/>
                <w:b/>
                <w:color w:val="auto"/>
                <w:sz w:val="21"/>
                <w:szCs w:val="21"/>
                <w:u w:val="none"/>
                <w:lang w:eastAsia="zh-CN"/>
              </w:rPr>
              <w:t>排放浓度</w:t>
            </w:r>
          </w:p>
        </w:tc>
        <w:tc>
          <w:tcPr>
            <w:tcW w:w="1657" w:type="dxa"/>
            <w:noWrap w:val="0"/>
            <w:vAlign w:val="center"/>
          </w:tcPr>
          <w:p>
            <w:pPr>
              <w:pStyle w:val="3"/>
              <w:spacing w:line="240" w:lineRule="auto"/>
              <w:ind w:left="0"/>
              <w:jc w:val="center"/>
              <w:rPr>
                <w:rFonts w:ascii="Times New Roman" w:hAnsi="Times New Roman" w:cs="Times New Roman"/>
                <w:b/>
                <w:color w:val="auto"/>
                <w:sz w:val="21"/>
                <w:szCs w:val="21"/>
                <w:u w:val="none"/>
                <w:lang w:eastAsia="zh-CN"/>
              </w:rPr>
            </w:pPr>
            <w:r>
              <w:rPr>
                <w:rFonts w:ascii="Times New Roman" w:hAnsi="Times New Roman" w:cs="Times New Roman"/>
                <w:b/>
                <w:color w:val="auto"/>
                <w:sz w:val="21"/>
                <w:szCs w:val="21"/>
                <w:u w:val="none"/>
                <w:lang w:eastAsia="zh-CN"/>
              </w:rPr>
              <w:t>削减量</w:t>
            </w:r>
          </w:p>
        </w:tc>
        <w:tc>
          <w:tcPr>
            <w:tcW w:w="1641" w:type="dxa"/>
            <w:noWrap w:val="0"/>
            <w:vAlign w:val="center"/>
          </w:tcPr>
          <w:p>
            <w:pPr>
              <w:pStyle w:val="3"/>
              <w:spacing w:line="240" w:lineRule="auto"/>
              <w:ind w:left="0"/>
              <w:jc w:val="center"/>
              <w:rPr>
                <w:rFonts w:ascii="Times New Roman" w:hAnsi="Times New Roman" w:cs="Times New Roman"/>
                <w:b/>
                <w:color w:val="auto"/>
                <w:sz w:val="21"/>
                <w:szCs w:val="21"/>
                <w:u w:val="none"/>
                <w:lang w:eastAsia="zh-CN"/>
              </w:rPr>
            </w:pPr>
            <w:r>
              <w:rPr>
                <w:rFonts w:ascii="Times New Roman" w:hAnsi="Times New Roman" w:cs="Times New Roman"/>
                <w:b/>
                <w:color w:val="auto"/>
                <w:sz w:val="21"/>
                <w:szCs w:val="21"/>
                <w:u w:val="none"/>
                <w:lang w:eastAsia="zh-CN"/>
              </w:rPr>
              <w:t>排放量</w:t>
            </w:r>
          </w:p>
        </w:tc>
        <w:tc>
          <w:tcPr>
            <w:tcW w:w="1577" w:type="dxa"/>
            <w:noWrap w:val="0"/>
            <w:vAlign w:val="center"/>
          </w:tcPr>
          <w:p>
            <w:pPr>
              <w:pStyle w:val="3"/>
              <w:spacing w:line="240" w:lineRule="auto"/>
              <w:ind w:left="0"/>
              <w:jc w:val="center"/>
              <w:rPr>
                <w:rFonts w:ascii="Times New Roman" w:hAnsi="Times New Roman" w:cs="Times New Roman"/>
                <w:b/>
                <w:color w:val="auto"/>
                <w:sz w:val="21"/>
                <w:szCs w:val="21"/>
                <w:u w:val="none"/>
                <w:lang w:eastAsia="zh-CN"/>
              </w:rPr>
            </w:pPr>
            <w:r>
              <w:rPr>
                <w:rFonts w:ascii="Times New Roman" w:hAnsi="Times New Roman" w:cs="Times New Roman"/>
                <w:b/>
                <w:color w:val="auto"/>
                <w:sz w:val="21"/>
                <w:szCs w:val="21"/>
                <w:u w:val="none"/>
                <w:lang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水污染源</w:t>
            </w:r>
          </w:p>
        </w:tc>
        <w:tc>
          <w:tcPr>
            <w:tcW w:w="1586"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工业废水以及生活废水</w:t>
            </w:r>
          </w:p>
        </w:tc>
        <w:tc>
          <w:tcPr>
            <w:tcW w:w="2175"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废水量：</w:t>
            </w:r>
            <w:r>
              <w:rPr>
                <w:rFonts w:hint="eastAsia" w:ascii="Times New Roman" w:hAnsi="Times New Roman" w:cs="Times New Roman"/>
                <w:color w:val="auto"/>
                <w:sz w:val="21"/>
                <w:szCs w:val="21"/>
                <w:u w:val="single"/>
                <w:lang w:val="en-US" w:eastAsia="zh-CN"/>
              </w:rPr>
              <w:t>14.6</w:t>
            </w:r>
            <w:r>
              <w:rPr>
                <w:rFonts w:ascii="Times New Roman" w:hAnsi="Times New Roman" w:cs="Times New Roman"/>
                <w:color w:val="auto"/>
                <w:sz w:val="21"/>
                <w:szCs w:val="21"/>
                <w:u w:val="single"/>
                <w:lang w:eastAsia="zh-CN"/>
              </w:rPr>
              <w:t>万m</w:t>
            </w:r>
            <w:r>
              <w:rPr>
                <w:rFonts w:ascii="Times New Roman" w:hAnsi="Times New Roman" w:cs="Times New Roman"/>
                <w:color w:val="auto"/>
                <w:sz w:val="21"/>
                <w:szCs w:val="21"/>
                <w:u w:val="single"/>
                <w:vertAlign w:val="superscript"/>
                <w:lang w:eastAsia="zh-CN"/>
              </w:rPr>
              <w:t>3</w:t>
            </w:r>
            <w:r>
              <w:rPr>
                <w:rFonts w:ascii="Times New Roman" w:hAnsi="Times New Roman" w:cs="Times New Roman"/>
                <w:color w:val="auto"/>
                <w:sz w:val="21"/>
                <w:szCs w:val="21"/>
                <w:u w:val="single"/>
                <w:lang w:eastAsia="zh-CN"/>
              </w:rPr>
              <w: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COD</w:t>
            </w:r>
            <w:r>
              <w:rPr>
                <w:rFonts w:ascii="Times New Roman" w:hAnsi="Times New Roman" w:cs="Times New Roman"/>
                <w:color w:val="auto"/>
                <w:sz w:val="21"/>
                <w:szCs w:val="21"/>
                <w:u w:val="single"/>
                <w:vertAlign w:val="subscript"/>
                <w:lang w:eastAsia="zh-CN"/>
              </w:rPr>
              <w:t>cr</w:t>
            </w:r>
            <w:r>
              <w:rPr>
                <w:rFonts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500</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BOD：</w:t>
            </w:r>
            <w:r>
              <w:rPr>
                <w:rFonts w:hint="eastAsia" w:ascii="Times New Roman" w:hAnsi="Times New Roman" w:cs="Times New Roman"/>
                <w:color w:val="auto"/>
                <w:sz w:val="21"/>
                <w:szCs w:val="21"/>
                <w:u w:val="single"/>
                <w:lang w:val="en-US" w:eastAsia="zh-CN"/>
              </w:rPr>
              <w:t>300</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NH</w:t>
            </w:r>
            <w:r>
              <w:rPr>
                <w:rFonts w:ascii="Times New Roman" w:hAnsi="Times New Roman" w:cs="Times New Roman"/>
                <w:color w:val="auto"/>
                <w:sz w:val="21"/>
                <w:szCs w:val="21"/>
                <w:u w:val="single"/>
                <w:vertAlign w:val="subscript"/>
                <w:lang w:eastAsia="zh-CN"/>
              </w:rPr>
              <w:t>3</w:t>
            </w:r>
            <w:r>
              <w:rPr>
                <w:rFonts w:ascii="Times New Roman" w:hAnsi="Times New Roman" w:cs="Times New Roman"/>
                <w:color w:val="auto"/>
                <w:sz w:val="21"/>
                <w:szCs w:val="21"/>
                <w:u w:val="single"/>
                <w:lang w:eastAsia="zh-CN"/>
              </w:rPr>
              <w:t>-N：</w:t>
            </w:r>
            <w:r>
              <w:rPr>
                <w:rFonts w:hint="eastAsia" w:ascii="Times New Roman" w:hAnsi="Times New Roman" w:cs="Times New Roman"/>
                <w:color w:val="auto"/>
                <w:sz w:val="21"/>
                <w:szCs w:val="21"/>
                <w:u w:val="single"/>
                <w:lang w:val="en-US" w:eastAsia="zh-CN"/>
              </w:rPr>
              <w:t>25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SS：</w:t>
            </w:r>
            <w:r>
              <w:rPr>
                <w:rFonts w:hint="eastAsia" w:ascii="Times New Roman" w:hAnsi="Times New Roman" w:cs="Times New Roman"/>
                <w:color w:val="auto"/>
                <w:sz w:val="21"/>
                <w:szCs w:val="21"/>
                <w:u w:val="single"/>
                <w:lang w:val="en-US" w:eastAsia="zh-CN"/>
              </w:rPr>
              <w:t>400</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TP</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eastAsia="zh-CN"/>
              </w:rPr>
              <w:t>TN：</w:t>
            </w:r>
            <w:r>
              <w:rPr>
                <w:rFonts w:hint="eastAsia" w:ascii="Times New Roman" w:hAnsi="Times New Roman" w:cs="Times New Roman"/>
                <w:color w:val="auto"/>
                <w:sz w:val="21"/>
                <w:szCs w:val="21"/>
                <w:u w:val="single"/>
                <w:lang w:val="en-US" w:eastAsia="zh-CN"/>
              </w:rPr>
              <w:t>45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石油类：20</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动植物油：100</w:t>
            </w:r>
            <w:r>
              <w:rPr>
                <w:rFonts w:ascii="Times New Roman" w:hAnsi="Times New Roman" w:cs="Times New Roman"/>
                <w:color w:val="auto"/>
                <w:sz w:val="21"/>
                <w:szCs w:val="21"/>
                <w:u w:val="single"/>
                <w:lang w:eastAsia="zh-CN"/>
              </w:rPr>
              <w:t>mg/L</w:t>
            </w:r>
          </w:p>
        </w:tc>
        <w:tc>
          <w:tcPr>
            <w:tcW w:w="1650"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COD</w:t>
            </w:r>
            <w:r>
              <w:rPr>
                <w:rFonts w:ascii="Times New Roman" w:hAnsi="Times New Roman" w:cs="Times New Roman"/>
                <w:color w:val="auto"/>
                <w:sz w:val="21"/>
                <w:szCs w:val="21"/>
                <w:u w:val="single"/>
                <w:vertAlign w:val="subscript"/>
                <w:lang w:eastAsia="zh-CN"/>
              </w:rPr>
              <w:t>cr</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73.00</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BOD：</w:t>
            </w:r>
            <w:r>
              <w:rPr>
                <w:rFonts w:hint="eastAsia" w:ascii="Times New Roman" w:hAnsi="Times New Roman" w:cs="Times New Roman"/>
                <w:color w:val="auto"/>
                <w:sz w:val="21"/>
                <w:szCs w:val="21"/>
                <w:u w:val="single"/>
                <w:lang w:val="en-US" w:eastAsia="zh-CN"/>
              </w:rPr>
              <w:t>43.80</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NH</w:t>
            </w:r>
            <w:r>
              <w:rPr>
                <w:rFonts w:ascii="Times New Roman" w:hAnsi="Times New Roman" w:cs="Times New Roman"/>
                <w:color w:val="auto"/>
                <w:sz w:val="21"/>
                <w:szCs w:val="21"/>
                <w:u w:val="single"/>
                <w:vertAlign w:val="subscript"/>
                <w:lang w:eastAsia="zh-CN"/>
              </w:rPr>
              <w:t>3</w:t>
            </w:r>
            <w:r>
              <w:rPr>
                <w:rFonts w:ascii="Times New Roman" w:hAnsi="Times New Roman" w:cs="Times New Roman"/>
                <w:color w:val="auto"/>
                <w:sz w:val="21"/>
                <w:szCs w:val="21"/>
                <w:u w:val="single"/>
                <w:lang w:eastAsia="zh-CN"/>
              </w:rPr>
              <w:t>-N：</w:t>
            </w:r>
            <w:r>
              <w:rPr>
                <w:rFonts w:hint="eastAsia" w:ascii="Times New Roman" w:hAnsi="Times New Roman" w:cs="Times New Roman"/>
                <w:color w:val="auto"/>
                <w:sz w:val="21"/>
                <w:szCs w:val="21"/>
                <w:u w:val="single"/>
                <w:lang w:val="en-US" w:eastAsia="zh-CN"/>
              </w:rPr>
              <w:t>3.65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SS：</w:t>
            </w:r>
            <w:r>
              <w:rPr>
                <w:rFonts w:hint="eastAsia" w:ascii="Times New Roman" w:hAnsi="Times New Roman" w:cs="Times New Roman"/>
                <w:color w:val="auto"/>
                <w:sz w:val="21"/>
                <w:szCs w:val="21"/>
                <w:u w:val="single"/>
                <w:lang w:val="en-US" w:eastAsia="zh-CN"/>
              </w:rPr>
              <w:t>58.40</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TP</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0.73</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eastAsia="zh-CN"/>
              </w:rPr>
              <w:t>TN：</w:t>
            </w:r>
            <w:r>
              <w:rPr>
                <w:rFonts w:hint="eastAsia" w:ascii="Times New Roman" w:hAnsi="Times New Roman" w:cs="Times New Roman"/>
                <w:color w:val="auto"/>
                <w:sz w:val="21"/>
                <w:szCs w:val="21"/>
                <w:u w:val="single"/>
                <w:lang w:val="en-US" w:eastAsia="zh-CN"/>
              </w:rPr>
              <w:t>6.57</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石油类：2.92</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动植物油：14.6</w:t>
            </w:r>
            <w:r>
              <w:rPr>
                <w:rFonts w:ascii="Times New Roman" w:hAnsi="Times New Roman" w:cs="Times New Roman"/>
                <w:color w:val="auto"/>
                <w:sz w:val="21"/>
                <w:szCs w:val="21"/>
                <w:u w:val="single"/>
                <w:lang w:eastAsia="zh-CN"/>
              </w:rPr>
              <w:t>t/a</w:t>
            </w:r>
          </w:p>
        </w:tc>
        <w:tc>
          <w:tcPr>
            <w:tcW w:w="1500"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格栅渠→沉砂池→调节池→</w:t>
            </w:r>
            <w:r>
              <w:rPr>
                <w:rFonts w:hint="eastAsia" w:ascii="Times New Roman" w:hAnsi="Times New Roman" w:cs="Times New Roman"/>
                <w:color w:val="auto"/>
                <w:sz w:val="21"/>
                <w:szCs w:val="21"/>
                <w:u w:val="single"/>
                <w:lang w:val="en-US" w:eastAsia="zh-CN"/>
              </w:rPr>
              <w:t>MBR一体化设备</w:t>
            </w:r>
            <w:r>
              <w:rPr>
                <w:rFonts w:hint="eastAsia" w:ascii="Times New Roman" w:hAnsi="Times New Roman" w:cs="Times New Roman"/>
                <w:color w:val="auto"/>
                <w:sz w:val="21"/>
                <w:szCs w:val="21"/>
                <w:u w:val="single"/>
                <w:lang w:eastAsia="zh-CN"/>
              </w:rPr>
              <w:t>→紫外消毒→清水池</w:t>
            </w:r>
          </w:p>
        </w:tc>
        <w:tc>
          <w:tcPr>
            <w:tcW w:w="1665"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COD</w:t>
            </w:r>
            <w:r>
              <w:rPr>
                <w:rFonts w:ascii="Times New Roman" w:hAnsi="Times New Roman" w:cs="Times New Roman"/>
                <w:color w:val="auto"/>
                <w:sz w:val="21"/>
                <w:szCs w:val="21"/>
                <w:u w:val="single"/>
                <w:vertAlign w:val="subscript"/>
                <w:lang w:eastAsia="zh-CN"/>
              </w:rPr>
              <w:t>cr</w:t>
            </w:r>
            <w:r>
              <w:rPr>
                <w:rFonts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50</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BOD：10mg/L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NH</w:t>
            </w:r>
            <w:r>
              <w:rPr>
                <w:rFonts w:ascii="Times New Roman" w:hAnsi="Times New Roman" w:cs="Times New Roman"/>
                <w:color w:val="auto"/>
                <w:sz w:val="21"/>
                <w:szCs w:val="21"/>
                <w:u w:val="single"/>
                <w:vertAlign w:val="subscript"/>
                <w:lang w:eastAsia="zh-CN"/>
              </w:rPr>
              <w:t>3</w:t>
            </w:r>
            <w:r>
              <w:rPr>
                <w:rFonts w:ascii="Times New Roman" w:hAnsi="Times New Roman" w:cs="Times New Roman"/>
                <w:color w:val="auto"/>
                <w:sz w:val="21"/>
                <w:szCs w:val="21"/>
                <w:u w:val="single"/>
                <w:lang w:eastAsia="zh-CN"/>
              </w:rPr>
              <w:t>-N：</w:t>
            </w:r>
            <w:r>
              <w:rPr>
                <w:rFonts w:hint="eastAsia" w:ascii="Times New Roman" w:hAnsi="Times New Roman" w:cs="Times New Roman"/>
                <w:color w:val="auto"/>
                <w:sz w:val="21"/>
                <w:szCs w:val="21"/>
                <w:u w:val="single"/>
                <w:lang w:val="en-US" w:eastAsia="zh-CN"/>
              </w:rPr>
              <w:t>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SS：10mg/L</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TP</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0.5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TN：</w:t>
            </w:r>
            <w:r>
              <w:rPr>
                <w:rFonts w:hint="eastAsia" w:ascii="Times New Roman" w:hAnsi="Times New Roman" w:cs="Times New Roman"/>
                <w:color w:val="auto"/>
                <w:sz w:val="21"/>
                <w:szCs w:val="21"/>
                <w:u w:val="single"/>
                <w:lang w:val="en-US" w:eastAsia="zh-CN"/>
              </w:rPr>
              <w:t>15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石油类：1</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动植物油：1</w:t>
            </w:r>
            <w:r>
              <w:rPr>
                <w:rFonts w:ascii="Times New Roman" w:hAnsi="Times New Roman" w:cs="Times New Roman"/>
                <w:color w:val="auto"/>
                <w:sz w:val="21"/>
                <w:szCs w:val="21"/>
                <w:u w:val="single"/>
                <w:lang w:eastAsia="zh-CN"/>
              </w:rPr>
              <w:t>mg/L</w:t>
            </w:r>
          </w:p>
        </w:tc>
        <w:tc>
          <w:tcPr>
            <w:tcW w:w="1657"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COD</w:t>
            </w:r>
            <w:r>
              <w:rPr>
                <w:rFonts w:ascii="Times New Roman" w:hAnsi="Times New Roman" w:cs="Times New Roman"/>
                <w:color w:val="auto"/>
                <w:sz w:val="21"/>
                <w:szCs w:val="21"/>
                <w:u w:val="single"/>
                <w:vertAlign w:val="subscript"/>
                <w:lang w:eastAsia="zh-CN"/>
              </w:rPr>
              <w:t>cr</w:t>
            </w:r>
            <w:r>
              <w:rPr>
                <w:rFonts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65.70</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BOD：</w:t>
            </w:r>
            <w:r>
              <w:rPr>
                <w:rFonts w:hint="eastAsia" w:ascii="Times New Roman" w:hAnsi="Times New Roman" w:cs="Times New Roman"/>
                <w:color w:val="auto"/>
                <w:sz w:val="21"/>
                <w:szCs w:val="21"/>
                <w:u w:val="single"/>
                <w:lang w:val="en-US" w:eastAsia="zh-CN"/>
              </w:rPr>
              <w:t>42.34</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NH</w:t>
            </w:r>
            <w:r>
              <w:rPr>
                <w:rFonts w:ascii="Times New Roman" w:hAnsi="Times New Roman" w:cs="Times New Roman"/>
                <w:color w:val="auto"/>
                <w:sz w:val="21"/>
                <w:szCs w:val="21"/>
                <w:u w:val="single"/>
                <w:vertAlign w:val="subscript"/>
                <w:lang w:eastAsia="zh-CN"/>
              </w:rPr>
              <w:t>3</w:t>
            </w:r>
            <w:r>
              <w:rPr>
                <w:rFonts w:ascii="Times New Roman" w:hAnsi="Times New Roman" w:cs="Times New Roman"/>
                <w:color w:val="auto"/>
                <w:sz w:val="21"/>
                <w:szCs w:val="21"/>
                <w:u w:val="single"/>
                <w:lang w:eastAsia="zh-CN"/>
              </w:rPr>
              <w:t>-N：</w:t>
            </w:r>
            <w:r>
              <w:rPr>
                <w:rFonts w:hint="eastAsia" w:ascii="Times New Roman" w:hAnsi="Times New Roman" w:cs="Times New Roman"/>
                <w:color w:val="auto"/>
                <w:sz w:val="21"/>
                <w:szCs w:val="21"/>
                <w:u w:val="single"/>
                <w:lang w:val="en-US" w:eastAsia="zh-CN"/>
              </w:rPr>
              <w:t>2.92</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SS：</w:t>
            </w:r>
            <w:r>
              <w:rPr>
                <w:rFonts w:hint="eastAsia" w:ascii="Times New Roman" w:hAnsi="Times New Roman" w:cs="Times New Roman"/>
                <w:color w:val="auto"/>
                <w:sz w:val="21"/>
                <w:szCs w:val="21"/>
                <w:u w:val="single"/>
                <w:lang w:val="en-US" w:eastAsia="zh-CN"/>
              </w:rPr>
              <w:t>56.94</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TP</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0.657</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TN：</w:t>
            </w:r>
            <w:r>
              <w:rPr>
                <w:rFonts w:hint="eastAsia" w:ascii="Times New Roman" w:hAnsi="Times New Roman" w:cs="Times New Roman"/>
                <w:color w:val="auto"/>
                <w:sz w:val="21"/>
                <w:szCs w:val="21"/>
                <w:u w:val="single"/>
                <w:lang w:val="en-US" w:eastAsia="zh-CN"/>
              </w:rPr>
              <w:t>4.38</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石油类：2.774</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动植物油：14.454</w:t>
            </w:r>
            <w:r>
              <w:rPr>
                <w:rFonts w:ascii="Times New Roman" w:hAnsi="Times New Roman" w:cs="Times New Roman"/>
                <w:color w:val="auto"/>
                <w:sz w:val="21"/>
                <w:szCs w:val="21"/>
                <w:u w:val="single"/>
                <w:lang w:eastAsia="zh-CN"/>
              </w:rPr>
              <w:t>t/a</w:t>
            </w:r>
          </w:p>
        </w:tc>
        <w:tc>
          <w:tcPr>
            <w:tcW w:w="1641"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COD</w:t>
            </w:r>
            <w:r>
              <w:rPr>
                <w:rFonts w:ascii="Times New Roman" w:hAnsi="Times New Roman" w:cs="Times New Roman"/>
                <w:color w:val="auto"/>
                <w:sz w:val="21"/>
                <w:szCs w:val="21"/>
                <w:u w:val="single"/>
                <w:vertAlign w:val="subscript"/>
                <w:lang w:eastAsia="zh-CN"/>
              </w:rPr>
              <w:t>cr</w:t>
            </w:r>
            <w:r>
              <w:rPr>
                <w:rFonts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7.30</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BOD：</w:t>
            </w:r>
            <w:r>
              <w:rPr>
                <w:rFonts w:hint="eastAsia" w:ascii="Times New Roman" w:hAnsi="Times New Roman" w:cs="Times New Roman"/>
                <w:color w:val="auto"/>
                <w:sz w:val="21"/>
                <w:szCs w:val="21"/>
                <w:u w:val="single"/>
                <w:lang w:val="en-US" w:eastAsia="zh-CN"/>
              </w:rPr>
              <w:t>1.46</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NH</w:t>
            </w:r>
            <w:r>
              <w:rPr>
                <w:rFonts w:ascii="Times New Roman" w:hAnsi="Times New Roman" w:cs="Times New Roman"/>
                <w:color w:val="auto"/>
                <w:sz w:val="21"/>
                <w:szCs w:val="21"/>
                <w:u w:val="single"/>
                <w:vertAlign w:val="subscript"/>
                <w:lang w:eastAsia="zh-CN"/>
              </w:rPr>
              <w:t>3</w:t>
            </w:r>
            <w:r>
              <w:rPr>
                <w:rFonts w:ascii="Times New Roman" w:hAnsi="Times New Roman" w:cs="Times New Roman"/>
                <w:color w:val="auto"/>
                <w:sz w:val="21"/>
                <w:szCs w:val="21"/>
                <w:u w:val="single"/>
                <w:lang w:eastAsia="zh-CN"/>
              </w:rPr>
              <w:t>-N：</w:t>
            </w:r>
            <w:r>
              <w:rPr>
                <w:rFonts w:hint="eastAsia" w:ascii="Times New Roman" w:hAnsi="Times New Roman" w:cs="Times New Roman"/>
                <w:color w:val="auto"/>
                <w:sz w:val="21"/>
                <w:szCs w:val="21"/>
                <w:u w:val="single"/>
                <w:lang w:val="en-US" w:eastAsia="zh-CN"/>
              </w:rPr>
              <w:t>0.73</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SS：</w:t>
            </w:r>
            <w:r>
              <w:rPr>
                <w:rFonts w:hint="eastAsia" w:ascii="Times New Roman" w:hAnsi="Times New Roman" w:cs="Times New Roman"/>
                <w:color w:val="auto"/>
                <w:sz w:val="21"/>
                <w:szCs w:val="21"/>
                <w:u w:val="single"/>
                <w:lang w:val="en-US" w:eastAsia="zh-CN"/>
              </w:rPr>
              <w:t>1.46</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TP</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0.073</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TN：</w:t>
            </w:r>
            <w:r>
              <w:rPr>
                <w:rFonts w:hint="eastAsia" w:ascii="Times New Roman" w:hAnsi="Times New Roman" w:cs="Times New Roman"/>
                <w:color w:val="auto"/>
                <w:sz w:val="21"/>
                <w:szCs w:val="21"/>
                <w:u w:val="single"/>
                <w:lang w:val="en-US" w:eastAsia="zh-CN"/>
              </w:rPr>
              <w:t>2.19</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石油类：0.146</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动植物油：0.146</w:t>
            </w:r>
            <w:r>
              <w:rPr>
                <w:rFonts w:ascii="Times New Roman" w:hAnsi="Times New Roman" w:cs="Times New Roman"/>
                <w:color w:val="auto"/>
                <w:sz w:val="21"/>
                <w:szCs w:val="21"/>
                <w:u w:val="single"/>
                <w:lang w:eastAsia="zh-CN"/>
              </w:rPr>
              <w:t>t/a</w:t>
            </w:r>
          </w:p>
        </w:tc>
        <w:tc>
          <w:tcPr>
            <w:tcW w:w="1577"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达标排放至</w:t>
            </w:r>
            <w:r>
              <w:rPr>
                <w:rFonts w:hint="eastAsia" w:ascii="Times New Roman" w:hAnsi="Times New Roman" w:cs="Times New Roman"/>
                <w:color w:val="auto"/>
                <w:sz w:val="21"/>
                <w:szCs w:val="21"/>
                <w:u w:val="single"/>
                <w:lang w:eastAsia="zh-CN"/>
              </w:rPr>
              <w:t>猛洞河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75"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大气污染源</w:t>
            </w:r>
          </w:p>
        </w:tc>
        <w:tc>
          <w:tcPr>
            <w:tcW w:w="1586"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格栅渠</w:t>
            </w:r>
            <w:r>
              <w:rPr>
                <w:rFonts w:ascii="Times New Roman" w:hAnsi="Times New Roman" w:cs="Times New Roman"/>
                <w:color w:val="auto"/>
                <w:sz w:val="21"/>
                <w:szCs w:val="21"/>
                <w:u w:val="single"/>
                <w:lang w:eastAsia="zh-CN"/>
              </w:rPr>
              <w:t>、沉砂池、</w:t>
            </w:r>
            <w:r>
              <w:rPr>
                <w:rFonts w:hint="eastAsia" w:ascii="Times New Roman" w:hAnsi="Times New Roman" w:cs="Times New Roman"/>
                <w:color w:val="auto"/>
                <w:sz w:val="21"/>
                <w:szCs w:val="21"/>
                <w:u w:val="single"/>
                <w:lang w:val="en-US" w:eastAsia="zh-CN"/>
              </w:rPr>
              <w:t>MBR设备</w:t>
            </w:r>
            <w:r>
              <w:rPr>
                <w:rFonts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eastAsia="zh-CN"/>
              </w:rPr>
              <w:t>污泥</w:t>
            </w:r>
            <w:r>
              <w:rPr>
                <w:rFonts w:ascii="Times New Roman" w:hAnsi="Times New Roman" w:cs="Times New Roman"/>
                <w:color w:val="auto"/>
                <w:sz w:val="21"/>
                <w:szCs w:val="21"/>
                <w:u w:val="single"/>
                <w:lang w:eastAsia="zh-CN"/>
              </w:rPr>
              <w:t>池、污泥脱水间</w:t>
            </w:r>
          </w:p>
        </w:tc>
        <w:tc>
          <w:tcPr>
            <w:tcW w:w="217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氨</w:t>
            </w:r>
          </w:p>
        </w:tc>
        <w:tc>
          <w:tcPr>
            <w:tcW w:w="1650"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0.131254</w:t>
            </w:r>
            <w:r>
              <w:rPr>
                <w:rFonts w:ascii="Times New Roman" w:hAnsi="Times New Roman" w:cs="Times New Roman"/>
                <w:color w:val="auto"/>
                <w:sz w:val="21"/>
                <w:szCs w:val="21"/>
                <w:u w:val="single"/>
                <w:lang w:eastAsia="zh-CN"/>
              </w:rPr>
              <w:t>t/a</w:t>
            </w:r>
          </w:p>
        </w:tc>
        <w:tc>
          <w:tcPr>
            <w:tcW w:w="1500"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加盖处理、喷洒植物除臭剂、</w:t>
            </w:r>
            <w:r>
              <w:rPr>
                <w:rFonts w:ascii="Times New Roman" w:hAnsi="Times New Roman" w:cs="Times New Roman"/>
                <w:color w:val="auto"/>
                <w:sz w:val="21"/>
                <w:szCs w:val="21"/>
                <w:u w:val="single"/>
                <w:lang w:eastAsia="zh-CN"/>
              </w:rPr>
              <w:t>建设绿化防护林、</w:t>
            </w:r>
            <w:r>
              <w:rPr>
                <w:rFonts w:hint="eastAsia" w:ascii="Times New Roman" w:hAnsi="Times New Roman" w:cs="Times New Roman"/>
                <w:color w:val="auto"/>
                <w:sz w:val="21"/>
                <w:szCs w:val="21"/>
                <w:u w:val="single"/>
                <w:lang w:eastAsia="zh-CN"/>
              </w:rPr>
              <w:t>活性炭吸附</w:t>
            </w: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氨</w:t>
            </w:r>
          </w:p>
        </w:tc>
        <w:tc>
          <w:tcPr>
            <w:tcW w:w="1657"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0.114847</w:t>
            </w:r>
            <w:r>
              <w:rPr>
                <w:rFonts w:ascii="Times New Roman" w:hAnsi="Times New Roman" w:cs="Times New Roman"/>
                <w:color w:val="auto"/>
                <w:sz w:val="21"/>
                <w:szCs w:val="21"/>
                <w:u w:val="single"/>
                <w:lang w:eastAsia="zh-CN"/>
              </w:rPr>
              <w:t>t/a</w:t>
            </w:r>
          </w:p>
        </w:tc>
        <w:tc>
          <w:tcPr>
            <w:tcW w:w="1641" w:type="dxa"/>
            <w:noWrap w:val="0"/>
            <w:vAlign w:val="center"/>
          </w:tcPr>
          <w:p>
            <w:pPr>
              <w:pStyle w:val="3"/>
              <w:spacing w:line="240" w:lineRule="auto"/>
              <w:ind w:left="0" w:leftChars="0" w:firstLine="0" w:firstLineChars="0"/>
              <w:jc w:val="center"/>
              <w:rPr>
                <w:rFonts w:hint="default" w:ascii="Times New Roman" w:hAnsi="Times New Roman" w:cs="Times New Roman"/>
                <w:color w:val="auto"/>
                <w:u w:val="single"/>
              </w:rPr>
            </w:pPr>
            <w:r>
              <w:rPr>
                <w:rFonts w:hint="eastAsia" w:ascii="Times New Roman" w:hAnsi="Times New Roman" w:cs="Times New Roman"/>
                <w:color w:val="auto"/>
                <w:sz w:val="21"/>
                <w:szCs w:val="21"/>
                <w:u w:val="single"/>
                <w:lang w:val="en-US" w:eastAsia="zh-CN"/>
              </w:rPr>
              <w:t>0.016407</w:t>
            </w:r>
            <w:r>
              <w:rPr>
                <w:rFonts w:ascii="Times New Roman" w:hAnsi="Times New Roman" w:cs="Times New Roman"/>
                <w:color w:val="auto"/>
                <w:sz w:val="21"/>
                <w:szCs w:val="21"/>
                <w:u w:val="single"/>
                <w:lang w:eastAsia="zh-CN"/>
              </w:rPr>
              <w:t>t/a</w:t>
            </w:r>
          </w:p>
        </w:tc>
        <w:tc>
          <w:tcPr>
            <w:tcW w:w="1577"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厂区及周围大气环境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p>
        </w:tc>
        <w:tc>
          <w:tcPr>
            <w:tcW w:w="1586" w:type="dxa"/>
            <w:vMerge w:val="continue"/>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p>
        </w:tc>
        <w:tc>
          <w:tcPr>
            <w:tcW w:w="217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硫化氢</w:t>
            </w:r>
          </w:p>
        </w:tc>
        <w:tc>
          <w:tcPr>
            <w:tcW w:w="1650"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0.005081</w:t>
            </w:r>
            <w:r>
              <w:rPr>
                <w:rFonts w:ascii="Times New Roman" w:hAnsi="Times New Roman" w:cs="Times New Roman"/>
                <w:color w:val="auto"/>
                <w:sz w:val="21"/>
                <w:szCs w:val="21"/>
                <w:u w:val="single"/>
                <w:lang w:eastAsia="zh-CN"/>
              </w:rPr>
              <w:t>t/a</w:t>
            </w:r>
          </w:p>
        </w:tc>
        <w:tc>
          <w:tcPr>
            <w:tcW w:w="1500" w:type="dxa"/>
            <w:vMerge w:val="continue"/>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硫化氢</w:t>
            </w:r>
          </w:p>
        </w:tc>
        <w:tc>
          <w:tcPr>
            <w:tcW w:w="1657"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0.004573</w:t>
            </w:r>
            <w:r>
              <w:rPr>
                <w:rFonts w:ascii="Times New Roman" w:hAnsi="Times New Roman" w:cs="Times New Roman"/>
                <w:color w:val="auto"/>
                <w:sz w:val="21"/>
                <w:szCs w:val="21"/>
                <w:u w:val="single"/>
                <w:lang w:eastAsia="zh-CN"/>
              </w:rPr>
              <w:t>t/a</w:t>
            </w:r>
          </w:p>
        </w:tc>
        <w:tc>
          <w:tcPr>
            <w:tcW w:w="1641" w:type="dxa"/>
            <w:noWrap w:val="0"/>
            <w:vAlign w:val="center"/>
          </w:tcPr>
          <w:p>
            <w:pPr>
              <w:pStyle w:val="3"/>
              <w:spacing w:line="240" w:lineRule="auto"/>
              <w:ind w:left="0" w:leftChars="0" w:firstLine="0" w:firstLineChars="0"/>
              <w:jc w:val="center"/>
              <w:rPr>
                <w:rFonts w:hint="default" w:ascii="Times New Roman" w:hAnsi="Times New Roman" w:cs="Times New Roman"/>
                <w:color w:val="auto"/>
                <w:u w:val="single"/>
              </w:rPr>
            </w:pPr>
            <w:r>
              <w:rPr>
                <w:rFonts w:hint="eastAsia" w:ascii="Times New Roman" w:hAnsi="Times New Roman" w:cs="Times New Roman"/>
                <w:color w:val="auto"/>
                <w:sz w:val="21"/>
                <w:szCs w:val="21"/>
                <w:u w:val="single"/>
                <w:lang w:val="en-US" w:eastAsia="zh-CN"/>
              </w:rPr>
              <w:t>0.000508</w:t>
            </w:r>
            <w:r>
              <w:rPr>
                <w:rFonts w:ascii="Times New Roman" w:hAnsi="Times New Roman" w:cs="Times New Roman"/>
                <w:color w:val="auto"/>
                <w:sz w:val="21"/>
                <w:szCs w:val="21"/>
                <w:u w:val="single"/>
                <w:lang w:eastAsia="zh-CN"/>
              </w:rPr>
              <w:t>t/a</w:t>
            </w:r>
          </w:p>
        </w:tc>
        <w:tc>
          <w:tcPr>
            <w:tcW w:w="1577" w:type="dxa"/>
            <w:vMerge w:val="continue"/>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675" w:type="dxa"/>
            <w:vMerge w:val="restart"/>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ascii="Times New Roman" w:hAnsi="Times New Roman" w:cs="Times New Roman"/>
                <w:color w:val="auto"/>
                <w:sz w:val="21"/>
                <w:szCs w:val="21"/>
                <w:u w:val="none"/>
                <w:lang w:eastAsia="zh-CN"/>
              </w:rPr>
              <w:t>固废污染源</w:t>
            </w:r>
          </w:p>
        </w:tc>
        <w:tc>
          <w:tcPr>
            <w:tcW w:w="1586"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格栅渣</w:t>
            </w:r>
          </w:p>
        </w:tc>
        <w:tc>
          <w:tcPr>
            <w:tcW w:w="2175"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一般固废</w:t>
            </w:r>
          </w:p>
        </w:tc>
        <w:tc>
          <w:tcPr>
            <w:tcW w:w="1650"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7.3</w:t>
            </w:r>
            <w:r>
              <w:rPr>
                <w:rFonts w:hint="eastAsia" w:ascii="Times New Roman" w:hAnsi="Times New Roman" w:cs="Times New Roman"/>
                <w:color w:val="auto"/>
                <w:sz w:val="21"/>
                <w:szCs w:val="21"/>
                <w:u w:val="none"/>
                <w:lang w:eastAsia="zh-CN"/>
              </w:rPr>
              <w:t>t/a</w:t>
            </w:r>
          </w:p>
        </w:tc>
        <w:tc>
          <w:tcPr>
            <w:tcW w:w="1500" w:type="dxa"/>
            <w:vMerge w:val="restart"/>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定期处理</w:t>
            </w: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w:t>
            </w:r>
          </w:p>
        </w:tc>
        <w:tc>
          <w:tcPr>
            <w:tcW w:w="16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641"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7.3</w:t>
            </w:r>
            <w:r>
              <w:rPr>
                <w:rFonts w:hint="eastAsia" w:ascii="Times New Roman" w:hAnsi="Times New Roman" w:cs="Times New Roman"/>
                <w:color w:val="auto"/>
                <w:sz w:val="21"/>
                <w:szCs w:val="21"/>
                <w:u w:val="none"/>
                <w:lang w:eastAsia="zh-CN"/>
              </w:rPr>
              <w:t>t/a</w:t>
            </w:r>
          </w:p>
        </w:tc>
        <w:tc>
          <w:tcPr>
            <w:tcW w:w="1577" w:type="dxa"/>
            <w:vMerge w:val="restart"/>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格栅渣及沉砂定期运至永顺县生活垃圾填埋场，工艺污泥如为危险废物，运营单位应按照危险废物要求进行管理，并委托具有相应资质单位进行安全处置；如鉴别属于一般固废，</w:t>
            </w:r>
            <w:r>
              <w:rPr>
                <w:rFonts w:ascii="Times New Roman" w:hAnsi="Times New Roman" w:cs="Times New Roman"/>
                <w:color w:val="auto"/>
                <w:sz w:val="21"/>
                <w:szCs w:val="21"/>
                <w:u w:val="none"/>
                <w:lang w:eastAsia="zh-CN"/>
              </w:rPr>
              <w:t>外运至</w:t>
            </w:r>
            <w:r>
              <w:rPr>
                <w:rFonts w:hint="eastAsia" w:ascii="Times New Roman" w:hAnsi="Times New Roman" w:cs="Times New Roman"/>
                <w:color w:val="auto"/>
                <w:sz w:val="21"/>
                <w:szCs w:val="21"/>
                <w:u w:val="none"/>
                <w:lang w:eastAsia="zh-CN"/>
              </w:rPr>
              <w:t>永顺县生活垃圾填埋场。生活垃圾由环卫部门处理</w:t>
            </w:r>
            <w:r>
              <w:rPr>
                <w:rFonts w:ascii="Times New Roman" w:hAnsi="Times New Roman" w:cs="Times New Roman"/>
                <w:color w:val="auto"/>
                <w:sz w:val="21"/>
                <w:szCs w:val="21"/>
                <w:u w:val="non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675" w:type="dxa"/>
            <w:vMerge w:val="continue"/>
            <w:noWrap w:val="0"/>
            <w:vAlign w:val="center"/>
          </w:tcPr>
          <w:p>
            <w:pPr>
              <w:pStyle w:val="3"/>
              <w:spacing w:line="240" w:lineRule="auto"/>
              <w:ind w:left="0"/>
              <w:rPr>
                <w:rFonts w:ascii="Times New Roman" w:hAnsi="Times New Roman" w:cs="Times New Roman"/>
                <w:color w:val="auto"/>
                <w:sz w:val="21"/>
                <w:szCs w:val="21"/>
                <w:u w:val="none"/>
                <w:lang w:eastAsia="zh-CN"/>
              </w:rPr>
            </w:pPr>
          </w:p>
        </w:tc>
        <w:tc>
          <w:tcPr>
            <w:tcW w:w="1586"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沉砂池沉砂</w:t>
            </w:r>
          </w:p>
        </w:tc>
        <w:tc>
          <w:tcPr>
            <w:tcW w:w="2175"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一般固废</w:t>
            </w:r>
          </w:p>
        </w:tc>
        <w:tc>
          <w:tcPr>
            <w:tcW w:w="1650"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6.57</w:t>
            </w:r>
            <w:r>
              <w:rPr>
                <w:rFonts w:hint="eastAsia" w:ascii="Times New Roman" w:hAnsi="Times New Roman" w:cs="Times New Roman"/>
                <w:color w:val="auto"/>
                <w:sz w:val="21"/>
                <w:szCs w:val="21"/>
                <w:u w:val="none"/>
                <w:lang w:eastAsia="zh-CN"/>
              </w:rPr>
              <w:t>t/a</w:t>
            </w:r>
          </w:p>
        </w:tc>
        <w:tc>
          <w:tcPr>
            <w:tcW w:w="1500" w:type="dxa"/>
            <w:vMerge w:val="continue"/>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w:t>
            </w:r>
          </w:p>
        </w:tc>
        <w:tc>
          <w:tcPr>
            <w:tcW w:w="16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641"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6.57</w:t>
            </w:r>
            <w:r>
              <w:rPr>
                <w:rFonts w:hint="eastAsia" w:ascii="Times New Roman" w:hAnsi="Times New Roman" w:cs="Times New Roman"/>
                <w:color w:val="auto"/>
                <w:sz w:val="21"/>
                <w:szCs w:val="21"/>
                <w:u w:val="none"/>
                <w:lang w:eastAsia="zh-CN"/>
              </w:rPr>
              <w:t>t/a</w:t>
            </w:r>
          </w:p>
        </w:tc>
        <w:tc>
          <w:tcPr>
            <w:tcW w:w="1577" w:type="dxa"/>
            <w:vMerge w:val="continue"/>
            <w:noWrap w:val="0"/>
            <w:vAlign w:val="center"/>
          </w:tcPr>
          <w:p>
            <w:pPr>
              <w:pStyle w:val="3"/>
              <w:spacing w:line="240" w:lineRule="auto"/>
              <w:ind w:left="0"/>
              <w:rPr>
                <w:rFonts w:ascii="Times New Roman" w:hAnsi="Times New Roman" w:cs="Times New Roman"/>
                <w:color w:val="auto"/>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675" w:type="dxa"/>
            <w:vMerge w:val="continue"/>
            <w:noWrap w:val="0"/>
            <w:vAlign w:val="center"/>
          </w:tcPr>
          <w:p>
            <w:pPr>
              <w:pStyle w:val="3"/>
              <w:spacing w:line="240" w:lineRule="auto"/>
              <w:ind w:left="0"/>
              <w:rPr>
                <w:rFonts w:ascii="Times New Roman" w:hAnsi="Times New Roman" w:cs="Times New Roman"/>
                <w:color w:val="auto"/>
                <w:sz w:val="21"/>
                <w:szCs w:val="21"/>
                <w:u w:val="none"/>
                <w:lang w:eastAsia="zh-CN"/>
              </w:rPr>
            </w:pPr>
          </w:p>
        </w:tc>
        <w:tc>
          <w:tcPr>
            <w:tcW w:w="1586"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剩余污泥</w:t>
            </w:r>
          </w:p>
        </w:tc>
        <w:tc>
          <w:tcPr>
            <w:tcW w:w="2175" w:type="dxa"/>
            <w:noWrap w:val="0"/>
            <w:vAlign w:val="center"/>
          </w:tcPr>
          <w:p>
            <w:pPr>
              <w:pStyle w:val="3"/>
              <w:spacing w:line="240" w:lineRule="auto"/>
              <w:ind w:left="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待鉴定</w:t>
            </w:r>
          </w:p>
        </w:tc>
        <w:tc>
          <w:tcPr>
            <w:tcW w:w="1650"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2.5550</w:t>
            </w:r>
            <w:r>
              <w:rPr>
                <w:rFonts w:hint="eastAsia" w:ascii="Times New Roman" w:hAnsi="Times New Roman" w:cs="Times New Roman"/>
                <w:color w:val="auto"/>
                <w:sz w:val="21"/>
                <w:szCs w:val="21"/>
                <w:u w:val="none"/>
                <w:lang w:eastAsia="zh-CN"/>
              </w:rPr>
              <w:t>t/a</w:t>
            </w:r>
          </w:p>
        </w:tc>
        <w:tc>
          <w:tcPr>
            <w:tcW w:w="1500" w:type="dxa"/>
            <w:vMerge w:val="continue"/>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w:t>
            </w:r>
          </w:p>
        </w:tc>
        <w:tc>
          <w:tcPr>
            <w:tcW w:w="16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641" w:type="dxa"/>
            <w:noWrap w:val="0"/>
            <w:vAlign w:val="center"/>
          </w:tcPr>
          <w:p>
            <w:pPr>
              <w:pStyle w:val="3"/>
              <w:spacing w:line="240" w:lineRule="auto"/>
              <w:ind w:left="0" w:leftChars="0" w:firstLine="0" w:firstLineChars="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2.5550</w:t>
            </w:r>
            <w:r>
              <w:rPr>
                <w:rFonts w:hint="eastAsia" w:ascii="Times New Roman" w:hAnsi="Times New Roman" w:cs="Times New Roman"/>
                <w:color w:val="auto"/>
                <w:sz w:val="21"/>
                <w:szCs w:val="21"/>
                <w:u w:val="none"/>
                <w:lang w:eastAsia="zh-CN"/>
              </w:rPr>
              <w:t>t/a</w:t>
            </w:r>
          </w:p>
        </w:tc>
        <w:tc>
          <w:tcPr>
            <w:tcW w:w="1577" w:type="dxa"/>
            <w:vMerge w:val="continue"/>
            <w:noWrap w:val="0"/>
            <w:vAlign w:val="center"/>
          </w:tcPr>
          <w:p>
            <w:pPr>
              <w:pStyle w:val="3"/>
              <w:spacing w:line="240" w:lineRule="auto"/>
              <w:ind w:left="0"/>
              <w:rPr>
                <w:rFonts w:ascii="Times New Roman" w:hAnsi="Times New Roman" w:cs="Times New Roman"/>
                <w:color w:val="auto"/>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675" w:type="dxa"/>
            <w:vMerge w:val="continue"/>
            <w:noWrap w:val="0"/>
            <w:vAlign w:val="center"/>
          </w:tcPr>
          <w:p>
            <w:pPr>
              <w:pStyle w:val="3"/>
              <w:spacing w:line="240" w:lineRule="auto"/>
              <w:ind w:left="0"/>
              <w:rPr>
                <w:rFonts w:ascii="Times New Roman" w:hAnsi="Times New Roman" w:cs="Times New Roman"/>
                <w:color w:val="auto"/>
                <w:sz w:val="21"/>
                <w:szCs w:val="21"/>
                <w:u w:val="none"/>
                <w:lang w:eastAsia="zh-CN"/>
              </w:rPr>
            </w:pPr>
          </w:p>
        </w:tc>
        <w:tc>
          <w:tcPr>
            <w:tcW w:w="1586"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生活垃圾</w:t>
            </w:r>
          </w:p>
        </w:tc>
        <w:tc>
          <w:tcPr>
            <w:tcW w:w="2175"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生活垃圾</w:t>
            </w:r>
          </w:p>
        </w:tc>
        <w:tc>
          <w:tcPr>
            <w:tcW w:w="1650"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0.6935</w:t>
            </w:r>
            <w:r>
              <w:rPr>
                <w:rFonts w:ascii="Times New Roman" w:hAnsi="Times New Roman" w:cs="Times New Roman"/>
                <w:color w:val="auto"/>
                <w:sz w:val="21"/>
                <w:szCs w:val="21"/>
                <w:u w:val="none"/>
                <w:lang w:eastAsia="zh-CN"/>
              </w:rPr>
              <w:t>t/a</w:t>
            </w:r>
          </w:p>
        </w:tc>
        <w:tc>
          <w:tcPr>
            <w:tcW w:w="1500" w:type="dxa"/>
            <w:vMerge w:val="continue"/>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w:t>
            </w:r>
          </w:p>
        </w:tc>
        <w:tc>
          <w:tcPr>
            <w:tcW w:w="16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641" w:type="dxa"/>
            <w:noWrap w:val="0"/>
            <w:vAlign w:val="center"/>
          </w:tcPr>
          <w:p>
            <w:pPr>
              <w:pStyle w:val="3"/>
              <w:spacing w:line="240" w:lineRule="auto"/>
              <w:ind w:left="0" w:leftChars="0" w:firstLine="0" w:firstLineChars="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0.6935</w:t>
            </w:r>
            <w:r>
              <w:rPr>
                <w:rFonts w:ascii="Times New Roman" w:hAnsi="Times New Roman" w:cs="Times New Roman"/>
                <w:color w:val="auto"/>
                <w:sz w:val="21"/>
                <w:szCs w:val="21"/>
                <w:u w:val="none"/>
                <w:lang w:eastAsia="zh-CN"/>
              </w:rPr>
              <w:t>t/a</w:t>
            </w:r>
          </w:p>
        </w:tc>
        <w:tc>
          <w:tcPr>
            <w:tcW w:w="1577" w:type="dxa"/>
            <w:vMerge w:val="continue"/>
            <w:noWrap w:val="0"/>
            <w:vAlign w:val="center"/>
          </w:tcPr>
          <w:p>
            <w:pPr>
              <w:pStyle w:val="3"/>
              <w:spacing w:line="240" w:lineRule="auto"/>
              <w:ind w:left="0"/>
              <w:rPr>
                <w:rFonts w:ascii="Times New Roman" w:hAnsi="Times New Roman" w:cs="Times New Roman"/>
                <w:color w:val="auto"/>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3"/>
              <w:spacing w:line="240" w:lineRule="auto"/>
              <w:ind w:left="0"/>
              <w:rPr>
                <w:rFonts w:ascii="Times New Roman" w:hAnsi="Times New Roman" w:cs="Times New Roman"/>
                <w:color w:val="auto"/>
                <w:sz w:val="21"/>
                <w:szCs w:val="21"/>
                <w:u w:val="none"/>
                <w:lang w:eastAsia="zh-CN"/>
              </w:rPr>
            </w:pPr>
          </w:p>
        </w:tc>
        <w:tc>
          <w:tcPr>
            <w:tcW w:w="1586" w:type="dxa"/>
            <w:noWrap w:val="0"/>
            <w:vAlign w:val="center"/>
          </w:tcPr>
          <w:p>
            <w:pPr>
              <w:pStyle w:val="3"/>
              <w:spacing w:line="240" w:lineRule="auto"/>
              <w:ind w:left="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废弃紫外灯管</w:t>
            </w:r>
          </w:p>
        </w:tc>
        <w:tc>
          <w:tcPr>
            <w:tcW w:w="2175" w:type="dxa"/>
            <w:noWrap w:val="0"/>
            <w:vAlign w:val="center"/>
          </w:tcPr>
          <w:p>
            <w:pPr>
              <w:pStyle w:val="3"/>
              <w:spacing w:line="240" w:lineRule="auto"/>
              <w:ind w:left="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w:t>
            </w:r>
          </w:p>
        </w:tc>
        <w:tc>
          <w:tcPr>
            <w:tcW w:w="1650" w:type="dxa"/>
            <w:noWrap w:val="0"/>
            <w:vAlign w:val="center"/>
          </w:tcPr>
          <w:p>
            <w:pPr>
              <w:pStyle w:val="3"/>
              <w:spacing w:line="240" w:lineRule="auto"/>
              <w:ind w:left="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0.01</w:t>
            </w:r>
            <w:r>
              <w:rPr>
                <w:rFonts w:hint="eastAsia" w:ascii="Times New Roman" w:hAnsi="Times New Roman" w:cs="Times New Roman"/>
                <w:color w:val="auto"/>
                <w:sz w:val="21"/>
                <w:szCs w:val="21"/>
                <w:u w:val="none"/>
                <w:lang w:eastAsia="zh-CN"/>
              </w:rPr>
              <w:t>t/a</w:t>
            </w:r>
          </w:p>
        </w:tc>
        <w:tc>
          <w:tcPr>
            <w:tcW w:w="1500"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厂家定期回收</w:t>
            </w:r>
          </w:p>
        </w:tc>
        <w:tc>
          <w:tcPr>
            <w:tcW w:w="1665" w:type="dxa"/>
            <w:noWrap w:val="0"/>
            <w:vAlign w:val="center"/>
          </w:tcPr>
          <w:p>
            <w:pPr>
              <w:pStyle w:val="3"/>
              <w:spacing w:line="240" w:lineRule="auto"/>
              <w:ind w:left="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w:t>
            </w:r>
          </w:p>
        </w:tc>
        <w:tc>
          <w:tcPr>
            <w:tcW w:w="16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641"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0.01</w:t>
            </w:r>
            <w:r>
              <w:rPr>
                <w:rFonts w:hint="eastAsia" w:ascii="Times New Roman" w:hAnsi="Times New Roman" w:cs="Times New Roman"/>
                <w:color w:val="auto"/>
                <w:sz w:val="21"/>
                <w:szCs w:val="21"/>
                <w:u w:val="none"/>
                <w:lang w:eastAsia="zh-CN"/>
              </w:rPr>
              <w:t>t/a</w:t>
            </w:r>
          </w:p>
        </w:tc>
        <w:tc>
          <w:tcPr>
            <w:tcW w:w="1577" w:type="dxa"/>
            <w:vMerge w:val="restart"/>
            <w:noWrap w:val="0"/>
            <w:vAlign w:val="center"/>
          </w:tcPr>
          <w:p>
            <w:pPr>
              <w:pStyle w:val="3"/>
              <w:spacing w:line="240" w:lineRule="auto"/>
              <w:ind w:left="0"/>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3"/>
              <w:spacing w:line="240" w:lineRule="auto"/>
              <w:ind w:left="0"/>
              <w:rPr>
                <w:rFonts w:ascii="Times New Roman" w:hAnsi="Times New Roman" w:cs="Times New Roman"/>
                <w:color w:val="auto"/>
                <w:sz w:val="21"/>
                <w:szCs w:val="21"/>
                <w:u w:val="none"/>
                <w:lang w:eastAsia="zh-CN"/>
              </w:rPr>
            </w:pPr>
          </w:p>
        </w:tc>
        <w:tc>
          <w:tcPr>
            <w:tcW w:w="1586" w:type="dxa"/>
            <w:noWrap w:val="0"/>
            <w:vAlign w:val="center"/>
          </w:tcPr>
          <w:p>
            <w:pPr>
              <w:pStyle w:val="3"/>
              <w:spacing w:line="240" w:lineRule="auto"/>
              <w:ind w:left="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废活性炭</w:t>
            </w:r>
          </w:p>
        </w:tc>
        <w:tc>
          <w:tcPr>
            <w:tcW w:w="2175" w:type="dxa"/>
            <w:noWrap w:val="0"/>
            <w:vAlign w:val="center"/>
          </w:tcPr>
          <w:p>
            <w:pPr>
              <w:pStyle w:val="3"/>
              <w:spacing w:line="240" w:lineRule="auto"/>
              <w:ind w:left="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w:t>
            </w:r>
          </w:p>
        </w:tc>
        <w:tc>
          <w:tcPr>
            <w:tcW w:w="1650" w:type="dxa"/>
            <w:noWrap w:val="0"/>
            <w:vAlign w:val="center"/>
          </w:tcPr>
          <w:p>
            <w:pPr>
              <w:pStyle w:val="3"/>
              <w:spacing w:line="240" w:lineRule="auto"/>
              <w:ind w:left="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0.0</w:t>
            </w:r>
            <w:r>
              <w:rPr>
                <w:rFonts w:hint="eastAsia" w:ascii="Times New Roman" w:hAnsi="Times New Roman" w:cs="Times New Roman"/>
                <w:color w:val="auto"/>
                <w:sz w:val="21"/>
                <w:szCs w:val="21"/>
                <w:u w:val="none"/>
                <w:lang w:val="en-US" w:eastAsia="zh-CN"/>
              </w:rPr>
              <w:t>15</w:t>
            </w:r>
            <w:r>
              <w:rPr>
                <w:rFonts w:hint="eastAsia" w:ascii="Times New Roman" w:hAnsi="Times New Roman" w:cs="Times New Roman"/>
                <w:color w:val="auto"/>
                <w:sz w:val="21"/>
                <w:szCs w:val="21"/>
                <w:u w:val="none"/>
                <w:lang w:eastAsia="zh-CN"/>
              </w:rPr>
              <w:t>t/a</w:t>
            </w:r>
          </w:p>
        </w:tc>
        <w:tc>
          <w:tcPr>
            <w:tcW w:w="1500"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厂家定期回收</w:t>
            </w:r>
          </w:p>
        </w:tc>
        <w:tc>
          <w:tcPr>
            <w:tcW w:w="1665" w:type="dxa"/>
            <w:noWrap w:val="0"/>
            <w:vAlign w:val="center"/>
          </w:tcPr>
          <w:p>
            <w:pPr>
              <w:pStyle w:val="3"/>
              <w:spacing w:line="240" w:lineRule="auto"/>
              <w:ind w:left="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w:t>
            </w:r>
          </w:p>
        </w:tc>
        <w:tc>
          <w:tcPr>
            <w:tcW w:w="1657" w:type="dxa"/>
            <w:noWrap w:val="0"/>
            <w:vAlign w:val="center"/>
          </w:tcPr>
          <w:p>
            <w:pPr>
              <w:pStyle w:val="3"/>
              <w:spacing w:line="240" w:lineRule="auto"/>
              <w:ind w:left="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641"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0.0</w:t>
            </w:r>
            <w:r>
              <w:rPr>
                <w:rFonts w:hint="eastAsia" w:ascii="Times New Roman" w:hAnsi="Times New Roman" w:cs="Times New Roman"/>
                <w:color w:val="auto"/>
                <w:sz w:val="21"/>
                <w:szCs w:val="21"/>
                <w:u w:val="none"/>
                <w:lang w:val="en-US" w:eastAsia="zh-CN"/>
              </w:rPr>
              <w:t>15</w:t>
            </w:r>
            <w:r>
              <w:rPr>
                <w:rFonts w:hint="eastAsia" w:ascii="Times New Roman" w:hAnsi="Times New Roman" w:cs="Times New Roman"/>
                <w:color w:val="auto"/>
                <w:sz w:val="21"/>
                <w:szCs w:val="21"/>
                <w:u w:val="none"/>
                <w:lang w:eastAsia="zh-CN"/>
              </w:rPr>
              <w:t>t/a</w:t>
            </w:r>
          </w:p>
        </w:tc>
        <w:tc>
          <w:tcPr>
            <w:tcW w:w="1577" w:type="dxa"/>
            <w:vMerge w:val="continue"/>
            <w:noWrap w:val="0"/>
            <w:vAlign w:val="center"/>
          </w:tcPr>
          <w:p>
            <w:pPr>
              <w:pStyle w:val="3"/>
              <w:spacing w:line="240" w:lineRule="auto"/>
              <w:ind w:left="0"/>
              <w:rPr>
                <w:rFonts w:hint="eastAsia" w:ascii="Times New Roman" w:hAnsi="Times New Roman" w:cs="Times New Roman"/>
                <w:color w:val="auto"/>
                <w:sz w:val="21"/>
                <w:szCs w:val="21"/>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75"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ascii="Times New Roman" w:hAnsi="Times New Roman" w:cs="Times New Roman"/>
                <w:color w:val="auto"/>
                <w:sz w:val="21"/>
                <w:szCs w:val="21"/>
                <w:u w:val="none"/>
                <w:lang w:eastAsia="zh-CN"/>
              </w:rPr>
              <w:t>噪声</w:t>
            </w:r>
          </w:p>
        </w:tc>
        <w:tc>
          <w:tcPr>
            <w:tcW w:w="13451" w:type="dxa"/>
            <w:gridSpan w:val="8"/>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本项目噪声源主要设备有风机、污泥脱水机、污水处理机械设备等，噪声至在80-</w:t>
            </w:r>
            <w:r>
              <w:rPr>
                <w:rFonts w:hint="eastAsia" w:ascii="Times New Roman" w:hAnsi="Times New Roman" w:cs="Times New Roman"/>
                <w:color w:val="auto"/>
                <w:sz w:val="21"/>
                <w:szCs w:val="21"/>
                <w:u w:val="none"/>
                <w:lang w:val="en-US" w:eastAsia="zh-CN"/>
              </w:rPr>
              <w:t>90</w:t>
            </w:r>
            <w:r>
              <w:rPr>
                <w:rFonts w:hint="eastAsia" w:ascii="Times New Roman" w:hAnsi="Times New Roman" w:cs="Times New Roman"/>
                <w:color w:val="auto"/>
                <w:sz w:val="21"/>
                <w:szCs w:val="21"/>
                <w:u w:val="none"/>
                <w:lang w:eastAsia="zh-CN"/>
              </w:rPr>
              <w:t>dB之间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5" w:type="dxa"/>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ascii="Times New Roman" w:hAnsi="Times New Roman" w:cs="Times New Roman"/>
                <w:color w:val="auto"/>
                <w:sz w:val="21"/>
                <w:szCs w:val="21"/>
                <w:u w:val="none"/>
                <w:lang w:eastAsia="zh-CN"/>
              </w:rPr>
              <w:t>备注</w:t>
            </w:r>
          </w:p>
        </w:tc>
        <w:tc>
          <w:tcPr>
            <w:tcW w:w="13451" w:type="dxa"/>
            <w:gridSpan w:val="8"/>
            <w:noWrap w:val="0"/>
            <w:vAlign w:val="center"/>
          </w:tcPr>
          <w:p>
            <w:pPr>
              <w:pStyle w:val="3"/>
              <w:spacing w:line="240" w:lineRule="auto"/>
              <w:ind w:left="0"/>
              <w:jc w:val="center"/>
              <w:rPr>
                <w:rFonts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括号外为水温大于12摄氏度时控制指标，括号内为水温小于等于12摄氏度时控制指标</w:t>
            </w:r>
          </w:p>
        </w:tc>
      </w:tr>
      <w:bookmarkEnd w:id="196"/>
    </w:tbl>
    <w:p>
      <w:pPr>
        <w:pStyle w:val="3"/>
        <w:ind w:left="0"/>
        <w:rPr>
          <w:rFonts w:ascii="Times New Roman" w:hAnsi="Times New Roman" w:cs="Times New Roman"/>
          <w:color w:val="auto"/>
          <w:u w:val="none"/>
          <w:lang w:eastAsia="zh-CN"/>
        </w:rPr>
        <w:sectPr>
          <w:footerReference r:id="rId17" w:type="default"/>
          <w:pgSz w:w="16790" w:h="11850" w:orient="landscape"/>
          <w:pgMar w:top="1800" w:right="1440" w:bottom="1800" w:left="1440" w:header="720" w:footer="720" w:gutter="0"/>
          <w:pgBorders w:offsetFrom="page">
            <w:top w:val="none" w:sz="0" w:space="0"/>
            <w:left w:val="none" w:sz="0" w:space="0"/>
            <w:bottom w:val="none" w:sz="0" w:space="0"/>
            <w:right w:val="none" w:sz="0" w:space="0"/>
          </w:pgBorders>
          <w:cols w:space="720" w:num="1"/>
          <w:docGrid w:linePitch="326" w:charSpace="0"/>
        </w:sectPr>
      </w:pPr>
    </w:p>
    <w:p>
      <w:pPr>
        <w:pStyle w:val="6"/>
        <w:bidi w:val="0"/>
        <w:rPr>
          <w:rFonts w:hint="eastAsia"/>
        </w:rPr>
      </w:pPr>
      <w:r>
        <w:rPr>
          <w:rFonts w:hint="eastAsia"/>
        </w:rPr>
        <w:t>2.</w:t>
      </w:r>
      <w:r>
        <w:t>4.</w:t>
      </w:r>
      <w:r>
        <w:rPr>
          <w:rFonts w:hint="eastAsia"/>
          <w:lang w:val="en-US" w:eastAsia="zh-CN"/>
        </w:rPr>
        <w:t>6</w:t>
      </w:r>
      <w:r>
        <w:rPr>
          <w:rFonts w:hint="eastAsia"/>
          <w:lang w:eastAsia="zh-CN"/>
        </w:rPr>
        <w:t>二期工程</w:t>
      </w:r>
      <w:r>
        <w:rPr>
          <w:rFonts w:hint="eastAsia"/>
        </w:rPr>
        <w:t>工程运营期污染源分析</w:t>
      </w:r>
    </w:p>
    <w:p>
      <w:pPr>
        <w:pStyle w:val="69"/>
        <w:rPr>
          <w:rFonts w:hint="eastAsia"/>
          <w:color w:val="auto"/>
          <w:u w:val="single"/>
        </w:rPr>
      </w:pPr>
      <w:r>
        <w:rPr>
          <w:rFonts w:hint="eastAsia"/>
          <w:color w:val="auto"/>
          <w:u w:val="single"/>
        </w:rPr>
        <w:t>2.4.</w:t>
      </w:r>
      <w:r>
        <w:rPr>
          <w:rFonts w:hint="eastAsia"/>
          <w:color w:val="auto"/>
          <w:u w:val="single"/>
          <w:lang w:val="en-US" w:eastAsia="zh-CN"/>
        </w:rPr>
        <w:t>6</w:t>
      </w:r>
      <w:r>
        <w:rPr>
          <w:rFonts w:hint="eastAsia"/>
          <w:color w:val="auto"/>
          <w:u w:val="single"/>
        </w:rPr>
        <w:t>.1水污染物</w:t>
      </w:r>
    </w:p>
    <w:p>
      <w:pPr>
        <w:ind w:firstLine="480"/>
        <w:jc w:val="distribute"/>
        <w:rPr>
          <w:color w:val="auto"/>
          <w:u w:val="single"/>
        </w:rPr>
      </w:pPr>
      <w:r>
        <w:rPr>
          <w:rFonts w:hint="eastAsia"/>
          <w:color w:val="auto"/>
          <w:u w:val="single"/>
          <w:lang w:eastAsia="zh-CN"/>
        </w:rPr>
        <w:t>湖南永顺经济开发区猛洞河产业园污水处理厂建设项目二期</w:t>
      </w:r>
      <w:r>
        <w:rPr>
          <w:color w:val="auto"/>
          <w:u w:val="single"/>
        </w:rPr>
        <w:t>建设</w:t>
      </w:r>
      <w:r>
        <w:rPr>
          <w:rFonts w:hint="eastAsia"/>
          <w:color w:val="auto"/>
          <w:u w:val="single"/>
          <w:lang w:eastAsia="zh-CN"/>
        </w:rPr>
        <w:t>新增</w:t>
      </w:r>
      <w:r>
        <w:rPr>
          <w:rFonts w:hint="eastAsia"/>
          <w:color w:val="auto"/>
          <w:u w:val="single"/>
          <w:lang w:val="en-US" w:eastAsia="zh-CN"/>
        </w:rPr>
        <w:t>3套MBR一体化污水处理设备，其总处理</w:t>
      </w:r>
      <w:r>
        <w:rPr>
          <w:color w:val="auto"/>
          <w:u w:val="single"/>
        </w:rPr>
        <w:t>规模</w:t>
      </w:r>
      <w:r>
        <w:rPr>
          <w:rFonts w:hint="eastAsia"/>
          <w:color w:val="auto"/>
          <w:u w:val="single"/>
          <w:lang w:eastAsia="zh-CN"/>
        </w:rPr>
        <w:t>达</w:t>
      </w:r>
      <w:r>
        <w:rPr>
          <w:rFonts w:hint="eastAsia"/>
          <w:color w:val="auto"/>
          <w:u w:val="single"/>
          <w:lang w:val="en-US" w:eastAsia="zh-CN"/>
        </w:rPr>
        <w:t>1000</w:t>
      </w:r>
      <w:r>
        <w:rPr>
          <w:color w:val="auto"/>
          <w:u w:val="single"/>
        </w:rPr>
        <w:t>m</w:t>
      </w:r>
      <w:r>
        <w:rPr>
          <w:rFonts w:hint="eastAsia"/>
          <w:color w:val="auto"/>
          <w:u w:val="single"/>
          <w:vertAlign w:val="superscript"/>
        </w:rPr>
        <w:t>3</w:t>
      </w:r>
      <w:r>
        <w:rPr>
          <w:color w:val="auto"/>
          <w:u w:val="single"/>
        </w:rPr>
        <w:t>/d，</w:t>
      </w:r>
      <w:r>
        <w:rPr>
          <w:rFonts w:hint="eastAsia"/>
          <w:color w:val="auto"/>
          <w:u w:val="single"/>
          <w:lang w:eastAsia="zh-CN"/>
        </w:rPr>
        <w:t>由于项目废水处理工艺简单，</w:t>
      </w:r>
      <w:r>
        <w:rPr>
          <w:rFonts w:hint="eastAsia"/>
          <w:color w:val="auto"/>
          <w:u w:val="single"/>
          <w:lang w:val="en-US" w:eastAsia="zh-CN"/>
        </w:rPr>
        <w:t>故</w:t>
      </w:r>
      <w:r>
        <w:rPr>
          <w:rFonts w:hint="eastAsia"/>
          <w:color w:val="auto"/>
          <w:u w:val="single"/>
          <w:lang w:eastAsia="zh-CN"/>
        </w:rPr>
        <w:t>二期工程不新增工作人员，预处理设备及辅助设备均依托一期工程</w:t>
      </w:r>
      <w:r>
        <w:rPr>
          <w:rFonts w:hint="eastAsia"/>
          <w:color w:val="auto"/>
          <w:u w:val="single"/>
        </w:rPr>
        <w:t>。</w:t>
      </w:r>
    </w:p>
    <w:p>
      <w:pPr>
        <w:ind w:firstLine="480"/>
        <w:jc w:val="both"/>
        <w:rPr>
          <w:color w:val="auto"/>
          <w:u w:val="single"/>
        </w:rPr>
      </w:pPr>
      <w:r>
        <w:rPr>
          <w:rFonts w:hint="eastAsia"/>
          <w:color w:val="auto"/>
          <w:u w:val="single"/>
        </w:rPr>
        <w:t>①</w:t>
      </w:r>
      <w:r>
        <w:rPr>
          <w:color w:val="auto"/>
          <w:u w:val="single"/>
        </w:rPr>
        <w:t>配制药剂：</w:t>
      </w:r>
      <w:r>
        <w:rPr>
          <w:rFonts w:hint="eastAsia"/>
          <w:color w:val="auto"/>
          <w:u w:val="single"/>
        </w:rPr>
        <w:t>本项目设有自动加药装置，</w:t>
      </w:r>
      <w:r>
        <w:rPr>
          <w:rFonts w:hint="eastAsia"/>
          <w:color w:val="auto"/>
          <w:u w:val="single"/>
          <w:lang w:eastAsia="zh-CN"/>
        </w:rPr>
        <w:t>二期扩大处理量后配制药剂</w:t>
      </w:r>
      <w:r>
        <w:rPr>
          <w:color w:val="auto"/>
          <w:u w:val="single"/>
        </w:rPr>
        <w:t>用水量约为</w:t>
      </w:r>
      <w:r>
        <w:rPr>
          <w:rFonts w:hint="eastAsia"/>
          <w:color w:val="auto"/>
          <w:u w:val="single"/>
          <w:lang w:val="en-US" w:eastAsia="zh-CN"/>
        </w:rPr>
        <w:t>0.75</w:t>
      </w:r>
      <w:r>
        <w:rPr>
          <w:color w:val="auto"/>
          <w:u w:val="single"/>
        </w:rPr>
        <w:t>m</w:t>
      </w:r>
      <w:r>
        <w:rPr>
          <w:color w:val="auto"/>
          <w:u w:val="single"/>
          <w:vertAlign w:val="superscript"/>
        </w:rPr>
        <w:t>3</w:t>
      </w:r>
      <w:r>
        <w:rPr>
          <w:color w:val="auto"/>
          <w:u w:val="single"/>
        </w:rPr>
        <w:t>/d（</w:t>
      </w:r>
      <w:r>
        <w:rPr>
          <w:rFonts w:hint="eastAsia"/>
          <w:color w:val="auto"/>
          <w:u w:val="single"/>
          <w:lang w:val="en-US" w:eastAsia="zh-CN"/>
        </w:rPr>
        <w:t>273.75t</w:t>
      </w:r>
      <w:r>
        <w:rPr>
          <w:color w:val="auto"/>
          <w:u w:val="single"/>
        </w:rPr>
        <w:t>/a），采用新鲜水</w:t>
      </w:r>
      <w:r>
        <w:rPr>
          <w:rFonts w:hint="eastAsia"/>
          <w:color w:val="auto"/>
          <w:u w:val="single"/>
        </w:rPr>
        <w:t>，</w:t>
      </w:r>
      <w:r>
        <w:rPr>
          <w:color w:val="auto"/>
          <w:u w:val="single"/>
        </w:rPr>
        <w:t>进入污水处理系统处理，不外排。</w:t>
      </w:r>
    </w:p>
    <w:p>
      <w:pPr>
        <w:ind w:firstLine="480"/>
        <w:jc w:val="both"/>
        <w:rPr>
          <w:color w:val="auto"/>
          <w:u w:val="single"/>
        </w:rPr>
      </w:pPr>
      <w:r>
        <w:rPr>
          <w:rFonts w:hint="eastAsia"/>
          <w:color w:val="auto"/>
          <w:u w:val="single"/>
          <w:lang w:eastAsia="zh-CN"/>
        </w:rPr>
        <w:t>②</w:t>
      </w:r>
      <w:r>
        <w:rPr>
          <w:color w:val="auto"/>
          <w:u w:val="single"/>
        </w:rPr>
        <w:t>污泥脱水分离的污水</w:t>
      </w:r>
      <w:r>
        <w:rPr>
          <w:rFonts w:hint="eastAsia"/>
          <w:color w:val="auto"/>
          <w:u w:val="single"/>
        </w:rPr>
        <w:t>：</w:t>
      </w:r>
      <w:r>
        <w:rPr>
          <w:rFonts w:hint="eastAsia"/>
          <w:u w:val="single"/>
          <w:lang w:val="en-US" w:eastAsia="zh-CN"/>
        </w:rPr>
        <w:t>二期处理能力增加后，</w:t>
      </w:r>
      <w:r>
        <w:rPr>
          <w:rFonts w:hint="eastAsia"/>
          <w:u w:val="single"/>
          <w:lang w:eastAsia="zh-CN"/>
        </w:rPr>
        <w:t>污泥脱水产生总的污泥脱水废水为</w:t>
      </w:r>
      <w:r>
        <w:rPr>
          <w:rFonts w:hint="eastAsia"/>
          <w:u w:val="single"/>
          <w:lang w:val="en-US" w:eastAsia="zh-CN"/>
        </w:rPr>
        <w:t>339.15kg/d，</w:t>
      </w:r>
      <w:r>
        <w:rPr>
          <w:rFonts w:hint="eastAsia"/>
          <w:color w:val="auto"/>
          <w:kern w:val="0"/>
          <w:u w:val="single"/>
        </w:rPr>
        <w:t>污泥脱水分离的污水均来源于自身污水处理系统可直接排入本项目处理。</w:t>
      </w:r>
    </w:p>
    <w:p>
      <w:pPr>
        <w:pStyle w:val="3"/>
        <w:wordWrap w:val="0"/>
        <w:spacing w:before="15"/>
        <w:ind w:left="0" w:right="284" w:firstLine="480" w:firstLineChars="200"/>
        <w:jc w:val="both"/>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二期工程处理废水水质与一期工程一致，削减计算处理前污水污染物浓度参照设计进水浓度进行初步预测，处理后浓度满足《城镇污水处理厂污染物排放标准》（GB18918-2002）一级A</w:t>
      </w:r>
      <w:r>
        <w:rPr>
          <w:rFonts w:hint="eastAsia" w:ascii="Times New Roman" w:hAnsi="Times New Roman"/>
          <w:color w:val="auto"/>
        </w:rPr>
        <w:t>标准</w:t>
      </w:r>
      <w:r>
        <w:rPr>
          <w:rFonts w:hint="eastAsia" w:ascii="Times New Roman" w:hAnsi="Times New Roman"/>
          <w:color w:val="auto"/>
          <w:lang w:eastAsia="zh-CN"/>
        </w:rPr>
        <w:t>，</w:t>
      </w:r>
      <w:r>
        <w:rPr>
          <w:rFonts w:ascii="Times New Roman" w:hAnsi="Times New Roman" w:cs="Times New Roman"/>
          <w:color w:val="auto"/>
          <w:u w:val="none"/>
          <w:lang w:eastAsia="zh-CN"/>
        </w:rPr>
        <w:t>结果见下表</w:t>
      </w:r>
      <w:r>
        <w:rPr>
          <w:rFonts w:hint="eastAsia" w:ascii="Times New Roman" w:hAnsi="Times New Roman" w:cs="Times New Roman"/>
          <w:color w:val="auto"/>
          <w:u w:val="none"/>
          <w:lang w:val="en-US" w:eastAsia="zh-CN"/>
        </w:rPr>
        <w:t>2.4-13</w:t>
      </w:r>
      <w:r>
        <w:rPr>
          <w:rFonts w:ascii="Times New Roman" w:hAnsi="Times New Roman" w:cs="Times New Roman"/>
          <w:color w:val="auto"/>
          <w:u w:val="none"/>
          <w:lang w:eastAsia="zh-CN"/>
        </w:rPr>
        <w:t>。</w:t>
      </w:r>
    </w:p>
    <w:p>
      <w:pPr>
        <w:pStyle w:val="3"/>
        <w:spacing w:before="15"/>
        <w:ind w:left="232" w:right="284" w:firstLine="422" w:firstLineChars="20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表</w:t>
      </w:r>
      <w:r>
        <w:rPr>
          <w:rFonts w:hint="eastAsia" w:ascii="Times New Roman" w:hAnsi="Times New Roman" w:cs="Times New Roman"/>
          <w:b/>
          <w:color w:val="auto"/>
          <w:sz w:val="21"/>
          <w:szCs w:val="21"/>
          <w:u w:val="single"/>
          <w:lang w:eastAsia="zh-CN"/>
        </w:rPr>
        <w:t>2.4-</w:t>
      </w:r>
      <w:r>
        <w:rPr>
          <w:rFonts w:hint="eastAsia" w:ascii="Times New Roman" w:hAnsi="Times New Roman" w:cs="Times New Roman"/>
          <w:b/>
          <w:color w:val="auto"/>
          <w:sz w:val="21"/>
          <w:szCs w:val="21"/>
          <w:u w:val="single"/>
          <w:lang w:val="en-US" w:eastAsia="zh-CN"/>
        </w:rPr>
        <w:t>13</w:t>
      </w:r>
      <w:r>
        <w:rPr>
          <w:rFonts w:ascii="Times New Roman" w:hAnsi="Times New Roman" w:cs="Times New Roman"/>
          <w:b/>
          <w:color w:val="auto"/>
          <w:sz w:val="21"/>
          <w:szCs w:val="21"/>
          <w:u w:val="single"/>
          <w:lang w:eastAsia="zh-CN"/>
        </w:rPr>
        <w:t xml:space="preserve"> 污染物削减分析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809"/>
        <w:gridCol w:w="1116"/>
        <w:gridCol w:w="872"/>
        <w:gridCol w:w="1117"/>
        <w:gridCol w:w="873"/>
        <w:gridCol w:w="898"/>
        <w:gridCol w:w="1239"/>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14" w:type="pct"/>
            <w:vMerge w:val="restar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处理量</w:t>
            </w:r>
          </w:p>
        </w:tc>
        <w:tc>
          <w:tcPr>
            <w:tcW w:w="477" w:type="pct"/>
            <w:vMerge w:val="restar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污染因子</w:t>
            </w:r>
          </w:p>
        </w:tc>
        <w:tc>
          <w:tcPr>
            <w:tcW w:w="1174" w:type="pct"/>
            <w:gridSpan w:val="2"/>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处理前</w:t>
            </w:r>
          </w:p>
        </w:tc>
        <w:tc>
          <w:tcPr>
            <w:tcW w:w="1174" w:type="pct"/>
            <w:gridSpan w:val="2"/>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处理后</w:t>
            </w:r>
          </w:p>
        </w:tc>
        <w:tc>
          <w:tcPr>
            <w:tcW w:w="530" w:type="pct"/>
            <w:vMerge w:val="restar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削减量（t/a）</w:t>
            </w:r>
          </w:p>
        </w:tc>
        <w:tc>
          <w:tcPr>
            <w:tcW w:w="731" w:type="pct"/>
            <w:vMerge w:val="restar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拟采取处理工艺</w:t>
            </w:r>
          </w:p>
        </w:tc>
        <w:tc>
          <w:tcPr>
            <w:tcW w:w="496" w:type="pct"/>
            <w:vMerge w:val="restar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污水去向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14"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659" w:type="pc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浓度（mg/L）</w:t>
            </w:r>
          </w:p>
        </w:tc>
        <w:tc>
          <w:tcPr>
            <w:tcW w:w="514" w:type="pc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产生量（t/a）</w:t>
            </w:r>
          </w:p>
        </w:tc>
        <w:tc>
          <w:tcPr>
            <w:tcW w:w="659" w:type="pc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rPr>
              <w:t>浓度（mg/L）</w:t>
            </w:r>
          </w:p>
        </w:tc>
        <w:tc>
          <w:tcPr>
            <w:tcW w:w="514" w:type="pct"/>
            <w:noWrap w:val="0"/>
            <w:vAlign w:val="center"/>
          </w:tcPr>
          <w:p>
            <w:pPr>
              <w:pStyle w:val="97"/>
              <w:keepNext w:val="0"/>
              <w:keepLines w:val="0"/>
              <w:widowControl w:val="0"/>
              <w:adjustRightInd/>
              <w:rPr>
                <w:rFonts w:hint="default" w:ascii="Times New Roman" w:hAnsi="Times New Roman" w:cs="Times New Roman"/>
                <w:b/>
                <w:bCs/>
                <w:color w:val="auto"/>
                <w:u w:val="single"/>
              </w:rPr>
            </w:pPr>
            <w:r>
              <w:rPr>
                <w:rFonts w:hint="default" w:ascii="Times New Roman" w:hAnsi="Times New Roman" w:cs="Times New Roman"/>
                <w:b/>
                <w:bCs/>
                <w:color w:val="auto"/>
                <w:u w:val="single"/>
                <w:lang w:eastAsia="zh-CN"/>
              </w:rPr>
              <w:t>排放</w:t>
            </w:r>
            <w:r>
              <w:rPr>
                <w:rFonts w:hint="default" w:ascii="Times New Roman" w:hAnsi="Times New Roman" w:cs="Times New Roman"/>
                <w:b/>
                <w:bCs/>
                <w:color w:val="auto"/>
                <w:u w:val="single"/>
              </w:rPr>
              <w:t>量（t/a）</w:t>
            </w:r>
          </w:p>
        </w:tc>
        <w:tc>
          <w:tcPr>
            <w:tcW w:w="530"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731"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414" w:type="pct"/>
            <w:vMerge w:val="restart"/>
            <w:noWrap w:val="0"/>
            <w:vAlign w:val="center"/>
          </w:tcPr>
          <w:p>
            <w:pPr>
              <w:pStyle w:val="97"/>
              <w:keepNext w:val="0"/>
              <w:keepLines w:val="0"/>
              <w:widowControl w:val="0"/>
              <w:adjustRightInd/>
              <w:rPr>
                <w:rFonts w:hint="default" w:ascii="Times New Roman" w:hAnsi="Times New Roman" w:cs="Times New Roman"/>
                <w:color w:val="auto"/>
                <w:u w:val="single"/>
              </w:rPr>
            </w:pPr>
            <w:r>
              <w:rPr>
                <w:rFonts w:hint="eastAsia" w:cs="Times New Roman"/>
                <w:color w:val="auto"/>
                <w:u w:val="single"/>
                <w:lang w:val="en-US" w:eastAsia="zh-CN"/>
              </w:rPr>
              <w:t>36.5</w:t>
            </w:r>
            <w:r>
              <w:rPr>
                <w:rFonts w:hint="default" w:ascii="Times New Roman" w:hAnsi="Times New Roman" w:cs="Times New Roman"/>
                <w:color w:val="auto"/>
                <w:u w:val="single"/>
                <w:lang w:val="en-US" w:eastAsia="zh-CN"/>
              </w:rPr>
              <w:t>万</w:t>
            </w:r>
            <w:r>
              <w:rPr>
                <w:rFonts w:hint="default" w:ascii="Times New Roman" w:hAnsi="Times New Roman" w:cs="Times New Roman"/>
                <w:color w:val="auto"/>
                <w:u w:val="single"/>
              </w:rPr>
              <w:t>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/a</w:t>
            </w:r>
          </w:p>
        </w:tc>
        <w:tc>
          <w:tcPr>
            <w:tcW w:w="477" w:type="pct"/>
            <w:noWrap w:val="0"/>
            <w:vAlign w:val="center"/>
          </w:tcPr>
          <w:p>
            <w:pPr>
              <w:pStyle w:val="73"/>
              <w:widowControl w:val="0"/>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COD</w:t>
            </w:r>
            <w:r>
              <w:rPr>
                <w:rFonts w:hint="default" w:ascii="Times New Roman" w:hAnsi="Times New Roman" w:cs="Times New Roman"/>
                <w:color w:val="auto"/>
                <w:u w:val="single"/>
                <w:vertAlign w:val="subscript"/>
              </w:rPr>
              <w:t>cr</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500</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182.50</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50</w:t>
            </w:r>
          </w:p>
        </w:tc>
        <w:tc>
          <w:tcPr>
            <w:tcW w:w="514" w:type="pct"/>
            <w:noWrap w:val="0"/>
            <w:vAlign w:val="center"/>
          </w:tcPr>
          <w:p>
            <w:pPr>
              <w:pStyle w:val="73"/>
              <w:widowControl w:val="0"/>
              <w:rPr>
                <w:rFonts w:hint="default" w:ascii="Times New Roman" w:hAnsi="Times New Roman" w:eastAsia="等线" w:cs="Times New Roman"/>
                <w:color w:val="auto"/>
                <w:u w:val="single"/>
                <w:lang w:val="en-US"/>
              </w:rPr>
            </w:pPr>
            <w:r>
              <w:rPr>
                <w:rFonts w:hint="eastAsia" w:ascii="Times New Roman" w:eastAsia="等线" w:cs="Times New Roman"/>
                <w:color w:val="auto"/>
                <w:u w:val="single"/>
                <w:lang w:val="en-US" w:eastAsia="zh-CN"/>
              </w:rPr>
              <w:t>18.25</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164.25</w:t>
            </w:r>
          </w:p>
        </w:tc>
        <w:tc>
          <w:tcPr>
            <w:tcW w:w="731" w:type="pct"/>
            <w:vMerge w:val="restart"/>
            <w:noWrap w:val="0"/>
            <w:vAlign w:val="center"/>
          </w:tcPr>
          <w:p>
            <w:pPr>
              <w:pStyle w:val="97"/>
              <w:keepNext w:val="0"/>
              <w:keepLines w:val="0"/>
              <w:widowControl w:val="0"/>
              <w:adjustRightInd/>
              <w:rPr>
                <w:rFonts w:hint="default" w:ascii="Times New Roman" w:hAnsi="Times New Roman" w:cs="Times New Roman"/>
                <w:color w:val="auto"/>
                <w:u w:val="single"/>
              </w:rPr>
            </w:pPr>
            <w:r>
              <w:rPr>
                <w:rFonts w:hint="default" w:ascii="Times New Roman" w:hAnsi="Times New Roman" w:cs="Times New Roman"/>
                <w:color w:val="auto"/>
                <w:u w:val="single"/>
              </w:rPr>
              <w:t>“</w:t>
            </w:r>
            <w:r>
              <w:rPr>
                <w:rFonts w:hint="default" w:ascii="Times New Roman" w:hAnsi="Times New Roman" w:cs="Times New Roman"/>
                <w:color w:val="auto"/>
                <w:u w:val="single"/>
                <w:lang w:eastAsia="zh-CN"/>
              </w:rPr>
              <w:t>格栅渠</w:t>
            </w:r>
            <w:r>
              <w:rPr>
                <w:rFonts w:hint="default" w:ascii="Times New Roman" w:hAnsi="Times New Roman" w:cs="Times New Roman"/>
                <w:color w:val="auto"/>
                <w:u w:val="single"/>
              </w:rPr>
              <w:t>→沉砂池→调节池→</w:t>
            </w:r>
            <w:r>
              <w:rPr>
                <w:rFonts w:hint="default" w:ascii="Times New Roman" w:hAnsi="Times New Roman" w:cs="Times New Roman"/>
                <w:color w:val="auto"/>
                <w:u w:val="single"/>
                <w:lang w:val="en-US" w:eastAsia="zh-CN"/>
              </w:rPr>
              <w:t>MBR一体化设备</w:t>
            </w:r>
            <w:r>
              <w:rPr>
                <w:rFonts w:hint="default" w:ascii="Times New Roman" w:hAnsi="Times New Roman" w:cs="Times New Roman"/>
                <w:color w:val="auto"/>
                <w:u w:val="single"/>
              </w:rPr>
              <w:t>→紫外消毒→</w:t>
            </w:r>
            <w:r>
              <w:rPr>
                <w:rFonts w:hint="default" w:ascii="Times New Roman" w:hAnsi="Times New Roman" w:cs="Times New Roman"/>
                <w:color w:val="auto"/>
                <w:u w:val="single"/>
                <w:lang w:eastAsia="zh-CN"/>
              </w:rPr>
              <w:t>清水池</w:t>
            </w:r>
            <w:r>
              <w:rPr>
                <w:rFonts w:hint="default" w:ascii="Times New Roman" w:hAnsi="Times New Roman" w:cs="Times New Roman"/>
                <w:color w:val="auto"/>
                <w:u w:val="single"/>
              </w:rPr>
              <w:t>”</w:t>
            </w:r>
          </w:p>
        </w:tc>
        <w:tc>
          <w:tcPr>
            <w:tcW w:w="496" w:type="pct"/>
            <w:vMerge w:val="restart"/>
            <w:noWrap w:val="0"/>
            <w:vAlign w:val="center"/>
          </w:tcPr>
          <w:p>
            <w:pPr>
              <w:pStyle w:val="97"/>
              <w:keepNext w:val="0"/>
              <w:keepLines w:val="0"/>
              <w:widowControl w:val="0"/>
              <w:adjustRightInd/>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lang w:eastAsia="zh-CN"/>
              </w:rPr>
              <w:t>猛洞河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414"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BOD</w:t>
            </w:r>
            <w:r>
              <w:rPr>
                <w:rFonts w:hint="default" w:ascii="Times New Roman" w:hAnsi="Times New Roman" w:cs="Times New Roman"/>
                <w:color w:val="auto"/>
                <w:u w:val="single"/>
                <w:vertAlign w:val="subscript"/>
              </w:rPr>
              <w:t>5</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300</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109.50</w:t>
            </w:r>
          </w:p>
        </w:tc>
        <w:tc>
          <w:tcPr>
            <w:tcW w:w="659"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10</w:t>
            </w:r>
          </w:p>
        </w:tc>
        <w:tc>
          <w:tcPr>
            <w:tcW w:w="514" w:type="pct"/>
            <w:noWrap w:val="0"/>
            <w:vAlign w:val="center"/>
          </w:tcPr>
          <w:p>
            <w:pPr>
              <w:pStyle w:val="73"/>
              <w:widowControl w:val="0"/>
              <w:rPr>
                <w:rFonts w:hint="default" w:ascii="Times New Roman" w:hAnsi="Times New Roman" w:eastAsia="等线" w:cs="Times New Roman"/>
                <w:color w:val="auto"/>
                <w:u w:val="single"/>
                <w:lang w:val="en-US"/>
              </w:rPr>
            </w:pPr>
            <w:r>
              <w:rPr>
                <w:rFonts w:hint="eastAsia" w:ascii="Times New Roman" w:eastAsia="等线" w:cs="Times New Roman"/>
                <w:color w:val="auto"/>
                <w:u w:val="single"/>
                <w:lang w:val="en-US" w:eastAsia="zh-CN"/>
              </w:rPr>
              <w:t>3.65</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105.85</w:t>
            </w:r>
          </w:p>
        </w:tc>
        <w:tc>
          <w:tcPr>
            <w:tcW w:w="731"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14"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r>
              <w:rPr>
                <w:rFonts w:hint="default" w:ascii="Times New Roman" w:hAnsi="Times New Roman" w:cs="Times New Roman"/>
                <w:color w:val="auto"/>
                <w:u w:val="single"/>
              </w:rPr>
              <w:t>-N</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25</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9.125</w:t>
            </w:r>
          </w:p>
        </w:tc>
        <w:tc>
          <w:tcPr>
            <w:tcW w:w="659"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5</w:t>
            </w:r>
          </w:p>
        </w:tc>
        <w:tc>
          <w:tcPr>
            <w:tcW w:w="514" w:type="pct"/>
            <w:noWrap w:val="0"/>
            <w:vAlign w:val="center"/>
          </w:tcPr>
          <w:p>
            <w:pPr>
              <w:pStyle w:val="73"/>
              <w:widowControl w:val="0"/>
              <w:rPr>
                <w:rFonts w:hint="default" w:ascii="Times New Roman" w:hAnsi="Times New Roman" w:eastAsia="等线" w:cs="Times New Roman"/>
                <w:color w:val="auto"/>
                <w:u w:val="single"/>
                <w:lang w:val="en-US"/>
              </w:rPr>
            </w:pPr>
            <w:r>
              <w:rPr>
                <w:rFonts w:hint="eastAsia" w:ascii="Times New Roman" w:eastAsia="等线" w:cs="Times New Roman"/>
                <w:color w:val="auto"/>
                <w:u w:val="single"/>
                <w:lang w:val="en-US" w:eastAsia="zh-CN"/>
              </w:rPr>
              <w:t>1.825</w:t>
            </w:r>
          </w:p>
        </w:tc>
        <w:tc>
          <w:tcPr>
            <w:tcW w:w="530" w:type="pct"/>
            <w:noWrap w:val="0"/>
            <w:vAlign w:val="center"/>
          </w:tcPr>
          <w:p>
            <w:pPr>
              <w:pStyle w:val="73"/>
              <w:widowControl w:val="0"/>
              <w:rPr>
                <w:rFonts w:hint="default" w:ascii="Times New Roman" w:hAnsi="Times New Roman" w:eastAsia="等线" w:cs="Times New Roman"/>
                <w:color w:val="auto"/>
                <w:u w:val="single"/>
                <w:lang w:val="en-US"/>
              </w:rPr>
            </w:pPr>
            <w:r>
              <w:rPr>
                <w:rFonts w:hint="eastAsia" w:ascii="Times New Roman" w:eastAsia="等线" w:cs="Times New Roman"/>
                <w:color w:val="auto"/>
                <w:u w:val="single"/>
                <w:lang w:val="en-US" w:eastAsia="zh-CN"/>
              </w:rPr>
              <w:t>7.30</w:t>
            </w:r>
          </w:p>
        </w:tc>
        <w:tc>
          <w:tcPr>
            <w:tcW w:w="731"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414"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SS</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400</w:t>
            </w:r>
          </w:p>
        </w:tc>
        <w:tc>
          <w:tcPr>
            <w:tcW w:w="514" w:type="pct"/>
            <w:noWrap w:val="0"/>
            <w:vAlign w:val="center"/>
          </w:tcPr>
          <w:p>
            <w:pPr>
              <w:pStyle w:val="73"/>
              <w:widowControl w:val="0"/>
              <w:rPr>
                <w:rFonts w:hint="default" w:ascii="Times New Roman" w:hAnsi="Times New Roman" w:eastAsia="等线" w:cs="Times New Roman"/>
                <w:color w:val="auto"/>
                <w:u w:val="single"/>
                <w:lang w:val="en-US"/>
              </w:rPr>
            </w:pPr>
            <w:r>
              <w:rPr>
                <w:rFonts w:hint="eastAsia" w:ascii="Times New Roman" w:eastAsia="等线" w:cs="Times New Roman"/>
                <w:color w:val="auto"/>
                <w:u w:val="single"/>
                <w:lang w:val="en-US" w:eastAsia="zh-CN"/>
              </w:rPr>
              <w:t>58.40</w:t>
            </w:r>
          </w:p>
        </w:tc>
        <w:tc>
          <w:tcPr>
            <w:tcW w:w="659"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10</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3.65</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54.75</w:t>
            </w:r>
          </w:p>
        </w:tc>
        <w:tc>
          <w:tcPr>
            <w:tcW w:w="731"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414"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TP</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5</w:t>
            </w:r>
          </w:p>
        </w:tc>
        <w:tc>
          <w:tcPr>
            <w:tcW w:w="514" w:type="pct"/>
            <w:noWrap w:val="0"/>
            <w:vAlign w:val="center"/>
          </w:tcPr>
          <w:p>
            <w:pPr>
              <w:pStyle w:val="73"/>
              <w:widowControl w:val="0"/>
              <w:rPr>
                <w:rFonts w:hint="default" w:ascii="Times New Roman" w:hAnsi="Times New Roman" w:eastAsia="等线" w:cs="Times New Roman"/>
                <w:color w:val="auto"/>
                <w:u w:val="single"/>
                <w:lang w:val="en-US"/>
              </w:rPr>
            </w:pPr>
            <w:r>
              <w:rPr>
                <w:rFonts w:hint="eastAsia" w:ascii="Times New Roman" w:eastAsia="等线" w:cs="Times New Roman"/>
                <w:color w:val="auto"/>
                <w:u w:val="single"/>
                <w:lang w:val="en-US" w:eastAsia="zh-CN"/>
              </w:rPr>
              <w:t>1.825</w:t>
            </w:r>
          </w:p>
        </w:tc>
        <w:tc>
          <w:tcPr>
            <w:tcW w:w="659"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0.5</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0.1825</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1.6425</w:t>
            </w:r>
          </w:p>
        </w:tc>
        <w:tc>
          <w:tcPr>
            <w:tcW w:w="731"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414"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TN</w:t>
            </w:r>
          </w:p>
        </w:tc>
        <w:tc>
          <w:tcPr>
            <w:tcW w:w="659" w:type="pct"/>
            <w:noWrap w:val="0"/>
            <w:vAlign w:val="center"/>
          </w:tcPr>
          <w:p>
            <w:pPr>
              <w:pStyle w:val="73"/>
              <w:widowControl w:val="0"/>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45</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16.425</w:t>
            </w:r>
          </w:p>
        </w:tc>
        <w:tc>
          <w:tcPr>
            <w:tcW w:w="659" w:type="pct"/>
            <w:noWrap w:val="0"/>
            <w:vAlign w:val="center"/>
          </w:tcPr>
          <w:p>
            <w:pPr>
              <w:pStyle w:val="73"/>
              <w:widowControl w:val="0"/>
              <w:rPr>
                <w:rFonts w:hint="default" w:ascii="Times New Roman" w:hAnsi="Times New Roman" w:cs="Times New Roman"/>
                <w:color w:val="auto"/>
                <w:u w:val="single"/>
              </w:rPr>
            </w:pPr>
            <w:r>
              <w:rPr>
                <w:rFonts w:hint="default" w:ascii="Times New Roman" w:hAnsi="Times New Roman" w:cs="Times New Roman"/>
                <w:color w:val="auto"/>
                <w:u w:val="single"/>
              </w:rPr>
              <w:t>15</w:t>
            </w:r>
          </w:p>
        </w:tc>
        <w:tc>
          <w:tcPr>
            <w:tcW w:w="514"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5.475</w:t>
            </w:r>
          </w:p>
        </w:tc>
        <w:tc>
          <w:tcPr>
            <w:tcW w:w="530" w:type="pct"/>
            <w:noWrap w:val="0"/>
            <w:vAlign w:val="center"/>
          </w:tcPr>
          <w:p>
            <w:pPr>
              <w:pStyle w:val="73"/>
              <w:widowControl w:val="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10.95</w:t>
            </w:r>
          </w:p>
        </w:tc>
        <w:tc>
          <w:tcPr>
            <w:tcW w:w="731"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exact"/>
          <w:jc w:val="center"/>
        </w:trPr>
        <w:tc>
          <w:tcPr>
            <w:tcW w:w="414"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ind w:firstLine="0" w:firstLineChars="0"/>
              <w:rPr>
                <w:rFonts w:hint="default" w:ascii="Times New Roman" w:hAnsi="Times New Roman" w:cs="Times New Roman"/>
                <w:color w:val="auto"/>
                <w:u w:val="single"/>
              </w:rPr>
            </w:pPr>
            <w:r>
              <w:rPr>
                <w:rFonts w:hint="eastAsia" w:ascii="Times New Roman" w:cs="Times New Roman"/>
                <w:color w:val="auto"/>
                <w:u w:val="single"/>
                <w:lang w:eastAsia="zh-CN"/>
              </w:rPr>
              <w:t>动植物油</w:t>
            </w:r>
          </w:p>
        </w:tc>
        <w:tc>
          <w:tcPr>
            <w:tcW w:w="659" w:type="pct"/>
            <w:noWrap w:val="0"/>
            <w:vAlign w:val="center"/>
          </w:tcPr>
          <w:p>
            <w:pPr>
              <w:pStyle w:val="73"/>
              <w:widowControl w:val="0"/>
              <w:ind w:firstLine="0" w:firstLineChars="0"/>
              <w:rPr>
                <w:rFonts w:hint="default" w:ascii="Times New Roman" w:hAnsi="Times New Roman" w:cs="Times New Roman"/>
                <w:color w:val="auto"/>
                <w:u w:val="single"/>
                <w:lang w:val="en-US" w:eastAsia="zh-CN"/>
              </w:rPr>
            </w:pPr>
            <w:r>
              <w:rPr>
                <w:rFonts w:hint="eastAsia" w:ascii="Times New Roman" w:cs="Times New Roman"/>
                <w:color w:val="auto"/>
                <w:u w:val="single"/>
                <w:lang w:val="en-US" w:eastAsia="zh-CN"/>
              </w:rPr>
              <w:t>100</w:t>
            </w:r>
          </w:p>
        </w:tc>
        <w:tc>
          <w:tcPr>
            <w:tcW w:w="514" w:type="pct"/>
            <w:noWrap w:val="0"/>
            <w:vAlign w:val="center"/>
          </w:tcPr>
          <w:p>
            <w:pPr>
              <w:pStyle w:val="73"/>
              <w:widowControl w:val="0"/>
              <w:ind w:firstLine="0" w:firstLineChars="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36.50</w:t>
            </w:r>
          </w:p>
        </w:tc>
        <w:tc>
          <w:tcPr>
            <w:tcW w:w="659" w:type="pct"/>
            <w:noWrap w:val="0"/>
            <w:vAlign w:val="center"/>
          </w:tcPr>
          <w:p>
            <w:pPr>
              <w:pStyle w:val="73"/>
              <w:widowControl w:val="0"/>
              <w:ind w:firstLine="0" w:firstLineChars="0"/>
              <w:rPr>
                <w:rFonts w:hint="default" w:ascii="Times New Roman" w:hAnsi="Times New Roman" w:cs="Times New Roman"/>
                <w:color w:val="auto"/>
                <w:u w:val="single"/>
              </w:rPr>
            </w:pPr>
            <w:r>
              <w:rPr>
                <w:rFonts w:hint="eastAsia" w:ascii="Times New Roman" w:cs="Times New Roman"/>
                <w:color w:val="auto"/>
                <w:u w:val="single"/>
                <w:lang w:val="en-US" w:eastAsia="zh-CN"/>
              </w:rPr>
              <w:t>1</w:t>
            </w:r>
          </w:p>
        </w:tc>
        <w:tc>
          <w:tcPr>
            <w:tcW w:w="514" w:type="pct"/>
            <w:noWrap w:val="0"/>
            <w:vAlign w:val="center"/>
          </w:tcPr>
          <w:p>
            <w:pPr>
              <w:pStyle w:val="73"/>
              <w:widowControl w:val="0"/>
              <w:ind w:firstLine="0" w:firstLineChars="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0.365</w:t>
            </w:r>
          </w:p>
        </w:tc>
        <w:tc>
          <w:tcPr>
            <w:tcW w:w="530" w:type="pct"/>
            <w:noWrap w:val="0"/>
            <w:vAlign w:val="center"/>
          </w:tcPr>
          <w:p>
            <w:pPr>
              <w:pStyle w:val="73"/>
              <w:widowControl w:val="0"/>
              <w:ind w:firstLine="0" w:firstLineChars="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36.135</w:t>
            </w:r>
          </w:p>
        </w:tc>
        <w:tc>
          <w:tcPr>
            <w:tcW w:w="731"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414"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77" w:type="pct"/>
            <w:noWrap w:val="0"/>
            <w:vAlign w:val="center"/>
          </w:tcPr>
          <w:p>
            <w:pPr>
              <w:pStyle w:val="73"/>
              <w:widowControl w:val="0"/>
              <w:ind w:firstLine="0" w:firstLineChars="0"/>
              <w:rPr>
                <w:rFonts w:hint="default" w:ascii="Times New Roman" w:hAnsi="Times New Roman" w:cs="Times New Roman"/>
                <w:color w:val="auto"/>
                <w:u w:val="single"/>
              </w:rPr>
            </w:pPr>
            <w:r>
              <w:rPr>
                <w:rFonts w:hint="eastAsia" w:ascii="Times New Roman" w:cs="Times New Roman"/>
                <w:color w:val="auto"/>
                <w:u w:val="single"/>
                <w:lang w:eastAsia="zh-CN"/>
              </w:rPr>
              <w:t>石油类</w:t>
            </w:r>
          </w:p>
        </w:tc>
        <w:tc>
          <w:tcPr>
            <w:tcW w:w="659" w:type="pct"/>
            <w:noWrap w:val="0"/>
            <w:vAlign w:val="center"/>
          </w:tcPr>
          <w:p>
            <w:pPr>
              <w:pStyle w:val="73"/>
              <w:widowControl w:val="0"/>
              <w:ind w:firstLine="0" w:firstLineChars="0"/>
              <w:rPr>
                <w:rFonts w:hint="default" w:ascii="Times New Roman" w:hAnsi="Times New Roman" w:cs="Times New Roman"/>
                <w:color w:val="auto"/>
                <w:u w:val="single"/>
                <w:lang w:val="en-US" w:eastAsia="zh-CN"/>
              </w:rPr>
            </w:pPr>
            <w:r>
              <w:rPr>
                <w:rFonts w:hint="eastAsia" w:ascii="Times New Roman" w:cs="Times New Roman"/>
                <w:color w:val="auto"/>
                <w:u w:val="single"/>
                <w:lang w:val="en-US" w:eastAsia="zh-CN"/>
              </w:rPr>
              <w:t>20</w:t>
            </w:r>
          </w:p>
        </w:tc>
        <w:tc>
          <w:tcPr>
            <w:tcW w:w="514" w:type="pct"/>
            <w:noWrap w:val="0"/>
            <w:vAlign w:val="center"/>
          </w:tcPr>
          <w:p>
            <w:pPr>
              <w:pStyle w:val="73"/>
              <w:widowControl w:val="0"/>
              <w:ind w:firstLine="0" w:firstLineChars="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7.30</w:t>
            </w:r>
          </w:p>
        </w:tc>
        <w:tc>
          <w:tcPr>
            <w:tcW w:w="659" w:type="pct"/>
            <w:noWrap w:val="0"/>
            <w:vAlign w:val="center"/>
          </w:tcPr>
          <w:p>
            <w:pPr>
              <w:pStyle w:val="73"/>
              <w:widowControl w:val="0"/>
              <w:ind w:firstLine="0" w:firstLineChars="0"/>
              <w:rPr>
                <w:rFonts w:hint="default" w:ascii="Times New Roman" w:hAnsi="Times New Roman" w:cs="Times New Roman"/>
                <w:color w:val="auto"/>
                <w:u w:val="single"/>
              </w:rPr>
            </w:pPr>
            <w:r>
              <w:rPr>
                <w:rFonts w:hint="eastAsia" w:ascii="Times New Roman" w:cs="Times New Roman"/>
                <w:color w:val="auto"/>
                <w:u w:val="single"/>
                <w:lang w:val="en-US" w:eastAsia="zh-CN"/>
              </w:rPr>
              <w:t>1</w:t>
            </w:r>
          </w:p>
        </w:tc>
        <w:tc>
          <w:tcPr>
            <w:tcW w:w="514" w:type="pct"/>
            <w:noWrap w:val="0"/>
            <w:vAlign w:val="center"/>
          </w:tcPr>
          <w:p>
            <w:pPr>
              <w:pStyle w:val="73"/>
              <w:widowControl w:val="0"/>
              <w:ind w:firstLine="0" w:firstLineChars="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0.365</w:t>
            </w:r>
          </w:p>
        </w:tc>
        <w:tc>
          <w:tcPr>
            <w:tcW w:w="530" w:type="pct"/>
            <w:noWrap w:val="0"/>
            <w:vAlign w:val="center"/>
          </w:tcPr>
          <w:p>
            <w:pPr>
              <w:pStyle w:val="73"/>
              <w:widowControl w:val="0"/>
              <w:ind w:firstLine="0" w:firstLineChars="0"/>
              <w:rPr>
                <w:rFonts w:hint="default" w:ascii="Times New Roman" w:hAnsi="Times New Roman" w:eastAsia="等线" w:cs="Times New Roman"/>
                <w:color w:val="auto"/>
                <w:u w:val="single"/>
                <w:lang w:val="en-US" w:eastAsia="zh-CN"/>
              </w:rPr>
            </w:pPr>
            <w:r>
              <w:rPr>
                <w:rFonts w:hint="eastAsia" w:ascii="Times New Roman" w:eastAsia="等线" w:cs="Times New Roman"/>
                <w:color w:val="auto"/>
                <w:u w:val="single"/>
                <w:lang w:val="en-US" w:eastAsia="zh-CN"/>
              </w:rPr>
              <w:t>6.935</w:t>
            </w:r>
          </w:p>
        </w:tc>
        <w:tc>
          <w:tcPr>
            <w:tcW w:w="731"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c>
          <w:tcPr>
            <w:tcW w:w="496" w:type="pct"/>
            <w:vMerge w:val="continue"/>
            <w:noWrap w:val="0"/>
            <w:vAlign w:val="center"/>
          </w:tcPr>
          <w:p>
            <w:pPr>
              <w:pStyle w:val="97"/>
              <w:keepNext w:val="0"/>
              <w:keepLines w:val="0"/>
              <w:widowControl w:val="0"/>
              <w:adjustRightInd/>
              <w:rPr>
                <w:rFonts w:hint="default" w:ascii="Times New Roman" w:hAnsi="Times New Roman" w:cs="Times New Roman"/>
                <w:color w:val="auto"/>
                <w:u w:val="single"/>
              </w:rPr>
            </w:pPr>
          </w:p>
        </w:tc>
      </w:tr>
    </w:tbl>
    <w:p>
      <w:pPr>
        <w:ind w:firstLine="480"/>
        <w:jc w:val="both"/>
        <w:rPr>
          <w:rFonts w:hint="eastAsia"/>
          <w:color w:val="auto"/>
          <w:u w:val="single"/>
        </w:rPr>
      </w:pPr>
      <w:r>
        <w:rPr>
          <w:rFonts w:hint="eastAsia"/>
          <w:color w:val="auto"/>
          <w:u w:val="single"/>
        </w:rPr>
        <w:t>项目</w:t>
      </w:r>
      <w:r>
        <w:rPr>
          <w:rFonts w:hint="eastAsia"/>
          <w:color w:val="auto"/>
          <w:u w:val="single"/>
          <w:lang w:eastAsia="zh-CN"/>
        </w:rPr>
        <w:t>二期工程建成后，湖南永顺经济开发区猛洞河产业园污水处理厂取排水情况见下表</w:t>
      </w:r>
    </w:p>
    <w:p>
      <w:pPr>
        <w:pStyle w:val="124"/>
        <w:bidi w:val="0"/>
        <w:rPr>
          <w:rFonts w:hint="default"/>
          <w:lang w:val="en-US" w:eastAsia="zh-CN"/>
        </w:rPr>
      </w:pPr>
      <w:r>
        <w:rPr>
          <w:rFonts w:hint="eastAsia"/>
          <w:lang w:eastAsia="zh-CN"/>
        </w:rPr>
        <w:t>表</w:t>
      </w:r>
      <w:r>
        <w:rPr>
          <w:rFonts w:hint="eastAsia"/>
          <w:lang w:val="en-US" w:eastAsia="zh-CN"/>
        </w:rPr>
        <w:t>2.4-14  二期工程建成后污水处理厂总取排水一览表</w:t>
      </w:r>
    </w:p>
    <w:tbl>
      <w:tblPr>
        <w:tblStyle w:val="37"/>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735"/>
        <w:gridCol w:w="886"/>
        <w:gridCol w:w="971"/>
        <w:gridCol w:w="1346"/>
        <w:gridCol w:w="978"/>
        <w:gridCol w:w="905"/>
        <w:gridCol w:w="905"/>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noWrap w:val="0"/>
            <w:vAlign w:val="center"/>
          </w:tcPr>
          <w:p>
            <w:pPr>
              <w:pStyle w:val="113"/>
              <w:rPr>
                <w:color w:val="auto"/>
                <w:u w:val="none"/>
              </w:rPr>
            </w:pPr>
            <w:r>
              <w:rPr>
                <w:color w:val="auto"/>
                <w:u w:val="none"/>
              </w:rPr>
              <w:t>序号</w:t>
            </w:r>
          </w:p>
        </w:tc>
        <w:tc>
          <w:tcPr>
            <w:tcW w:w="1735" w:type="dxa"/>
            <w:noWrap w:val="0"/>
            <w:vAlign w:val="center"/>
          </w:tcPr>
          <w:p>
            <w:pPr>
              <w:pStyle w:val="113"/>
              <w:rPr>
                <w:color w:val="auto"/>
                <w:u w:val="none"/>
              </w:rPr>
            </w:pPr>
            <w:r>
              <w:rPr>
                <w:color w:val="auto"/>
                <w:u w:val="none"/>
              </w:rPr>
              <w:t>类别</w:t>
            </w:r>
          </w:p>
        </w:tc>
        <w:tc>
          <w:tcPr>
            <w:tcW w:w="886" w:type="dxa"/>
            <w:noWrap w:val="0"/>
            <w:vAlign w:val="center"/>
          </w:tcPr>
          <w:p>
            <w:pPr>
              <w:pStyle w:val="113"/>
              <w:rPr>
                <w:rFonts w:hint="eastAsia" w:eastAsia="宋体"/>
                <w:color w:val="auto"/>
                <w:u w:val="none"/>
                <w:lang w:eastAsia="zh-CN"/>
              </w:rPr>
            </w:pPr>
            <w:r>
              <w:rPr>
                <w:rFonts w:hint="eastAsia"/>
                <w:color w:val="auto"/>
                <w:u w:val="none"/>
                <w:lang w:eastAsia="zh-CN"/>
              </w:rPr>
              <w:t>废水内容</w:t>
            </w:r>
          </w:p>
        </w:tc>
        <w:tc>
          <w:tcPr>
            <w:tcW w:w="971" w:type="dxa"/>
            <w:noWrap w:val="0"/>
            <w:vAlign w:val="center"/>
          </w:tcPr>
          <w:p>
            <w:pPr>
              <w:pStyle w:val="113"/>
              <w:rPr>
                <w:color w:val="auto"/>
                <w:u w:val="none"/>
              </w:rPr>
            </w:pPr>
            <w:r>
              <w:rPr>
                <w:color w:val="auto"/>
                <w:u w:val="none"/>
              </w:rPr>
              <w:t>用水标准</w:t>
            </w:r>
          </w:p>
        </w:tc>
        <w:tc>
          <w:tcPr>
            <w:tcW w:w="1346" w:type="dxa"/>
            <w:noWrap w:val="0"/>
            <w:vAlign w:val="center"/>
          </w:tcPr>
          <w:p>
            <w:pPr>
              <w:pStyle w:val="113"/>
              <w:rPr>
                <w:color w:val="auto"/>
                <w:u w:val="none"/>
              </w:rPr>
            </w:pPr>
            <w:r>
              <w:rPr>
                <w:color w:val="auto"/>
                <w:u w:val="none"/>
              </w:rPr>
              <w:t>日用水量</w:t>
            </w:r>
          </w:p>
          <w:p>
            <w:pPr>
              <w:pStyle w:val="113"/>
              <w:rPr>
                <w:rFonts w:hint="default" w:eastAsia="宋体"/>
                <w:color w:val="auto"/>
                <w:u w:val="none"/>
                <w:vertAlign w:val="baseline"/>
                <w:lang w:val="en-US" w:eastAsia="zh-CN"/>
              </w:rPr>
            </w:pPr>
            <w:r>
              <w:rPr>
                <w:color w:val="auto"/>
                <w:u w:val="none"/>
              </w:rPr>
              <w:t>m</w:t>
            </w:r>
            <w:r>
              <w:rPr>
                <w:color w:val="auto"/>
                <w:u w:val="none"/>
                <w:vertAlign w:val="superscript"/>
              </w:rPr>
              <w:t>3</w:t>
            </w:r>
            <w:r>
              <w:rPr>
                <w:rFonts w:hint="eastAsia"/>
                <w:color w:val="auto"/>
                <w:u w:val="none"/>
                <w:vertAlign w:val="baseline"/>
                <w:lang w:val="en-US" w:eastAsia="zh-CN"/>
              </w:rPr>
              <w:t>/d</w:t>
            </w:r>
          </w:p>
        </w:tc>
        <w:tc>
          <w:tcPr>
            <w:tcW w:w="978" w:type="dxa"/>
            <w:noWrap w:val="0"/>
            <w:vAlign w:val="center"/>
          </w:tcPr>
          <w:p>
            <w:pPr>
              <w:pStyle w:val="113"/>
              <w:rPr>
                <w:color w:val="auto"/>
                <w:u w:val="none"/>
              </w:rPr>
            </w:pPr>
            <w:r>
              <w:rPr>
                <w:rFonts w:hint="eastAsia"/>
                <w:color w:val="auto"/>
                <w:u w:val="none"/>
                <w:lang w:eastAsia="zh-CN"/>
              </w:rPr>
              <w:t>年工作时间</w:t>
            </w:r>
            <w:r>
              <w:rPr>
                <w:color w:val="auto"/>
                <w:u w:val="none"/>
              </w:rPr>
              <w:t>d</w:t>
            </w:r>
          </w:p>
        </w:tc>
        <w:tc>
          <w:tcPr>
            <w:tcW w:w="905" w:type="dxa"/>
            <w:noWrap w:val="0"/>
            <w:vAlign w:val="center"/>
          </w:tcPr>
          <w:p>
            <w:pPr>
              <w:pStyle w:val="113"/>
              <w:rPr>
                <w:rFonts w:hint="default" w:eastAsia="宋体"/>
                <w:color w:val="auto"/>
                <w:u w:val="none"/>
                <w:vertAlign w:val="baseline"/>
                <w:lang w:val="en-US" w:eastAsia="zh-CN"/>
              </w:rPr>
            </w:pPr>
            <w:r>
              <w:rPr>
                <w:color w:val="auto"/>
                <w:u w:val="none"/>
              </w:rPr>
              <w:t>年用水量m</w:t>
            </w:r>
            <w:r>
              <w:rPr>
                <w:color w:val="auto"/>
                <w:u w:val="none"/>
                <w:vertAlign w:val="superscript"/>
              </w:rPr>
              <w:t>3</w:t>
            </w:r>
            <w:r>
              <w:rPr>
                <w:rFonts w:hint="eastAsia"/>
                <w:color w:val="auto"/>
                <w:u w:val="none"/>
                <w:vertAlign w:val="baseline"/>
                <w:lang w:val="en-US" w:eastAsia="zh-CN"/>
              </w:rPr>
              <w:t>/a</w:t>
            </w:r>
          </w:p>
        </w:tc>
        <w:tc>
          <w:tcPr>
            <w:tcW w:w="905" w:type="dxa"/>
            <w:noWrap w:val="0"/>
            <w:vAlign w:val="center"/>
          </w:tcPr>
          <w:p>
            <w:pPr>
              <w:pStyle w:val="113"/>
              <w:rPr>
                <w:color w:val="auto"/>
                <w:u w:val="none"/>
              </w:rPr>
            </w:pPr>
            <w:r>
              <w:rPr>
                <w:rFonts w:hint="eastAsia"/>
                <w:color w:val="auto"/>
                <w:u w:val="none"/>
                <w:lang w:eastAsia="zh-CN"/>
              </w:rPr>
              <w:t>日排放</w:t>
            </w:r>
            <w:r>
              <w:rPr>
                <w:color w:val="auto"/>
                <w:u w:val="none"/>
              </w:rPr>
              <w:t>量m</w:t>
            </w:r>
            <w:r>
              <w:rPr>
                <w:color w:val="auto"/>
                <w:u w:val="none"/>
                <w:vertAlign w:val="superscript"/>
              </w:rPr>
              <w:t>3</w:t>
            </w:r>
            <w:r>
              <w:rPr>
                <w:rFonts w:hint="eastAsia"/>
                <w:color w:val="auto"/>
                <w:u w:val="none"/>
                <w:vertAlign w:val="baseline"/>
                <w:lang w:val="en-US" w:eastAsia="zh-CN"/>
              </w:rPr>
              <w:t>/d</w:t>
            </w:r>
          </w:p>
        </w:tc>
        <w:tc>
          <w:tcPr>
            <w:tcW w:w="905" w:type="dxa"/>
            <w:noWrap w:val="0"/>
            <w:vAlign w:val="center"/>
          </w:tcPr>
          <w:p>
            <w:pPr>
              <w:pStyle w:val="113"/>
              <w:ind w:firstLine="0" w:firstLineChars="0"/>
              <w:rPr>
                <w:rFonts w:ascii="Times New Roman" w:hAnsi="Times New Roman"/>
                <w:color w:val="auto"/>
                <w:kern w:val="0"/>
                <w:sz w:val="21"/>
                <w:szCs w:val="20"/>
                <w:u w:val="none"/>
                <w:lang w:val="en-US" w:eastAsia="zh-CN" w:bidi="ar-SA"/>
              </w:rPr>
            </w:pPr>
            <w:r>
              <w:rPr>
                <w:color w:val="auto"/>
                <w:u w:val="none"/>
              </w:rPr>
              <w:t>年</w:t>
            </w:r>
            <w:r>
              <w:rPr>
                <w:rFonts w:hint="eastAsia"/>
                <w:color w:val="auto"/>
                <w:u w:val="none"/>
                <w:lang w:eastAsia="zh-CN"/>
              </w:rPr>
              <w:t>排放</w:t>
            </w:r>
            <w:r>
              <w:rPr>
                <w:color w:val="auto"/>
                <w:u w:val="none"/>
              </w:rPr>
              <w:t>量m</w:t>
            </w:r>
            <w:r>
              <w:rPr>
                <w:color w:val="auto"/>
                <w:u w:val="none"/>
                <w:vertAlign w:val="superscript"/>
              </w:rPr>
              <w:t>3</w:t>
            </w:r>
            <w:r>
              <w:rPr>
                <w:rFonts w:hint="eastAsia"/>
                <w:color w:val="auto"/>
                <w:u w:val="none"/>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27" w:type="dxa"/>
            <w:noWrap w:val="0"/>
            <w:vAlign w:val="center"/>
          </w:tcPr>
          <w:p>
            <w:pPr>
              <w:pStyle w:val="113"/>
              <w:rPr>
                <w:color w:val="auto"/>
                <w:u w:val="none"/>
              </w:rPr>
            </w:pPr>
            <w:r>
              <w:rPr>
                <w:color w:val="auto"/>
                <w:u w:val="none"/>
              </w:rPr>
              <w:t>1</w:t>
            </w:r>
          </w:p>
        </w:tc>
        <w:tc>
          <w:tcPr>
            <w:tcW w:w="1735" w:type="dxa"/>
            <w:noWrap w:val="0"/>
            <w:vAlign w:val="center"/>
          </w:tcPr>
          <w:p>
            <w:pPr>
              <w:pStyle w:val="113"/>
              <w:rPr>
                <w:color w:val="auto"/>
                <w:u w:val="none"/>
              </w:rPr>
            </w:pPr>
            <w:r>
              <w:rPr>
                <w:color w:val="auto"/>
                <w:u w:val="none"/>
              </w:rPr>
              <w:t>生活用水</w:t>
            </w:r>
          </w:p>
          <w:p>
            <w:pPr>
              <w:pStyle w:val="113"/>
              <w:rPr>
                <w:rFonts w:hint="eastAsia" w:eastAsia="宋体"/>
                <w:color w:val="auto"/>
                <w:u w:val="none"/>
                <w:lang w:eastAsia="zh-CN"/>
              </w:rPr>
            </w:pPr>
            <w:r>
              <w:rPr>
                <w:rFonts w:hint="eastAsia"/>
                <w:color w:val="auto"/>
                <w:u w:val="none"/>
                <w:lang w:eastAsia="zh-CN"/>
              </w:rPr>
              <w:t>（</w:t>
            </w:r>
            <w:r>
              <w:rPr>
                <w:rFonts w:hint="eastAsia"/>
                <w:color w:val="auto"/>
                <w:u w:val="none"/>
                <w:lang w:val="en-US" w:eastAsia="zh-CN"/>
              </w:rPr>
              <w:t>5人</w:t>
            </w:r>
            <w:r>
              <w:rPr>
                <w:rFonts w:hint="eastAsia"/>
                <w:color w:val="auto"/>
                <w:u w:val="none"/>
                <w:lang w:eastAsia="zh-CN"/>
              </w:rPr>
              <w:t>）</w:t>
            </w:r>
          </w:p>
        </w:tc>
        <w:tc>
          <w:tcPr>
            <w:tcW w:w="886" w:type="dxa"/>
            <w:noWrap w:val="0"/>
            <w:vAlign w:val="center"/>
          </w:tcPr>
          <w:p>
            <w:pPr>
              <w:pStyle w:val="113"/>
              <w:rPr>
                <w:rFonts w:hint="default"/>
                <w:color w:val="auto"/>
                <w:u w:val="none"/>
                <w:lang w:val="en-US" w:eastAsia="zh-CN"/>
              </w:rPr>
            </w:pPr>
            <w:r>
              <w:rPr>
                <w:rFonts w:hint="eastAsia"/>
                <w:color w:val="auto"/>
                <w:u w:val="none"/>
                <w:lang w:val="en-US" w:eastAsia="zh-CN"/>
              </w:rPr>
              <w:t>COD、BOD、氨氮、悬浮物</w:t>
            </w:r>
          </w:p>
        </w:tc>
        <w:tc>
          <w:tcPr>
            <w:tcW w:w="971" w:type="dxa"/>
            <w:noWrap w:val="0"/>
            <w:vAlign w:val="center"/>
          </w:tcPr>
          <w:p>
            <w:pPr>
              <w:pStyle w:val="113"/>
              <w:rPr>
                <w:color w:val="auto"/>
                <w:u w:val="none"/>
              </w:rPr>
            </w:pPr>
            <w:r>
              <w:rPr>
                <w:rFonts w:hint="eastAsia"/>
                <w:color w:val="auto"/>
                <w:u w:val="none"/>
                <w:lang w:val="en-US" w:eastAsia="zh-CN"/>
              </w:rPr>
              <w:t>145</w:t>
            </w:r>
            <w:r>
              <w:rPr>
                <w:color w:val="auto"/>
                <w:u w:val="none"/>
              </w:rPr>
              <w:t>L/人·d</w:t>
            </w:r>
          </w:p>
        </w:tc>
        <w:tc>
          <w:tcPr>
            <w:tcW w:w="1346" w:type="dxa"/>
            <w:noWrap w:val="0"/>
            <w:vAlign w:val="center"/>
          </w:tcPr>
          <w:p>
            <w:pPr>
              <w:pStyle w:val="113"/>
              <w:rPr>
                <w:rFonts w:hint="default" w:eastAsia="宋体"/>
                <w:color w:val="auto"/>
                <w:u w:val="none"/>
                <w:lang w:val="en-US" w:eastAsia="zh-CN"/>
              </w:rPr>
            </w:pPr>
            <w:r>
              <w:rPr>
                <w:rFonts w:hint="eastAsia" w:eastAsia="宋体"/>
                <w:color w:val="auto"/>
                <w:u w:val="none"/>
                <w:lang w:val="en-US" w:eastAsia="zh-CN"/>
              </w:rPr>
              <w:t>0.7250</w:t>
            </w:r>
          </w:p>
        </w:tc>
        <w:tc>
          <w:tcPr>
            <w:tcW w:w="978" w:type="dxa"/>
            <w:noWrap w:val="0"/>
            <w:vAlign w:val="center"/>
          </w:tcPr>
          <w:p>
            <w:pPr>
              <w:pStyle w:val="113"/>
              <w:rPr>
                <w:rFonts w:hint="default" w:eastAsia="宋体"/>
                <w:color w:val="auto"/>
                <w:u w:val="none"/>
                <w:lang w:val="en-US" w:eastAsia="zh-CN"/>
              </w:rPr>
            </w:pPr>
            <w:r>
              <w:rPr>
                <w:rFonts w:hint="eastAsia"/>
                <w:color w:val="auto"/>
                <w:u w:val="none"/>
                <w:lang w:val="en-US" w:eastAsia="zh-CN"/>
              </w:rPr>
              <w:t>365</w:t>
            </w:r>
          </w:p>
        </w:tc>
        <w:tc>
          <w:tcPr>
            <w:tcW w:w="905" w:type="dxa"/>
            <w:noWrap w:val="0"/>
            <w:vAlign w:val="center"/>
          </w:tcPr>
          <w:p>
            <w:pPr>
              <w:pStyle w:val="113"/>
              <w:rPr>
                <w:rFonts w:hint="default" w:eastAsia="宋体"/>
                <w:color w:val="auto"/>
                <w:u w:val="none"/>
                <w:lang w:val="en-US" w:eastAsia="zh-CN"/>
              </w:rPr>
            </w:pPr>
            <w:r>
              <w:rPr>
                <w:rFonts w:hint="eastAsia"/>
                <w:color w:val="auto"/>
                <w:u w:val="none"/>
                <w:lang w:val="en-US" w:eastAsia="zh-CN"/>
              </w:rPr>
              <w:t>264.6250</w:t>
            </w:r>
          </w:p>
        </w:tc>
        <w:tc>
          <w:tcPr>
            <w:tcW w:w="905" w:type="dxa"/>
            <w:noWrap w:val="0"/>
            <w:vAlign w:val="center"/>
          </w:tcPr>
          <w:p>
            <w:pPr>
              <w:pStyle w:val="113"/>
              <w:rPr>
                <w:rFonts w:hint="default"/>
                <w:color w:val="auto"/>
                <w:u w:val="none"/>
                <w:lang w:val="en-US" w:eastAsia="zh-CN"/>
              </w:rPr>
            </w:pPr>
            <w:r>
              <w:rPr>
                <w:rFonts w:hint="eastAsia" w:eastAsia="宋体"/>
                <w:color w:val="auto"/>
                <w:u w:val="none"/>
                <w:lang w:val="en-US" w:eastAsia="zh-CN"/>
              </w:rPr>
              <w:t>0.6163</w:t>
            </w:r>
          </w:p>
        </w:tc>
        <w:tc>
          <w:tcPr>
            <w:tcW w:w="905" w:type="dxa"/>
            <w:noWrap w:val="0"/>
            <w:vAlign w:val="center"/>
          </w:tcPr>
          <w:p>
            <w:pPr>
              <w:pStyle w:val="113"/>
              <w:ind w:firstLine="0" w:firstLineChars="0"/>
              <w:rPr>
                <w:rFonts w:hint="default" w:ascii="Times New Roman" w:hAnsi="Times New Roman"/>
                <w:color w:val="auto"/>
                <w:kern w:val="0"/>
                <w:sz w:val="21"/>
                <w:szCs w:val="20"/>
                <w:u w:val="none"/>
                <w:lang w:val="en-US" w:eastAsia="zh-CN" w:bidi="ar-SA"/>
              </w:rPr>
            </w:pPr>
            <w:r>
              <w:rPr>
                <w:rFonts w:hint="eastAsia"/>
                <w:color w:val="auto"/>
                <w:u w:val="none"/>
                <w:lang w:val="en-US" w:eastAsia="zh-CN"/>
              </w:rPr>
              <w:t>224.9313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27" w:type="dxa"/>
            <w:noWrap w:val="0"/>
            <w:vAlign w:val="center"/>
          </w:tcPr>
          <w:p>
            <w:pPr>
              <w:pStyle w:val="113"/>
              <w:rPr>
                <w:color w:val="auto"/>
                <w:u w:val="none"/>
              </w:rPr>
            </w:pPr>
            <w:r>
              <w:rPr>
                <w:rFonts w:hint="eastAsia"/>
                <w:color w:val="auto"/>
                <w:u w:val="none"/>
              </w:rPr>
              <w:t>2</w:t>
            </w:r>
          </w:p>
        </w:tc>
        <w:tc>
          <w:tcPr>
            <w:tcW w:w="1735" w:type="dxa"/>
            <w:noWrap w:val="0"/>
            <w:vAlign w:val="center"/>
          </w:tcPr>
          <w:p>
            <w:pPr>
              <w:pStyle w:val="113"/>
              <w:rPr>
                <w:rFonts w:hint="eastAsia" w:eastAsia="宋体"/>
                <w:color w:val="auto"/>
                <w:u w:val="none"/>
                <w:lang w:eastAsia="zh-CN"/>
              </w:rPr>
            </w:pPr>
            <w:r>
              <w:rPr>
                <w:rFonts w:hint="eastAsia"/>
                <w:color w:val="auto"/>
                <w:u w:val="none"/>
              </w:rPr>
              <w:t>配制药剂</w:t>
            </w:r>
            <w:r>
              <w:rPr>
                <w:rFonts w:hint="eastAsia"/>
                <w:color w:val="auto"/>
                <w:u w:val="none"/>
                <w:lang w:eastAsia="zh-CN"/>
              </w:rPr>
              <w:t>用水</w:t>
            </w:r>
          </w:p>
        </w:tc>
        <w:tc>
          <w:tcPr>
            <w:tcW w:w="886" w:type="dxa"/>
            <w:noWrap w:val="0"/>
            <w:vAlign w:val="center"/>
          </w:tcPr>
          <w:p>
            <w:pPr>
              <w:pStyle w:val="113"/>
              <w:rPr>
                <w:rFonts w:hint="eastAsia" w:eastAsia="宋体"/>
                <w:color w:val="auto"/>
                <w:u w:val="none"/>
                <w:lang w:eastAsia="zh-CN"/>
              </w:rPr>
            </w:pPr>
            <w:r>
              <w:rPr>
                <w:rFonts w:hint="eastAsia"/>
                <w:color w:val="auto"/>
                <w:u w:val="none"/>
                <w:lang w:val="en-US" w:eastAsia="zh-CN"/>
              </w:rPr>
              <w:t>/</w:t>
            </w:r>
          </w:p>
        </w:tc>
        <w:tc>
          <w:tcPr>
            <w:tcW w:w="971" w:type="dxa"/>
            <w:noWrap w:val="0"/>
            <w:vAlign w:val="center"/>
          </w:tcPr>
          <w:p>
            <w:pPr>
              <w:pStyle w:val="113"/>
              <w:rPr>
                <w:rFonts w:hint="default" w:eastAsia="宋体"/>
                <w:color w:val="auto"/>
                <w:u w:val="none"/>
                <w:lang w:val="en-US" w:eastAsia="zh-CN"/>
              </w:rPr>
            </w:pPr>
            <w:r>
              <w:rPr>
                <w:rFonts w:hint="eastAsia"/>
                <w:color w:val="auto"/>
                <w:u w:val="none"/>
                <w:lang w:val="en-US" w:eastAsia="zh-CN"/>
              </w:rPr>
              <w:t>0.75m</w:t>
            </w:r>
            <w:r>
              <w:rPr>
                <w:rFonts w:hint="eastAsia"/>
                <w:color w:val="auto"/>
                <w:u w:val="none"/>
                <w:vertAlign w:val="superscript"/>
                <w:lang w:val="en-US" w:eastAsia="zh-CN"/>
              </w:rPr>
              <w:t>3</w:t>
            </w:r>
            <w:r>
              <w:rPr>
                <w:rFonts w:hint="eastAsia"/>
                <w:color w:val="auto"/>
                <w:u w:val="none"/>
                <w:lang w:val="en-US" w:eastAsia="zh-CN"/>
              </w:rPr>
              <w:t>/d</w:t>
            </w:r>
          </w:p>
        </w:tc>
        <w:tc>
          <w:tcPr>
            <w:tcW w:w="1346" w:type="dxa"/>
            <w:noWrap w:val="0"/>
            <w:vAlign w:val="center"/>
          </w:tcPr>
          <w:p>
            <w:pPr>
              <w:pStyle w:val="113"/>
              <w:rPr>
                <w:rFonts w:hint="default" w:eastAsia="宋体"/>
                <w:color w:val="auto"/>
                <w:u w:val="none"/>
                <w:lang w:val="en-US" w:eastAsia="zh-CN"/>
              </w:rPr>
            </w:pPr>
            <w:r>
              <w:rPr>
                <w:rFonts w:hint="eastAsia"/>
                <w:color w:val="auto"/>
                <w:u w:val="none"/>
                <w:lang w:val="en-US" w:eastAsia="zh-CN"/>
              </w:rPr>
              <w:t>0.75</w:t>
            </w:r>
          </w:p>
        </w:tc>
        <w:tc>
          <w:tcPr>
            <w:tcW w:w="978" w:type="dxa"/>
            <w:noWrap w:val="0"/>
            <w:vAlign w:val="center"/>
          </w:tcPr>
          <w:p>
            <w:pPr>
              <w:pStyle w:val="113"/>
              <w:rPr>
                <w:rFonts w:hint="default" w:eastAsia="宋体"/>
                <w:color w:val="auto"/>
                <w:u w:val="none"/>
                <w:lang w:val="en-US" w:eastAsia="zh-CN"/>
              </w:rPr>
            </w:pPr>
            <w:r>
              <w:rPr>
                <w:rFonts w:hint="eastAsia"/>
                <w:color w:val="auto"/>
                <w:u w:val="none"/>
                <w:lang w:val="en-US" w:eastAsia="zh-CN"/>
              </w:rPr>
              <w:t>365</w:t>
            </w:r>
          </w:p>
        </w:tc>
        <w:tc>
          <w:tcPr>
            <w:tcW w:w="905" w:type="dxa"/>
            <w:noWrap w:val="0"/>
            <w:vAlign w:val="center"/>
          </w:tcPr>
          <w:p>
            <w:pPr>
              <w:pStyle w:val="113"/>
              <w:rPr>
                <w:rFonts w:hint="default" w:eastAsia="宋体"/>
                <w:color w:val="auto"/>
                <w:u w:val="none"/>
                <w:lang w:val="en-US" w:eastAsia="zh-CN"/>
              </w:rPr>
            </w:pPr>
            <w:r>
              <w:rPr>
                <w:rFonts w:hint="eastAsia"/>
                <w:color w:val="auto"/>
                <w:u w:val="none"/>
                <w:lang w:val="en-US" w:eastAsia="zh-CN"/>
              </w:rPr>
              <w:t>273.7500</w:t>
            </w:r>
          </w:p>
        </w:tc>
        <w:tc>
          <w:tcPr>
            <w:tcW w:w="905" w:type="dxa"/>
            <w:noWrap w:val="0"/>
            <w:vAlign w:val="center"/>
          </w:tcPr>
          <w:p>
            <w:pPr>
              <w:pStyle w:val="113"/>
              <w:ind w:firstLine="0" w:firstLineChars="0"/>
              <w:rPr>
                <w:rFonts w:hint="default"/>
                <w:color w:val="auto"/>
                <w:u w:val="none"/>
                <w:lang w:val="en-US" w:eastAsia="zh-CN"/>
              </w:rPr>
            </w:pPr>
            <w:r>
              <w:rPr>
                <w:rFonts w:hint="eastAsia"/>
                <w:color w:val="auto"/>
                <w:u w:val="none"/>
                <w:lang w:val="en-US" w:eastAsia="zh-CN"/>
              </w:rPr>
              <w:t>0.75</w:t>
            </w:r>
          </w:p>
        </w:tc>
        <w:tc>
          <w:tcPr>
            <w:tcW w:w="905" w:type="dxa"/>
            <w:noWrap w:val="0"/>
            <w:vAlign w:val="center"/>
          </w:tcPr>
          <w:p>
            <w:pPr>
              <w:pStyle w:val="113"/>
              <w:ind w:firstLine="0" w:firstLineChars="0"/>
              <w:rPr>
                <w:rFonts w:hint="default"/>
                <w:color w:val="auto"/>
                <w:u w:val="none"/>
                <w:lang w:val="en-US" w:eastAsia="zh-CN"/>
              </w:rPr>
            </w:pPr>
            <w:r>
              <w:rPr>
                <w:rFonts w:hint="eastAsia"/>
                <w:color w:val="auto"/>
                <w:u w:val="none"/>
                <w:lang w:val="en-US" w:eastAsia="zh-CN"/>
              </w:rPr>
              <w:t>273.7500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27" w:type="dxa"/>
            <w:noWrap w:val="0"/>
            <w:vAlign w:val="center"/>
          </w:tcPr>
          <w:p>
            <w:pPr>
              <w:pStyle w:val="113"/>
              <w:rPr>
                <w:color w:val="auto"/>
                <w:u w:val="none"/>
              </w:rPr>
            </w:pPr>
            <w:r>
              <w:rPr>
                <w:rFonts w:hint="eastAsia"/>
                <w:color w:val="auto"/>
                <w:u w:val="none"/>
              </w:rPr>
              <w:t>3</w:t>
            </w:r>
          </w:p>
        </w:tc>
        <w:tc>
          <w:tcPr>
            <w:tcW w:w="1735" w:type="dxa"/>
            <w:noWrap w:val="0"/>
            <w:vAlign w:val="center"/>
          </w:tcPr>
          <w:p>
            <w:pPr>
              <w:pStyle w:val="113"/>
              <w:rPr>
                <w:rFonts w:hint="eastAsia" w:eastAsia="宋体"/>
                <w:color w:val="auto"/>
                <w:u w:val="none"/>
                <w:lang w:eastAsia="zh-CN"/>
              </w:rPr>
            </w:pPr>
            <w:r>
              <w:rPr>
                <w:rFonts w:hint="eastAsia" w:cs="Times New Roman"/>
                <w:color w:val="auto"/>
                <w:kern w:val="0"/>
                <w:szCs w:val="20"/>
                <w:u w:val="none"/>
                <w:lang w:eastAsia="zh-CN"/>
              </w:rPr>
              <w:t>设备冲洗用水</w:t>
            </w:r>
          </w:p>
        </w:tc>
        <w:tc>
          <w:tcPr>
            <w:tcW w:w="886" w:type="dxa"/>
            <w:noWrap w:val="0"/>
            <w:vAlign w:val="center"/>
          </w:tcPr>
          <w:p>
            <w:pPr>
              <w:pStyle w:val="113"/>
              <w:rPr>
                <w:rFonts w:hint="eastAsia" w:eastAsia="宋体"/>
                <w:color w:val="auto"/>
                <w:u w:val="none"/>
                <w:lang w:eastAsia="zh-CN"/>
              </w:rPr>
            </w:pPr>
            <w:r>
              <w:rPr>
                <w:rFonts w:hint="eastAsia"/>
                <w:color w:val="auto"/>
                <w:u w:val="none"/>
                <w:lang w:val="en-US" w:eastAsia="zh-CN"/>
              </w:rPr>
              <w:t>/</w:t>
            </w:r>
          </w:p>
        </w:tc>
        <w:tc>
          <w:tcPr>
            <w:tcW w:w="971" w:type="dxa"/>
            <w:noWrap w:val="0"/>
            <w:vAlign w:val="center"/>
          </w:tcPr>
          <w:p>
            <w:pPr>
              <w:pStyle w:val="113"/>
              <w:rPr>
                <w:rFonts w:hint="default" w:eastAsia="宋体"/>
                <w:color w:val="auto"/>
                <w:u w:val="none"/>
                <w:lang w:val="en-US" w:eastAsia="zh-CN"/>
              </w:rPr>
            </w:pPr>
            <w:r>
              <w:rPr>
                <w:rFonts w:hint="eastAsia"/>
                <w:color w:val="auto"/>
                <w:u w:val="none"/>
                <w:lang w:val="en-US" w:eastAsia="zh-CN"/>
              </w:rPr>
              <w:t>1.00m</w:t>
            </w:r>
            <w:r>
              <w:rPr>
                <w:rFonts w:hint="eastAsia"/>
                <w:color w:val="auto"/>
                <w:u w:val="none"/>
                <w:vertAlign w:val="superscript"/>
                <w:lang w:val="en-US" w:eastAsia="zh-CN"/>
              </w:rPr>
              <w:t>3</w:t>
            </w:r>
            <w:r>
              <w:rPr>
                <w:rFonts w:hint="eastAsia"/>
                <w:color w:val="auto"/>
                <w:u w:val="none"/>
                <w:lang w:val="en-US" w:eastAsia="zh-CN"/>
              </w:rPr>
              <w:t>/d</w:t>
            </w:r>
          </w:p>
        </w:tc>
        <w:tc>
          <w:tcPr>
            <w:tcW w:w="1346" w:type="dxa"/>
            <w:noWrap w:val="0"/>
            <w:vAlign w:val="center"/>
          </w:tcPr>
          <w:p>
            <w:pPr>
              <w:pStyle w:val="113"/>
              <w:rPr>
                <w:rFonts w:hint="default" w:eastAsia="宋体"/>
                <w:color w:val="auto"/>
                <w:u w:val="none"/>
                <w:lang w:val="en-US" w:eastAsia="zh-CN"/>
              </w:rPr>
            </w:pPr>
            <w:r>
              <w:rPr>
                <w:rFonts w:hint="eastAsia"/>
                <w:color w:val="auto"/>
                <w:u w:val="none"/>
                <w:lang w:val="en-US" w:eastAsia="zh-CN"/>
              </w:rPr>
              <w:t>1.00</w:t>
            </w:r>
          </w:p>
        </w:tc>
        <w:tc>
          <w:tcPr>
            <w:tcW w:w="978" w:type="dxa"/>
            <w:noWrap w:val="0"/>
            <w:vAlign w:val="center"/>
          </w:tcPr>
          <w:p>
            <w:pPr>
              <w:pStyle w:val="113"/>
              <w:rPr>
                <w:rFonts w:hint="default" w:eastAsia="宋体"/>
                <w:color w:val="auto"/>
                <w:u w:val="none"/>
                <w:lang w:val="en-US" w:eastAsia="zh-CN"/>
              </w:rPr>
            </w:pPr>
            <w:r>
              <w:rPr>
                <w:rFonts w:hint="eastAsia"/>
                <w:color w:val="auto"/>
                <w:u w:val="none"/>
                <w:lang w:val="en-US" w:eastAsia="zh-CN"/>
              </w:rPr>
              <w:t>365</w:t>
            </w:r>
          </w:p>
        </w:tc>
        <w:tc>
          <w:tcPr>
            <w:tcW w:w="905" w:type="dxa"/>
            <w:noWrap w:val="0"/>
            <w:vAlign w:val="center"/>
          </w:tcPr>
          <w:p>
            <w:pPr>
              <w:pStyle w:val="113"/>
              <w:rPr>
                <w:rFonts w:hint="default" w:eastAsia="宋体"/>
                <w:color w:val="auto"/>
                <w:u w:val="none"/>
                <w:lang w:val="en-US" w:eastAsia="zh-CN"/>
              </w:rPr>
            </w:pPr>
            <w:r>
              <w:rPr>
                <w:rFonts w:hint="eastAsia"/>
                <w:color w:val="auto"/>
                <w:u w:val="none"/>
                <w:lang w:val="en-US" w:eastAsia="zh-CN"/>
              </w:rPr>
              <w:t>365.0000</w:t>
            </w:r>
          </w:p>
        </w:tc>
        <w:tc>
          <w:tcPr>
            <w:tcW w:w="905" w:type="dxa"/>
            <w:noWrap w:val="0"/>
            <w:vAlign w:val="center"/>
          </w:tcPr>
          <w:p>
            <w:pPr>
              <w:pStyle w:val="113"/>
              <w:rPr>
                <w:rFonts w:hint="default"/>
                <w:color w:val="auto"/>
                <w:u w:val="none"/>
                <w:lang w:val="en-US" w:eastAsia="zh-CN"/>
              </w:rPr>
            </w:pPr>
            <w:r>
              <w:rPr>
                <w:rFonts w:hint="eastAsia"/>
                <w:color w:val="auto"/>
                <w:u w:val="none"/>
                <w:lang w:val="en-US" w:eastAsia="zh-CN"/>
              </w:rPr>
              <w:t>0.85</w:t>
            </w:r>
          </w:p>
        </w:tc>
        <w:tc>
          <w:tcPr>
            <w:tcW w:w="905" w:type="dxa"/>
            <w:noWrap w:val="0"/>
            <w:vAlign w:val="center"/>
          </w:tcPr>
          <w:p>
            <w:pPr>
              <w:pStyle w:val="113"/>
              <w:ind w:firstLine="0" w:firstLineChars="0"/>
              <w:rPr>
                <w:rFonts w:hint="default" w:ascii="Times New Roman" w:hAnsi="Times New Roman" w:eastAsia="宋体"/>
                <w:color w:val="auto"/>
                <w:kern w:val="0"/>
                <w:sz w:val="21"/>
                <w:szCs w:val="20"/>
                <w:u w:val="none"/>
                <w:lang w:val="en-US" w:eastAsia="zh-CN" w:bidi="ar-SA"/>
              </w:rPr>
            </w:pPr>
            <w:r>
              <w:rPr>
                <w:rFonts w:hint="eastAsia" w:eastAsia="宋体"/>
                <w:color w:val="auto"/>
                <w:kern w:val="0"/>
                <w:sz w:val="21"/>
                <w:szCs w:val="20"/>
                <w:u w:val="none"/>
                <w:lang w:val="en-US" w:eastAsia="zh-CN" w:bidi="ar-SA"/>
              </w:rPr>
              <w:t>310.2500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27" w:type="dxa"/>
            <w:noWrap w:val="0"/>
            <w:vAlign w:val="center"/>
          </w:tcPr>
          <w:p>
            <w:pPr>
              <w:pStyle w:val="113"/>
              <w:rPr>
                <w:rFonts w:hint="eastAsia" w:eastAsia="宋体"/>
                <w:color w:val="auto"/>
                <w:u w:val="none"/>
                <w:lang w:val="en-US" w:eastAsia="zh-CN"/>
              </w:rPr>
            </w:pPr>
            <w:r>
              <w:rPr>
                <w:rFonts w:hint="eastAsia"/>
                <w:color w:val="auto"/>
                <w:u w:val="none"/>
                <w:lang w:val="en-US" w:eastAsia="zh-CN"/>
              </w:rPr>
              <w:t>4</w:t>
            </w:r>
          </w:p>
        </w:tc>
        <w:tc>
          <w:tcPr>
            <w:tcW w:w="1735" w:type="dxa"/>
            <w:noWrap w:val="0"/>
            <w:vAlign w:val="center"/>
          </w:tcPr>
          <w:p>
            <w:pPr>
              <w:pStyle w:val="113"/>
              <w:rPr>
                <w:rFonts w:hint="eastAsia" w:cs="Times New Roman"/>
                <w:color w:val="auto"/>
                <w:kern w:val="0"/>
                <w:szCs w:val="20"/>
                <w:u w:val="none"/>
                <w:lang w:eastAsia="zh-CN"/>
              </w:rPr>
            </w:pPr>
            <w:r>
              <w:rPr>
                <w:rFonts w:hint="eastAsia" w:cs="Times New Roman"/>
                <w:color w:val="auto"/>
                <w:kern w:val="0"/>
                <w:szCs w:val="20"/>
                <w:u w:val="none"/>
                <w:lang w:eastAsia="zh-CN"/>
              </w:rPr>
              <w:t>污泥脱水分离的污水</w:t>
            </w:r>
          </w:p>
        </w:tc>
        <w:tc>
          <w:tcPr>
            <w:tcW w:w="886" w:type="dxa"/>
            <w:noWrap w:val="0"/>
            <w:vAlign w:val="center"/>
          </w:tcPr>
          <w:p>
            <w:pPr>
              <w:pStyle w:val="113"/>
              <w:rPr>
                <w:rFonts w:hint="default"/>
                <w:color w:val="auto"/>
                <w:u w:val="none"/>
                <w:lang w:val="en-US" w:eastAsia="zh-CN"/>
              </w:rPr>
            </w:pPr>
            <w:r>
              <w:rPr>
                <w:rFonts w:hint="eastAsia"/>
                <w:color w:val="auto"/>
                <w:u w:val="none"/>
                <w:lang w:val="en-US" w:eastAsia="zh-CN"/>
              </w:rPr>
              <w:t>/</w:t>
            </w:r>
          </w:p>
        </w:tc>
        <w:tc>
          <w:tcPr>
            <w:tcW w:w="971" w:type="dxa"/>
            <w:noWrap w:val="0"/>
            <w:vAlign w:val="center"/>
          </w:tcPr>
          <w:p>
            <w:pPr>
              <w:pStyle w:val="113"/>
              <w:rPr>
                <w:rFonts w:hint="eastAsia"/>
                <w:color w:val="auto"/>
                <w:u w:val="none"/>
                <w:lang w:val="en-US" w:eastAsia="zh-CN"/>
              </w:rPr>
            </w:pPr>
          </w:p>
        </w:tc>
        <w:tc>
          <w:tcPr>
            <w:tcW w:w="1346" w:type="dxa"/>
            <w:noWrap w:val="0"/>
            <w:vAlign w:val="center"/>
          </w:tcPr>
          <w:p>
            <w:pPr>
              <w:pStyle w:val="113"/>
              <w:rPr>
                <w:rFonts w:hint="eastAsia"/>
                <w:color w:val="auto"/>
                <w:u w:val="none"/>
                <w:lang w:val="en-US" w:eastAsia="zh-CN"/>
              </w:rPr>
            </w:pPr>
          </w:p>
        </w:tc>
        <w:tc>
          <w:tcPr>
            <w:tcW w:w="978" w:type="dxa"/>
            <w:noWrap w:val="0"/>
            <w:vAlign w:val="center"/>
          </w:tcPr>
          <w:p>
            <w:pPr>
              <w:pStyle w:val="113"/>
              <w:rPr>
                <w:rFonts w:hint="eastAsia"/>
                <w:color w:val="auto"/>
                <w:u w:val="none"/>
                <w:lang w:val="en-US" w:eastAsia="zh-CN"/>
              </w:rPr>
            </w:pPr>
          </w:p>
        </w:tc>
        <w:tc>
          <w:tcPr>
            <w:tcW w:w="905" w:type="dxa"/>
            <w:noWrap w:val="0"/>
            <w:vAlign w:val="center"/>
          </w:tcPr>
          <w:p>
            <w:pPr>
              <w:pStyle w:val="113"/>
              <w:rPr>
                <w:rFonts w:hint="eastAsia"/>
                <w:color w:val="auto"/>
                <w:u w:val="none"/>
                <w:lang w:val="en-US" w:eastAsia="zh-CN"/>
              </w:rPr>
            </w:pPr>
          </w:p>
        </w:tc>
        <w:tc>
          <w:tcPr>
            <w:tcW w:w="905" w:type="dxa"/>
            <w:noWrap w:val="0"/>
            <w:vAlign w:val="center"/>
          </w:tcPr>
          <w:p>
            <w:pPr>
              <w:pStyle w:val="113"/>
              <w:rPr>
                <w:rFonts w:hint="default"/>
                <w:color w:val="auto"/>
                <w:u w:val="none"/>
                <w:lang w:val="en-US" w:eastAsia="zh-CN"/>
              </w:rPr>
            </w:pPr>
          </w:p>
        </w:tc>
        <w:tc>
          <w:tcPr>
            <w:tcW w:w="905" w:type="dxa"/>
            <w:noWrap w:val="0"/>
            <w:vAlign w:val="center"/>
          </w:tcPr>
          <w:p>
            <w:pPr>
              <w:pStyle w:val="113"/>
              <w:rPr>
                <w:rFonts w:hint="eastAsia"/>
                <w:color w:val="auto"/>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27" w:type="dxa"/>
            <w:noWrap w:val="0"/>
            <w:vAlign w:val="center"/>
          </w:tcPr>
          <w:p>
            <w:pPr>
              <w:pStyle w:val="113"/>
              <w:rPr>
                <w:rFonts w:hint="default"/>
                <w:color w:val="auto"/>
                <w:u w:val="none"/>
                <w:lang w:val="en-US" w:eastAsia="zh-CN"/>
              </w:rPr>
            </w:pPr>
            <w:r>
              <w:rPr>
                <w:rFonts w:hint="eastAsia"/>
                <w:color w:val="auto"/>
                <w:u w:val="none"/>
                <w:lang w:val="en-US" w:eastAsia="zh-CN"/>
              </w:rPr>
              <w:t>5</w:t>
            </w:r>
          </w:p>
        </w:tc>
        <w:tc>
          <w:tcPr>
            <w:tcW w:w="1735" w:type="dxa"/>
            <w:noWrap w:val="0"/>
            <w:vAlign w:val="center"/>
          </w:tcPr>
          <w:p>
            <w:pPr>
              <w:pStyle w:val="113"/>
              <w:rPr>
                <w:rFonts w:hint="eastAsia" w:cs="Times New Roman"/>
                <w:color w:val="auto"/>
                <w:kern w:val="0"/>
                <w:szCs w:val="20"/>
                <w:u w:val="none"/>
                <w:lang w:eastAsia="zh-CN"/>
              </w:rPr>
            </w:pPr>
            <w:r>
              <w:rPr>
                <w:rFonts w:hint="eastAsia" w:cs="Times New Roman"/>
                <w:color w:val="auto"/>
                <w:kern w:val="0"/>
                <w:szCs w:val="20"/>
                <w:u w:val="none"/>
                <w:lang w:eastAsia="zh-CN"/>
              </w:rPr>
              <w:t>猛洞河产业园企事业污水</w:t>
            </w:r>
          </w:p>
        </w:tc>
        <w:tc>
          <w:tcPr>
            <w:tcW w:w="886" w:type="dxa"/>
            <w:noWrap w:val="0"/>
            <w:vAlign w:val="center"/>
          </w:tcPr>
          <w:p>
            <w:pPr>
              <w:pStyle w:val="113"/>
              <w:rPr>
                <w:rFonts w:hint="eastAsia"/>
                <w:color w:val="auto"/>
                <w:u w:val="none"/>
                <w:lang w:val="en-US" w:eastAsia="zh-CN"/>
              </w:rPr>
            </w:pPr>
            <w:r>
              <w:rPr>
                <w:rFonts w:hint="eastAsia"/>
                <w:color w:val="auto"/>
                <w:u w:val="none"/>
                <w:lang w:val="en-US" w:eastAsia="zh-CN"/>
              </w:rPr>
              <w:t>COD、BOD、氨氮、悬浮物、总氮、总磷、石油类、动植物油</w:t>
            </w:r>
          </w:p>
        </w:tc>
        <w:tc>
          <w:tcPr>
            <w:tcW w:w="971" w:type="dxa"/>
            <w:noWrap w:val="0"/>
            <w:vAlign w:val="center"/>
          </w:tcPr>
          <w:p>
            <w:pPr>
              <w:pStyle w:val="113"/>
              <w:rPr>
                <w:rFonts w:hint="eastAsia"/>
                <w:color w:val="auto"/>
                <w:u w:val="none"/>
                <w:lang w:val="en-US" w:eastAsia="zh-CN"/>
              </w:rPr>
            </w:pPr>
          </w:p>
        </w:tc>
        <w:tc>
          <w:tcPr>
            <w:tcW w:w="1346" w:type="dxa"/>
            <w:noWrap w:val="0"/>
            <w:vAlign w:val="center"/>
          </w:tcPr>
          <w:p>
            <w:pPr>
              <w:pStyle w:val="113"/>
              <w:rPr>
                <w:rFonts w:hint="eastAsia"/>
                <w:color w:val="auto"/>
                <w:u w:val="none"/>
                <w:lang w:val="en-US" w:eastAsia="zh-CN"/>
              </w:rPr>
            </w:pPr>
          </w:p>
        </w:tc>
        <w:tc>
          <w:tcPr>
            <w:tcW w:w="978" w:type="dxa"/>
            <w:noWrap w:val="0"/>
            <w:vAlign w:val="center"/>
          </w:tcPr>
          <w:p>
            <w:pPr>
              <w:pStyle w:val="113"/>
              <w:rPr>
                <w:rFonts w:hint="eastAsia"/>
                <w:color w:val="auto"/>
                <w:u w:val="none"/>
                <w:lang w:val="en-US" w:eastAsia="zh-CN"/>
              </w:rPr>
            </w:pPr>
          </w:p>
        </w:tc>
        <w:tc>
          <w:tcPr>
            <w:tcW w:w="905" w:type="dxa"/>
            <w:noWrap w:val="0"/>
            <w:vAlign w:val="center"/>
          </w:tcPr>
          <w:p>
            <w:pPr>
              <w:pStyle w:val="113"/>
              <w:rPr>
                <w:rFonts w:hint="eastAsia"/>
                <w:color w:val="auto"/>
                <w:u w:val="none"/>
                <w:lang w:val="en-US" w:eastAsia="zh-CN"/>
              </w:rPr>
            </w:pPr>
          </w:p>
        </w:tc>
        <w:tc>
          <w:tcPr>
            <w:tcW w:w="905" w:type="dxa"/>
            <w:noWrap w:val="0"/>
            <w:vAlign w:val="center"/>
          </w:tcPr>
          <w:p>
            <w:pPr>
              <w:pStyle w:val="113"/>
              <w:rPr>
                <w:rFonts w:hint="default"/>
                <w:color w:val="auto"/>
                <w:u w:val="none"/>
                <w:lang w:val="en-US" w:eastAsia="zh-CN"/>
              </w:rPr>
            </w:pPr>
            <w:r>
              <w:rPr>
                <w:rFonts w:hint="eastAsia"/>
                <w:color w:val="auto"/>
                <w:u w:val="none"/>
                <w:lang w:val="en-US" w:eastAsia="zh-CN"/>
              </w:rPr>
              <w:t>1000</w:t>
            </w:r>
          </w:p>
        </w:tc>
        <w:tc>
          <w:tcPr>
            <w:tcW w:w="905" w:type="dxa"/>
            <w:noWrap w:val="0"/>
            <w:vAlign w:val="center"/>
          </w:tcPr>
          <w:p>
            <w:pPr>
              <w:pStyle w:val="113"/>
              <w:rPr>
                <w:rFonts w:hint="default"/>
                <w:color w:val="auto"/>
                <w:u w:val="none"/>
                <w:lang w:val="en-US" w:eastAsia="zh-CN"/>
              </w:rPr>
            </w:pPr>
            <w:r>
              <w:rPr>
                <w:rFonts w:hint="eastAsia"/>
                <w:color w:val="auto"/>
                <w:u w:val="none"/>
                <w:lang w:val="en-US" w:eastAsia="zh-CN"/>
              </w:rPr>
              <w:t>36.5万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27" w:type="dxa"/>
            <w:noWrap w:val="0"/>
            <w:vAlign w:val="center"/>
          </w:tcPr>
          <w:p>
            <w:pPr>
              <w:pStyle w:val="113"/>
              <w:rPr>
                <w:rFonts w:hint="default"/>
                <w:color w:val="auto"/>
                <w:u w:val="none"/>
                <w:lang w:val="en-US" w:eastAsia="zh-CN"/>
              </w:rPr>
            </w:pPr>
            <w:r>
              <w:rPr>
                <w:rFonts w:hint="eastAsia"/>
                <w:color w:val="auto"/>
                <w:u w:val="none"/>
                <w:lang w:val="en-US" w:eastAsia="zh-CN"/>
              </w:rPr>
              <w:t>6</w:t>
            </w:r>
          </w:p>
        </w:tc>
        <w:tc>
          <w:tcPr>
            <w:tcW w:w="1735" w:type="dxa"/>
            <w:noWrap w:val="0"/>
            <w:vAlign w:val="center"/>
          </w:tcPr>
          <w:p>
            <w:pPr>
              <w:pStyle w:val="113"/>
              <w:rPr>
                <w:rFonts w:hint="eastAsia" w:cs="Times New Roman"/>
                <w:color w:val="auto"/>
                <w:kern w:val="0"/>
                <w:szCs w:val="20"/>
                <w:u w:val="none"/>
                <w:lang w:eastAsia="zh-CN"/>
              </w:rPr>
            </w:pPr>
            <w:r>
              <w:rPr>
                <w:rFonts w:hint="eastAsia" w:cs="Times New Roman"/>
                <w:color w:val="auto"/>
                <w:kern w:val="0"/>
                <w:szCs w:val="20"/>
                <w:u w:val="none"/>
                <w:lang w:eastAsia="zh-CN"/>
              </w:rPr>
              <w:t>合计（按设计规模计算）</w:t>
            </w:r>
          </w:p>
        </w:tc>
        <w:tc>
          <w:tcPr>
            <w:tcW w:w="886" w:type="dxa"/>
            <w:noWrap w:val="0"/>
            <w:vAlign w:val="center"/>
          </w:tcPr>
          <w:p>
            <w:pPr>
              <w:pStyle w:val="113"/>
              <w:rPr>
                <w:rFonts w:hint="eastAsia"/>
                <w:color w:val="auto"/>
                <w:u w:val="none"/>
                <w:lang w:val="en-US" w:eastAsia="zh-CN"/>
              </w:rPr>
            </w:pPr>
          </w:p>
        </w:tc>
        <w:tc>
          <w:tcPr>
            <w:tcW w:w="971" w:type="dxa"/>
            <w:noWrap w:val="0"/>
            <w:vAlign w:val="center"/>
          </w:tcPr>
          <w:p>
            <w:pPr>
              <w:pStyle w:val="113"/>
              <w:rPr>
                <w:rFonts w:hint="eastAsia"/>
                <w:color w:val="auto"/>
                <w:u w:val="none"/>
                <w:lang w:val="en-US" w:eastAsia="zh-CN"/>
              </w:rPr>
            </w:pPr>
          </w:p>
        </w:tc>
        <w:tc>
          <w:tcPr>
            <w:tcW w:w="1346" w:type="dxa"/>
            <w:noWrap w:val="0"/>
            <w:vAlign w:val="center"/>
          </w:tcPr>
          <w:p>
            <w:pPr>
              <w:pStyle w:val="113"/>
              <w:rPr>
                <w:rFonts w:hint="eastAsia"/>
                <w:color w:val="auto"/>
                <w:u w:val="none"/>
                <w:lang w:val="en-US" w:eastAsia="zh-CN"/>
              </w:rPr>
            </w:pPr>
          </w:p>
        </w:tc>
        <w:tc>
          <w:tcPr>
            <w:tcW w:w="978" w:type="dxa"/>
            <w:noWrap w:val="0"/>
            <w:vAlign w:val="center"/>
          </w:tcPr>
          <w:p>
            <w:pPr>
              <w:pStyle w:val="113"/>
              <w:rPr>
                <w:rFonts w:hint="eastAsia"/>
                <w:color w:val="auto"/>
                <w:u w:val="none"/>
                <w:lang w:val="en-US" w:eastAsia="zh-CN"/>
              </w:rPr>
            </w:pPr>
          </w:p>
        </w:tc>
        <w:tc>
          <w:tcPr>
            <w:tcW w:w="905" w:type="dxa"/>
            <w:noWrap w:val="0"/>
            <w:vAlign w:val="center"/>
          </w:tcPr>
          <w:p>
            <w:pPr>
              <w:pStyle w:val="113"/>
              <w:rPr>
                <w:rFonts w:hint="eastAsia"/>
                <w:color w:val="auto"/>
                <w:u w:val="none"/>
                <w:lang w:val="en-US" w:eastAsia="zh-CN"/>
              </w:rPr>
            </w:pPr>
          </w:p>
        </w:tc>
        <w:tc>
          <w:tcPr>
            <w:tcW w:w="905" w:type="dxa"/>
            <w:noWrap w:val="0"/>
            <w:vAlign w:val="center"/>
          </w:tcPr>
          <w:p>
            <w:pPr>
              <w:pStyle w:val="113"/>
              <w:rPr>
                <w:rFonts w:hint="default"/>
                <w:color w:val="auto"/>
                <w:u w:val="none"/>
                <w:lang w:val="en-US" w:eastAsia="zh-CN"/>
              </w:rPr>
            </w:pPr>
            <w:r>
              <w:rPr>
                <w:rFonts w:hint="eastAsia"/>
                <w:color w:val="auto"/>
                <w:u w:val="none"/>
                <w:lang w:val="en-US" w:eastAsia="zh-CN"/>
              </w:rPr>
              <w:t>1000</w:t>
            </w:r>
          </w:p>
        </w:tc>
        <w:tc>
          <w:tcPr>
            <w:tcW w:w="905" w:type="dxa"/>
            <w:noWrap w:val="0"/>
            <w:vAlign w:val="center"/>
          </w:tcPr>
          <w:p>
            <w:pPr>
              <w:pStyle w:val="113"/>
              <w:rPr>
                <w:rFonts w:hint="default"/>
                <w:color w:val="auto"/>
                <w:u w:val="none"/>
                <w:lang w:val="en-US" w:eastAsia="zh-CN"/>
              </w:rPr>
            </w:pPr>
            <w:r>
              <w:rPr>
                <w:rFonts w:hint="eastAsia"/>
                <w:color w:val="auto"/>
                <w:u w:val="none"/>
                <w:lang w:val="en-US" w:eastAsia="zh-CN"/>
              </w:rPr>
              <w:t>36.6万</w:t>
            </w:r>
          </w:p>
        </w:tc>
      </w:tr>
    </w:tbl>
    <w:p>
      <w:pPr>
        <w:ind w:firstLine="480"/>
        <w:jc w:val="both"/>
        <w:rPr>
          <w:rFonts w:hint="eastAsia"/>
          <w:color w:val="auto"/>
          <w:u w:val="single"/>
        </w:rPr>
      </w:pPr>
      <w:r>
        <w:rPr>
          <w:rFonts w:hint="eastAsia"/>
          <w:color w:val="auto"/>
          <w:u w:val="single"/>
        </w:rPr>
        <w:t>项目</w:t>
      </w:r>
      <w:r>
        <w:rPr>
          <w:rFonts w:hint="eastAsia"/>
          <w:color w:val="auto"/>
          <w:u w:val="single"/>
          <w:lang w:eastAsia="zh-CN"/>
        </w:rPr>
        <w:t>二期工程建成后，湖南永顺经济开发区猛洞河产业园污水处理厂总的</w:t>
      </w:r>
      <w:r>
        <w:rPr>
          <w:rFonts w:hint="eastAsia"/>
          <w:color w:val="auto"/>
          <w:u w:val="single"/>
        </w:rPr>
        <w:t>水平衡图见下图。</w:t>
      </w:r>
    </w:p>
    <w:p>
      <w:pPr>
        <w:ind w:firstLine="0" w:firstLineChars="0"/>
        <w:rPr>
          <w:rFonts w:hint="eastAsia" w:eastAsia="宋体"/>
          <w:color w:val="auto"/>
          <w:u w:val="none"/>
          <w:lang w:eastAsia="zh-CN"/>
        </w:rPr>
      </w:pPr>
      <w:r>
        <w:rPr>
          <w:rFonts w:hint="eastAsia" w:eastAsia="宋体"/>
          <w:color w:val="auto"/>
          <w:u w:val="none"/>
          <w:lang w:eastAsia="zh-CN"/>
        </w:rPr>
        <w:drawing>
          <wp:inline distT="0" distB="0" distL="114300" distR="114300">
            <wp:extent cx="5236845" cy="2400935"/>
            <wp:effectExtent l="0" t="0" r="0" b="0"/>
            <wp:docPr id="55"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CB019B1-382A-4266-B25C-5B523AA43C14-2" descr="wps"/>
                    <pic:cNvPicPr>
                      <a:picLocks noChangeAspect="1"/>
                    </pic:cNvPicPr>
                  </pic:nvPicPr>
                  <pic:blipFill>
                    <a:blip r:embed="rId41"/>
                    <a:stretch>
                      <a:fillRect/>
                    </a:stretch>
                  </pic:blipFill>
                  <pic:spPr>
                    <a:xfrm>
                      <a:off x="0" y="0"/>
                      <a:ext cx="5236845" cy="2400935"/>
                    </a:xfrm>
                    <a:prstGeom prst="rect">
                      <a:avLst/>
                    </a:prstGeom>
                  </pic:spPr>
                </pic:pic>
              </a:graphicData>
            </a:graphic>
          </wp:inline>
        </w:drawing>
      </w:r>
    </w:p>
    <w:p>
      <w:pPr>
        <w:ind w:firstLine="0" w:firstLineChars="0"/>
        <w:jc w:val="center"/>
        <w:rPr>
          <w:rFonts w:hint="eastAsia"/>
          <w:color w:val="auto"/>
          <w:u w:val="none"/>
        </w:rPr>
      </w:pPr>
      <w:r>
        <w:rPr>
          <w:rFonts w:hint="eastAsia"/>
          <w:b/>
          <w:color w:val="auto"/>
          <w:kern w:val="0"/>
          <w:sz w:val="21"/>
          <w:szCs w:val="21"/>
          <w:u w:val="none"/>
        </w:rPr>
        <w:t>图2.4</w:t>
      </w:r>
      <w:r>
        <w:rPr>
          <w:b/>
          <w:color w:val="auto"/>
          <w:kern w:val="0"/>
          <w:sz w:val="21"/>
          <w:szCs w:val="21"/>
          <w:u w:val="none"/>
        </w:rPr>
        <w:t>-</w:t>
      </w:r>
      <w:r>
        <w:rPr>
          <w:rFonts w:hint="eastAsia"/>
          <w:b/>
          <w:color w:val="auto"/>
          <w:kern w:val="0"/>
          <w:sz w:val="21"/>
          <w:szCs w:val="21"/>
          <w:u w:val="none"/>
          <w:lang w:val="en-US" w:eastAsia="zh-CN"/>
        </w:rPr>
        <w:t>5</w:t>
      </w:r>
      <w:r>
        <w:rPr>
          <w:b/>
          <w:color w:val="auto"/>
          <w:kern w:val="0"/>
          <w:sz w:val="21"/>
          <w:szCs w:val="21"/>
          <w:u w:val="none"/>
        </w:rPr>
        <w:t xml:space="preserve">  </w:t>
      </w:r>
      <w:r>
        <w:rPr>
          <w:rFonts w:hint="eastAsia"/>
          <w:b/>
          <w:color w:val="auto"/>
          <w:kern w:val="0"/>
          <w:sz w:val="21"/>
          <w:szCs w:val="21"/>
          <w:u w:val="none"/>
        </w:rPr>
        <w:t>项目</w:t>
      </w:r>
      <w:r>
        <w:rPr>
          <w:rFonts w:hint="eastAsia"/>
          <w:b/>
          <w:color w:val="auto"/>
          <w:kern w:val="0"/>
          <w:sz w:val="21"/>
          <w:szCs w:val="21"/>
          <w:u w:val="none"/>
          <w:lang w:eastAsia="zh-CN"/>
        </w:rPr>
        <w:t>二期工程建成后总的</w:t>
      </w:r>
      <w:r>
        <w:rPr>
          <w:rFonts w:hint="eastAsia"/>
          <w:b/>
          <w:color w:val="auto"/>
          <w:kern w:val="0"/>
          <w:sz w:val="21"/>
          <w:szCs w:val="21"/>
          <w:u w:val="none"/>
        </w:rPr>
        <w:t>水平衡图 （t</w:t>
      </w:r>
      <w:r>
        <w:rPr>
          <w:b/>
          <w:color w:val="auto"/>
          <w:kern w:val="0"/>
          <w:sz w:val="21"/>
          <w:szCs w:val="21"/>
          <w:u w:val="none"/>
        </w:rPr>
        <w:t>/d</w:t>
      </w:r>
      <w:r>
        <w:rPr>
          <w:rFonts w:hint="eastAsia"/>
          <w:b/>
          <w:color w:val="auto"/>
          <w:kern w:val="0"/>
          <w:sz w:val="21"/>
          <w:szCs w:val="21"/>
          <w:u w:val="none"/>
        </w:rPr>
        <w:t>）</w:t>
      </w:r>
    </w:p>
    <w:p>
      <w:pPr>
        <w:pStyle w:val="69"/>
        <w:rPr>
          <w:rFonts w:hint="eastAsia"/>
          <w:color w:val="auto"/>
          <w:u w:val="single"/>
        </w:rPr>
      </w:pPr>
      <w:r>
        <w:rPr>
          <w:rFonts w:hint="eastAsia"/>
          <w:color w:val="auto"/>
          <w:u w:val="single"/>
        </w:rPr>
        <w:t>2</w:t>
      </w:r>
      <w:r>
        <w:rPr>
          <w:color w:val="auto"/>
          <w:u w:val="single"/>
        </w:rPr>
        <w:t>.</w:t>
      </w:r>
      <w:r>
        <w:rPr>
          <w:rFonts w:hint="eastAsia"/>
          <w:color w:val="auto"/>
          <w:u w:val="single"/>
        </w:rPr>
        <w:t>4</w:t>
      </w:r>
      <w:r>
        <w:rPr>
          <w:color w:val="auto"/>
          <w:u w:val="single"/>
        </w:rPr>
        <w:t>.</w:t>
      </w:r>
      <w:r>
        <w:rPr>
          <w:rFonts w:hint="eastAsia"/>
          <w:color w:val="auto"/>
          <w:u w:val="single"/>
          <w:lang w:val="en-US" w:eastAsia="zh-CN"/>
        </w:rPr>
        <w:t>6</w:t>
      </w:r>
      <w:r>
        <w:rPr>
          <w:color w:val="auto"/>
          <w:u w:val="single"/>
        </w:rPr>
        <w:t>.2大气污染源</w:t>
      </w:r>
    </w:p>
    <w:p>
      <w:pPr>
        <w:ind w:firstLine="482"/>
        <w:rPr>
          <w:rFonts w:hint="eastAsia"/>
          <w:b/>
          <w:color w:val="auto"/>
          <w:kern w:val="0"/>
          <w:u w:val="single"/>
        </w:rPr>
      </w:pPr>
      <w:r>
        <w:rPr>
          <w:rFonts w:hint="eastAsia"/>
          <w:b/>
          <w:color w:val="auto"/>
          <w:kern w:val="0"/>
          <w:u w:val="single"/>
        </w:rPr>
        <w:t>（1）污水处理厂工程</w:t>
      </w:r>
    </w:p>
    <w:p>
      <w:pPr>
        <w:pStyle w:val="3"/>
        <w:ind w:left="0" w:firstLine="480" w:firstLineChars="200"/>
        <w:jc w:val="both"/>
        <w:rPr>
          <w:rFonts w:hint="eastAsia" w:ascii="Times New Roman" w:hAnsi="Times New Roman" w:cs="Times New Roman"/>
          <w:color w:val="auto"/>
          <w:u w:val="single"/>
          <w:lang w:eastAsia="zh-CN"/>
        </w:rPr>
      </w:pPr>
      <w:r>
        <w:rPr>
          <w:rFonts w:ascii="Times New Roman" w:hAnsi="Times New Roman" w:cs="Times New Roman"/>
          <w:color w:val="auto"/>
          <w:u w:val="single"/>
          <w:lang w:eastAsia="zh-CN"/>
        </w:rPr>
        <w:t>1）项目厂区恶臭气体排放</w:t>
      </w:r>
    </w:p>
    <w:p>
      <w:pPr>
        <w:ind w:firstLine="480"/>
        <w:jc w:val="both"/>
        <w:rPr>
          <w:rFonts w:hint="eastAsia"/>
          <w:color w:val="auto"/>
          <w:u w:val="single"/>
        </w:rPr>
      </w:pPr>
      <w:r>
        <w:rPr>
          <w:rFonts w:hint="eastAsia"/>
          <w:color w:val="auto"/>
          <w:u w:val="single"/>
          <w:lang w:eastAsia="zh-CN"/>
        </w:rPr>
        <w:t>二期工程污水构建筑物依托一期工程，仅增加三套</w:t>
      </w:r>
      <w:r>
        <w:rPr>
          <w:rFonts w:hint="eastAsia"/>
          <w:color w:val="auto"/>
          <w:u w:val="single"/>
          <w:lang w:val="en-US" w:eastAsia="zh-CN"/>
        </w:rPr>
        <w:t>MBR一体化设备，其污水处理工艺与一期工程一致，为</w:t>
      </w:r>
      <w:r>
        <w:rPr>
          <w:rFonts w:hint="eastAsia"/>
          <w:color w:val="auto"/>
          <w:kern w:val="0"/>
          <w:u w:val="single"/>
        </w:rPr>
        <w:t>“</w:t>
      </w:r>
      <w:r>
        <w:rPr>
          <w:rFonts w:hint="eastAsia"/>
          <w:color w:val="auto"/>
          <w:u w:val="single"/>
          <w:lang w:eastAsia="zh-CN"/>
        </w:rPr>
        <w:t>格栅渠</w:t>
      </w:r>
      <w:r>
        <w:rPr>
          <w:rFonts w:hint="eastAsia"/>
          <w:color w:val="auto"/>
          <w:u w:val="single"/>
        </w:rPr>
        <w:t>→沉砂池→调节池→</w:t>
      </w:r>
      <w:r>
        <w:rPr>
          <w:rFonts w:hint="eastAsia"/>
          <w:color w:val="auto"/>
          <w:u w:val="single"/>
          <w:lang w:val="en-US" w:eastAsia="zh-CN"/>
        </w:rPr>
        <w:t>MBR一体化设备</w:t>
      </w:r>
      <w:r>
        <w:rPr>
          <w:rFonts w:hint="eastAsia"/>
          <w:color w:val="auto"/>
          <w:u w:val="single"/>
        </w:rPr>
        <w:t>→紫外消毒→</w:t>
      </w:r>
      <w:r>
        <w:rPr>
          <w:rFonts w:hint="eastAsia"/>
          <w:color w:val="auto"/>
          <w:u w:val="single"/>
          <w:lang w:eastAsia="zh-CN"/>
        </w:rPr>
        <w:t>清水池</w:t>
      </w:r>
      <w:r>
        <w:rPr>
          <w:rFonts w:hint="eastAsia"/>
          <w:color w:val="auto"/>
          <w:kern w:val="0"/>
          <w:u w:val="single"/>
        </w:rPr>
        <w:t>”</w:t>
      </w:r>
      <w:r>
        <w:rPr>
          <w:rFonts w:hint="eastAsia"/>
          <w:color w:val="auto"/>
          <w:u w:val="single"/>
        </w:rPr>
        <w:t>工艺，</w:t>
      </w:r>
      <w:r>
        <w:rPr>
          <w:rFonts w:hint="eastAsia"/>
          <w:color w:val="auto"/>
          <w:u w:val="single"/>
          <w:lang w:eastAsia="zh-CN"/>
        </w:rPr>
        <w:t>一期工程已收集</w:t>
      </w:r>
      <w:r>
        <w:rPr>
          <w:rFonts w:hint="eastAsia"/>
          <w:color w:val="000000"/>
          <w:u w:val="single"/>
        </w:rPr>
        <w:t>污水处理构筑物（格栅渠、调节池、沉砂池、污泥池、清水池及膜离线清洗池）</w:t>
      </w:r>
      <w:r>
        <w:rPr>
          <w:rFonts w:hint="eastAsia"/>
          <w:color w:val="000000"/>
          <w:u w:val="single"/>
          <w:lang w:eastAsia="zh-CN"/>
        </w:rPr>
        <w:t>及污泥脱水间的恶臭气体，一期二期共用一套废气处理系统，二期工程仅需收集新增</w:t>
      </w:r>
      <w:r>
        <w:rPr>
          <w:rFonts w:hint="eastAsia"/>
          <w:color w:val="000000"/>
          <w:u w:val="single"/>
          <w:lang w:val="en-US" w:eastAsia="zh-CN"/>
        </w:rPr>
        <w:t>MBR设备的废气，以及对MBR设备周边进行植物液喷洒</w:t>
      </w:r>
      <w:r>
        <w:rPr>
          <w:rFonts w:hint="eastAsia"/>
          <w:color w:val="auto"/>
          <w:u w:val="single"/>
        </w:rPr>
        <w:t>。</w:t>
      </w:r>
    </w:p>
    <w:p>
      <w:pPr>
        <w:ind w:firstLine="480"/>
        <w:jc w:val="both"/>
        <w:rPr>
          <w:rFonts w:hint="default" w:ascii="Times New Roman" w:hAnsi="Times New Roman" w:eastAsia="宋体" w:cs="Times New Roman"/>
          <w:color w:val="auto"/>
          <w:u w:val="single"/>
        </w:rPr>
      </w:pPr>
      <w:r>
        <w:rPr>
          <w:rFonts w:hint="eastAsia"/>
          <w:u w:val="single"/>
        </w:rPr>
        <w:t>根据美国EPA（环境保护署）对污水处理厂恶臭污染物产生情况的研究，每去</w:t>
      </w:r>
      <w:r>
        <w:rPr>
          <w:rFonts w:hint="default" w:ascii="Times New Roman" w:hAnsi="Times New Roman" w:eastAsia="宋体" w:cs="Times New Roman"/>
          <w:u w:val="single"/>
        </w:rPr>
        <w:t>除1gBOD</w:t>
      </w:r>
      <w:r>
        <w:rPr>
          <w:rFonts w:hint="default" w:ascii="Times New Roman" w:hAnsi="Times New Roman" w:eastAsia="宋体" w:cs="Times New Roman"/>
          <w:u w:val="single"/>
          <w:vertAlign w:val="subscript"/>
        </w:rPr>
        <w:t>5</w:t>
      </w:r>
      <w:r>
        <w:rPr>
          <w:rFonts w:hint="default" w:ascii="Times New Roman" w:hAnsi="Times New Roman" w:eastAsia="宋体" w:cs="Times New Roman"/>
          <w:u w:val="single"/>
        </w:rPr>
        <w:t>可产生0.0031g的NH</w:t>
      </w:r>
      <w:r>
        <w:rPr>
          <w:rFonts w:hint="default" w:ascii="Times New Roman" w:hAnsi="Times New Roman" w:eastAsia="宋体" w:cs="Times New Roman"/>
          <w:u w:val="single"/>
          <w:vertAlign w:val="subscript"/>
        </w:rPr>
        <w:t>3</w:t>
      </w:r>
      <w:r>
        <w:rPr>
          <w:rFonts w:hint="default" w:ascii="Times New Roman" w:hAnsi="Times New Roman" w:eastAsia="宋体" w:cs="Times New Roman"/>
          <w:u w:val="single"/>
        </w:rPr>
        <w:t>、0.00012g的H</w:t>
      </w:r>
      <w:r>
        <w:rPr>
          <w:rFonts w:hint="default" w:ascii="Times New Roman" w:hAnsi="Times New Roman" w:eastAsia="宋体" w:cs="Times New Roman"/>
          <w:u w:val="single"/>
          <w:vertAlign w:val="subscript"/>
        </w:rPr>
        <w:t>2</w:t>
      </w:r>
      <w:r>
        <w:rPr>
          <w:rFonts w:hint="default" w:ascii="Times New Roman" w:hAnsi="Times New Roman" w:eastAsia="宋体" w:cs="Times New Roman"/>
          <w:u w:val="single"/>
        </w:rPr>
        <w:t>S。</w:t>
      </w:r>
    </w:p>
    <w:p>
      <w:pPr>
        <w:ind w:firstLine="480"/>
        <w:jc w:val="both"/>
        <w:rPr>
          <w:color w:val="000000"/>
          <w:u w:val="single"/>
        </w:rPr>
      </w:pPr>
      <w:r>
        <w:rPr>
          <w:rFonts w:hint="eastAsia" w:ascii="Times New Roman" w:hAnsi="Times New Roman" w:eastAsia="宋体" w:cs="Times New Roman"/>
          <w:color w:val="000000"/>
          <w:u w:val="single"/>
          <w:lang w:eastAsia="zh-CN"/>
        </w:rPr>
        <w:t>二期工程建成后处理规模</w:t>
      </w:r>
      <w:r>
        <w:rPr>
          <w:rFonts w:hint="eastAsia" w:ascii="Times New Roman" w:hAnsi="Times New Roman" w:eastAsia="宋体" w:cs="Times New Roman"/>
          <w:u w:val="single"/>
          <w:lang w:eastAsia="zh-CN"/>
        </w:rPr>
        <w:t>达</w:t>
      </w:r>
      <w:r>
        <w:rPr>
          <w:rFonts w:hint="eastAsia" w:ascii="Times New Roman" w:hAnsi="Times New Roman" w:eastAsia="宋体" w:cs="Times New Roman"/>
          <w:u w:val="single"/>
          <w:lang w:val="en-US" w:eastAsia="zh-CN"/>
        </w:rPr>
        <w:t>1000</w:t>
      </w:r>
      <w:r>
        <w:rPr>
          <w:rFonts w:hint="default" w:ascii="Times New Roman" w:hAnsi="Times New Roman" w:eastAsia="宋体" w:cs="Times New Roman"/>
          <w:u w:val="single"/>
        </w:rPr>
        <w:t>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/d，BOD</w:t>
      </w:r>
      <w:r>
        <w:rPr>
          <w:rFonts w:hint="default" w:ascii="Times New Roman" w:hAnsi="Times New Roman" w:eastAsia="宋体" w:cs="Times New Roman"/>
          <w:u w:val="single"/>
          <w:vertAlign w:val="subscript"/>
        </w:rPr>
        <w:t>5</w:t>
      </w:r>
      <w:r>
        <w:rPr>
          <w:rFonts w:hint="default" w:ascii="Times New Roman" w:hAnsi="Times New Roman" w:eastAsia="宋体" w:cs="Times New Roman"/>
          <w:u w:val="single"/>
        </w:rPr>
        <w:t>削减量为</w:t>
      </w:r>
      <w:r>
        <w:rPr>
          <w:rFonts w:hint="eastAsia" w:ascii="Times New Roman" w:hAnsi="Times New Roman" w:eastAsia="宋体" w:cs="Times New Roman"/>
          <w:u w:val="single"/>
          <w:lang w:val="en-US" w:eastAsia="zh-CN"/>
        </w:rPr>
        <w:t>105.85</w:t>
      </w:r>
      <w:r>
        <w:rPr>
          <w:rFonts w:hint="default" w:ascii="Times New Roman" w:hAnsi="Times New Roman" w:eastAsia="宋体" w:cs="Times New Roman"/>
          <w:u w:val="single"/>
        </w:rPr>
        <w:t>t/a，则NH</w:t>
      </w:r>
      <w:r>
        <w:rPr>
          <w:rFonts w:hint="default" w:ascii="Times New Roman" w:hAnsi="Times New Roman" w:eastAsia="宋体" w:cs="Times New Roman"/>
          <w:u w:val="single"/>
          <w:vertAlign w:val="subscript"/>
        </w:rPr>
        <w:t>3</w:t>
      </w:r>
      <w:r>
        <w:rPr>
          <w:rFonts w:hint="default" w:ascii="Times New Roman" w:hAnsi="Times New Roman" w:eastAsia="宋体" w:cs="Times New Roman"/>
          <w:u w:val="single"/>
        </w:rPr>
        <w:t>和H</w:t>
      </w:r>
      <w:r>
        <w:rPr>
          <w:rFonts w:hint="default" w:ascii="Times New Roman" w:hAnsi="Times New Roman" w:eastAsia="宋体" w:cs="Times New Roman"/>
          <w:u w:val="single"/>
          <w:vertAlign w:val="subscript"/>
        </w:rPr>
        <w:t>2</w:t>
      </w:r>
      <w:r>
        <w:rPr>
          <w:rFonts w:hint="default" w:ascii="Times New Roman" w:hAnsi="Times New Roman" w:eastAsia="宋体" w:cs="Times New Roman"/>
          <w:u w:val="single"/>
        </w:rPr>
        <w:t>S产生量分别为</w:t>
      </w:r>
      <w:r>
        <w:rPr>
          <w:rFonts w:hint="eastAsia" w:ascii="Times New Roman" w:hAnsi="Times New Roman" w:eastAsia="宋体" w:cs="Times New Roman"/>
          <w:u w:val="single"/>
          <w:lang w:val="en-US" w:eastAsia="zh-CN"/>
        </w:rPr>
        <w:t>0.196881</w:t>
      </w:r>
      <w:r>
        <w:rPr>
          <w:rFonts w:hint="default" w:ascii="Times New Roman" w:hAnsi="Times New Roman" w:eastAsia="宋体" w:cs="Times New Roman"/>
          <w:u w:val="single"/>
        </w:rPr>
        <w:t>t/a</w:t>
      </w:r>
      <w:r>
        <w:rPr>
          <w:rFonts w:hint="eastAsia" w:ascii="Times New Roman" w:hAnsi="Times New Roman" w:eastAsia="宋体" w:cs="Times New Roman"/>
          <w:u w:val="single"/>
          <w:lang w:eastAsia="zh-CN"/>
        </w:rPr>
        <w:t>、</w:t>
      </w:r>
      <w:r>
        <w:rPr>
          <w:rFonts w:hint="eastAsia" w:ascii="Times New Roman" w:hAnsi="Times New Roman" w:eastAsia="宋体" w:cs="Times New Roman"/>
          <w:u w:val="single"/>
          <w:lang w:val="en-US" w:eastAsia="zh-CN"/>
        </w:rPr>
        <w:t>0.007621</w:t>
      </w:r>
      <w:r>
        <w:rPr>
          <w:rFonts w:hint="default" w:ascii="Times New Roman" w:hAnsi="Times New Roman" w:eastAsia="宋体" w:cs="Times New Roman"/>
          <w:u w:val="single"/>
        </w:rPr>
        <w:t>t/a。</w:t>
      </w:r>
      <w:r>
        <w:rPr>
          <w:rFonts w:hint="eastAsia" w:ascii="Times New Roman" w:hAnsi="Times New Roman" w:eastAsia="宋体" w:cs="Times New Roman"/>
          <w:u w:val="single"/>
          <w:lang w:eastAsia="zh-CN"/>
        </w:rPr>
        <w:t>二期工程</w:t>
      </w:r>
      <w:r>
        <w:rPr>
          <w:rFonts w:hint="eastAsia"/>
          <w:u w:val="single"/>
        </w:rPr>
        <w:t>恶臭污染物产生源强</w:t>
      </w:r>
      <w:r>
        <w:rPr>
          <w:color w:val="000000"/>
          <w:u w:val="single"/>
        </w:rPr>
        <w:t>见下表2</w:t>
      </w:r>
      <w:r>
        <w:rPr>
          <w:rFonts w:hint="eastAsia"/>
          <w:color w:val="000000"/>
          <w:u w:val="single"/>
        </w:rPr>
        <w:t>.4</w:t>
      </w:r>
      <w:r>
        <w:rPr>
          <w:color w:val="000000"/>
          <w:u w:val="single"/>
        </w:rPr>
        <w:t>-</w:t>
      </w:r>
      <w:r>
        <w:rPr>
          <w:rFonts w:hint="eastAsia"/>
          <w:color w:val="000000"/>
          <w:u w:val="single"/>
          <w:lang w:val="en-US" w:eastAsia="zh-CN"/>
        </w:rPr>
        <w:t>15</w:t>
      </w:r>
      <w:r>
        <w:rPr>
          <w:rFonts w:hint="eastAsia"/>
          <w:color w:val="000000"/>
          <w:u w:val="single"/>
        </w:rPr>
        <w:t>。</w:t>
      </w:r>
    </w:p>
    <w:p>
      <w:pPr>
        <w:tabs>
          <w:tab w:val="left" w:pos="915"/>
        </w:tabs>
        <w:ind w:firstLine="422"/>
        <w:jc w:val="center"/>
        <w:rPr>
          <w:rFonts w:hint="eastAsia"/>
          <w:b/>
          <w:color w:val="000000"/>
          <w:kern w:val="0"/>
          <w:sz w:val="21"/>
          <w:szCs w:val="21"/>
          <w:u w:val="single"/>
        </w:rPr>
      </w:pPr>
      <w:r>
        <w:rPr>
          <w:rFonts w:hint="eastAsia"/>
          <w:b/>
          <w:color w:val="000000"/>
          <w:kern w:val="0"/>
          <w:sz w:val="21"/>
          <w:szCs w:val="21"/>
          <w:u w:val="single"/>
        </w:rPr>
        <w:t>表</w:t>
      </w:r>
      <w:r>
        <w:rPr>
          <w:b/>
          <w:color w:val="000000"/>
          <w:kern w:val="0"/>
          <w:sz w:val="21"/>
          <w:szCs w:val="21"/>
          <w:u w:val="single"/>
        </w:rPr>
        <w:t>2</w:t>
      </w:r>
      <w:r>
        <w:rPr>
          <w:rFonts w:hint="eastAsia"/>
          <w:b/>
          <w:color w:val="000000"/>
          <w:kern w:val="0"/>
          <w:sz w:val="21"/>
          <w:szCs w:val="21"/>
          <w:u w:val="single"/>
        </w:rPr>
        <w:t>.4</w:t>
      </w:r>
      <w:r>
        <w:rPr>
          <w:b/>
          <w:color w:val="000000"/>
          <w:kern w:val="0"/>
          <w:sz w:val="21"/>
          <w:szCs w:val="21"/>
          <w:u w:val="single"/>
        </w:rPr>
        <w:t>-</w:t>
      </w:r>
      <w:r>
        <w:rPr>
          <w:rFonts w:hint="eastAsia"/>
          <w:b/>
          <w:color w:val="000000"/>
          <w:kern w:val="0"/>
          <w:sz w:val="21"/>
          <w:szCs w:val="21"/>
          <w:u w:val="single"/>
          <w:lang w:val="en-US" w:eastAsia="zh-CN"/>
        </w:rPr>
        <w:t>15</w:t>
      </w:r>
      <w:r>
        <w:rPr>
          <w:rFonts w:hint="eastAsia"/>
          <w:b/>
          <w:color w:val="000000"/>
          <w:kern w:val="0"/>
          <w:sz w:val="21"/>
          <w:szCs w:val="21"/>
          <w:u w:val="single"/>
        </w:rPr>
        <w:t xml:space="preserve">  </w:t>
      </w:r>
      <w:r>
        <w:rPr>
          <w:rFonts w:hint="eastAsia"/>
          <w:b/>
          <w:color w:val="000000"/>
          <w:kern w:val="0"/>
          <w:sz w:val="21"/>
          <w:szCs w:val="21"/>
          <w:u w:val="single"/>
          <w:lang w:eastAsia="zh-CN"/>
        </w:rPr>
        <w:t>产生</w:t>
      </w:r>
      <w:r>
        <w:rPr>
          <w:rFonts w:hint="eastAsia"/>
          <w:b/>
          <w:color w:val="000000"/>
          <w:kern w:val="0"/>
          <w:sz w:val="21"/>
          <w:szCs w:val="21"/>
          <w:u w:val="single"/>
        </w:rPr>
        <w:t>源强  单位：</w:t>
      </w:r>
      <w:r>
        <w:rPr>
          <w:b/>
          <w:color w:val="000000"/>
          <w:kern w:val="0"/>
          <w:sz w:val="21"/>
          <w:szCs w:val="21"/>
          <w:u w:val="single"/>
        </w:rPr>
        <w:t>kg/h</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2822"/>
        <w:gridCol w:w="2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2" w:type="dxa"/>
            <w:noWrap w:val="0"/>
            <w:vAlign w:val="center"/>
          </w:tcPr>
          <w:p>
            <w:pPr>
              <w:pStyle w:val="73"/>
              <w:rPr>
                <w:rFonts w:hint="default" w:ascii="Times New Roman" w:hAnsi="Times New Roman" w:cs="Times New Roman"/>
                <w:b/>
                <w:bCs/>
                <w:u w:val="single"/>
              </w:rPr>
            </w:pPr>
            <w:r>
              <w:rPr>
                <w:rFonts w:hint="default" w:ascii="Times New Roman" w:hAnsi="Times New Roman" w:cs="Times New Roman"/>
                <w:b/>
                <w:bCs/>
                <w:u w:val="single"/>
              </w:rPr>
              <w:t>污染源</w:t>
            </w:r>
          </w:p>
        </w:tc>
        <w:tc>
          <w:tcPr>
            <w:tcW w:w="2822" w:type="dxa"/>
            <w:noWrap w:val="0"/>
            <w:vAlign w:val="center"/>
          </w:tcPr>
          <w:p>
            <w:pPr>
              <w:pStyle w:val="73"/>
              <w:rPr>
                <w:rFonts w:hint="default" w:ascii="Times New Roman" w:hAnsi="Times New Roman" w:cs="Times New Roman"/>
                <w:b/>
                <w:bCs/>
                <w:u w:val="single"/>
                <w:vertAlign w:val="subscript"/>
              </w:rPr>
            </w:pPr>
            <w:r>
              <w:rPr>
                <w:rFonts w:hint="default" w:ascii="Times New Roman" w:hAnsi="Times New Roman" w:cs="Times New Roman"/>
                <w:b/>
                <w:bCs/>
                <w:u w:val="single"/>
              </w:rPr>
              <w:t>NH</w:t>
            </w:r>
            <w:r>
              <w:rPr>
                <w:rFonts w:hint="default" w:ascii="Times New Roman" w:hAnsi="Times New Roman" w:cs="Times New Roman"/>
                <w:b/>
                <w:bCs/>
                <w:u w:val="single"/>
                <w:vertAlign w:val="subscript"/>
              </w:rPr>
              <w:t>3</w:t>
            </w:r>
          </w:p>
        </w:tc>
        <w:tc>
          <w:tcPr>
            <w:tcW w:w="2822" w:type="dxa"/>
            <w:noWrap w:val="0"/>
            <w:vAlign w:val="center"/>
          </w:tcPr>
          <w:p>
            <w:pPr>
              <w:pStyle w:val="73"/>
              <w:rPr>
                <w:rFonts w:hint="default" w:ascii="Times New Roman" w:hAnsi="Times New Roman" w:cs="Times New Roman"/>
                <w:b/>
                <w:bCs/>
                <w:u w:val="single"/>
              </w:rPr>
            </w:pPr>
            <w:r>
              <w:rPr>
                <w:rFonts w:hint="default" w:ascii="Times New Roman" w:hAnsi="Times New Roman" w:cs="Times New Roman"/>
                <w:b/>
                <w:bCs/>
                <w:u w:val="single"/>
              </w:rPr>
              <w:t>H</w:t>
            </w:r>
            <w:r>
              <w:rPr>
                <w:rFonts w:hint="default" w:ascii="Times New Roman" w:hAnsi="Times New Roman" w:cs="Times New Roman"/>
                <w:b/>
                <w:bCs/>
                <w:u w:val="single"/>
                <w:vertAlign w:val="subscript"/>
              </w:rPr>
              <w:t>2</w:t>
            </w:r>
            <w:r>
              <w:rPr>
                <w:rFonts w:hint="default" w:ascii="Times New Roman" w:hAnsi="Times New Roman" w:cs="Times New Roman"/>
                <w:b/>
                <w:bCs/>
                <w:u w:val="singl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22" w:type="dxa"/>
            <w:noWrap w:val="0"/>
            <w:vAlign w:val="center"/>
          </w:tcPr>
          <w:p>
            <w:pPr>
              <w:pStyle w:val="73"/>
              <w:rPr>
                <w:rFonts w:hint="default" w:ascii="Times New Roman" w:hAnsi="Times New Roman" w:cs="Times New Roman"/>
                <w:u w:val="single"/>
              </w:rPr>
            </w:pPr>
            <w:r>
              <w:rPr>
                <w:rFonts w:hint="default" w:ascii="Times New Roman" w:hAnsi="Times New Roman" w:cs="Times New Roman"/>
                <w:u w:val="single"/>
              </w:rPr>
              <w:t>污水处理构筑物</w:t>
            </w:r>
          </w:p>
        </w:tc>
        <w:tc>
          <w:tcPr>
            <w:tcW w:w="2822" w:type="dxa"/>
            <w:noWrap w:val="0"/>
            <w:vAlign w:val="center"/>
          </w:tcPr>
          <w:p>
            <w:pPr>
              <w:pStyle w:val="73"/>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0.3281351</w:t>
            </w:r>
          </w:p>
        </w:tc>
        <w:tc>
          <w:tcPr>
            <w:tcW w:w="2822" w:type="dxa"/>
            <w:noWrap w:val="0"/>
            <w:vAlign w:val="center"/>
          </w:tcPr>
          <w:p>
            <w:pPr>
              <w:pStyle w:val="73"/>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0.012702</w:t>
            </w:r>
          </w:p>
        </w:tc>
      </w:tr>
    </w:tbl>
    <w:p>
      <w:pPr>
        <w:widowControl w:val="0"/>
        <w:ind w:firstLine="480"/>
        <w:jc w:val="both"/>
        <w:rPr>
          <w:rFonts w:hint="default" w:ascii="Times New Roman" w:hAnsi="Times New Roman" w:cs="Times New Roman"/>
          <w:color w:val="auto"/>
          <w:kern w:val="0"/>
          <w:u w:val="none"/>
        </w:rPr>
      </w:pPr>
      <w:r>
        <w:rPr>
          <w:rFonts w:hint="eastAsia"/>
          <w:kern w:val="0"/>
          <w:u w:val="single"/>
        </w:rPr>
        <w:t>本项目</w:t>
      </w:r>
      <w:r>
        <w:rPr>
          <w:rFonts w:hint="eastAsia"/>
          <w:kern w:val="0"/>
          <w:u w:val="single"/>
          <w:lang w:eastAsia="zh-CN"/>
        </w:rPr>
        <w:t>有组织废气</w:t>
      </w:r>
      <w:r>
        <w:rPr>
          <w:rFonts w:hint="eastAsia"/>
          <w:kern w:val="0"/>
          <w:u w:val="single"/>
        </w:rPr>
        <w:t>除臭系统</w:t>
      </w:r>
      <w:r>
        <w:rPr>
          <w:rFonts w:hint="eastAsia"/>
          <w:kern w:val="0"/>
          <w:u w:val="single"/>
          <w:lang w:eastAsia="zh-CN"/>
        </w:rPr>
        <w:t>全部依托一期工程</w:t>
      </w:r>
      <w:r>
        <w:rPr>
          <w:rFonts w:hint="eastAsia"/>
          <w:kern w:val="0"/>
          <w:u w:val="single"/>
        </w:rPr>
        <w:t>。</w:t>
      </w:r>
      <w:r>
        <w:rPr>
          <w:rFonts w:hint="eastAsia"/>
          <w:color w:val="auto"/>
          <w:kern w:val="0"/>
          <w:u w:val="single"/>
          <w:lang w:eastAsia="zh-CN"/>
        </w:rPr>
        <w:t>无组织废气</w:t>
      </w:r>
      <w:r>
        <w:rPr>
          <w:color w:val="auto"/>
          <w:kern w:val="0"/>
          <w:u w:val="single"/>
        </w:rPr>
        <w:t>采用植物提取液喷雾法除臭</w:t>
      </w:r>
      <w:r>
        <w:rPr>
          <w:rFonts w:hint="eastAsia"/>
          <w:color w:val="auto"/>
          <w:kern w:val="0"/>
          <w:u w:val="single"/>
          <w:lang w:eastAsia="zh-CN"/>
        </w:rPr>
        <w:t>（同一期工程）</w:t>
      </w:r>
      <w:r>
        <w:rPr>
          <w:rFonts w:hint="default" w:ascii="Times New Roman" w:hAnsi="Times New Roman" w:cs="Times New Roman"/>
          <w:color w:val="auto"/>
          <w:kern w:val="0"/>
          <w:u w:val="single"/>
        </w:rPr>
        <w:t>。</w:t>
      </w:r>
    </w:p>
    <w:p>
      <w:pPr>
        <w:tabs>
          <w:tab w:val="left" w:pos="915"/>
        </w:tabs>
        <w:ind w:firstLine="422"/>
        <w:jc w:val="center"/>
        <w:rPr>
          <w:rFonts w:hint="eastAsia"/>
          <w:b/>
          <w:color w:val="auto"/>
          <w:kern w:val="0"/>
          <w:sz w:val="21"/>
          <w:szCs w:val="21"/>
          <w:u w:val="single"/>
        </w:rPr>
      </w:pPr>
      <w:r>
        <w:rPr>
          <w:rFonts w:hint="eastAsia"/>
          <w:b/>
          <w:color w:val="auto"/>
          <w:kern w:val="0"/>
          <w:sz w:val="21"/>
          <w:szCs w:val="21"/>
          <w:u w:val="single"/>
        </w:rPr>
        <w:t>表2.4-</w:t>
      </w:r>
      <w:r>
        <w:rPr>
          <w:rFonts w:hint="eastAsia"/>
          <w:b/>
          <w:color w:val="auto"/>
          <w:kern w:val="0"/>
          <w:sz w:val="21"/>
          <w:szCs w:val="21"/>
          <w:u w:val="single"/>
          <w:lang w:val="en-US" w:eastAsia="zh-CN"/>
        </w:rPr>
        <w:t xml:space="preserve">16  </w:t>
      </w:r>
      <w:r>
        <w:rPr>
          <w:rFonts w:hint="eastAsia"/>
          <w:b/>
          <w:color w:val="auto"/>
          <w:kern w:val="0"/>
          <w:sz w:val="21"/>
          <w:szCs w:val="21"/>
          <w:u w:val="single"/>
        </w:rPr>
        <w:t>主要构筑物恶臭污染物有组织排放源强产排量</w:t>
      </w:r>
    </w:p>
    <w:tbl>
      <w:tblPr>
        <w:tblStyle w:val="36"/>
        <w:tblW w:w="52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625"/>
        <w:gridCol w:w="570"/>
        <w:gridCol w:w="810"/>
        <w:gridCol w:w="705"/>
        <w:gridCol w:w="645"/>
        <w:gridCol w:w="735"/>
        <w:gridCol w:w="735"/>
        <w:gridCol w:w="690"/>
        <w:gridCol w:w="960"/>
        <w:gridCol w:w="75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84" w:type="pct"/>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构建物名称</w:t>
            </w:r>
          </w:p>
        </w:tc>
        <w:tc>
          <w:tcPr>
            <w:tcW w:w="1511" w:type="pct"/>
            <w:gridSpan w:val="4"/>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恶臭污染物产生量</w:t>
            </w:r>
          </w:p>
        </w:tc>
        <w:tc>
          <w:tcPr>
            <w:tcW w:w="359" w:type="pct"/>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除臭措施</w:t>
            </w:r>
          </w:p>
        </w:tc>
        <w:tc>
          <w:tcPr>
            <w:tcW w:w="410" w:type="pct"/>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除臭效率</w:t>
            </w:r>
          </w:p>
        </w:tc>
        <w:tc>
          <w:tcPr>
            <w:tcW w:w="1748" w:type="pct"/>
            <w:gridSpan w:val="4"/>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恶臭污染物排放量</w:t>
            </w:r>
          </w:p>
        </w:tc>
        <w:tc>
          <w:tcPr>
            <w:tcW w:w="384" w:type="pct"/>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84" w:type="pct"/>
            <w:vMerge w:val="continue"/>
            <w:noWrap w:val="0"/>
            <w:vAlign w:val="center"/>
          </w:tcPr>
          <w:p>
            <w:pPr>
              <w:pStyle w:val="73"/>
              <w:rPr>
                <w:rFonts w:hint="default" w:ascii="Times New Roman" w:hAnsi="Times New Roman" w:cs="Times New Roman"/>
                <w:color w:val="auto"/>
                <w:u w:val="single"/>
              </w:rPr>
            </w:pPr>
          </w:p>
        </w:tc>
        <w:tc>
          <w:tcPr>
            <w:tcW w:w="666"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845"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359" w:type="pct"/>
            <w:vMerge w:val="continue"/>
            <w:noWrap w:val="0"/>
            <w:vAlign w:val="center"/>
          </w:tcPr>
          <w:p>
            <w:pPr>
              <w:pStyle w:val="73"/>
              <w:rPr>
                <w:rFonts w:hint="default" w:ascii="Times New Roman" w:hAnsi="Times New Roman" w:cs="Times New Roman"/>
                <w:color w:val="auto"/>
                <w:u w:val="single"/>
              </w:rPr>
            </w:pPr>
          </w:p>
        </w:tc>
        <w:tc>
          <w:tcPr>
            <w:tcW w:w="410" w:type="pct"/>
            <w:vMerge w:val="continue"/>
            <w:noWrap w:val="0"/>
            <w:vAlign w:val="top"/>
          </w:tcPr>
          <w:p>
            <w:pPr>
              <w:pStyle w:val="73"/>
              <w:rPr>
                <w:rFonts w:hint="default" w:ascii="Times New Roman" w:hAnsi="Times New Roman" w:cs="Times New Roman"/>
                <w:color w:val="auto"/>
                <w:u w:val="single"/>
              </w:rPr>
            </w:pPr>
          </w:p>
        </w:tc>
        <w:tc>
          <w:tcPr>
            <w:tcW w:w="794"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953"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384" w:type="pct"/>
            <w:vMerge w:val="continue"/>
            <w:noWrap w:val="0"/>
            <w:vAlign w:val="center"/>
          </w:tcPr>
          <w:p>
            <w:pPr>
              <w:pStyle w:val="73"/>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84" w:type="pct"/>
            <w:vMerge w:val="continue"/>
            <w:noWrap w:val="0"/>
            <w:vAlign w:val="center"/>
          </w:tcPr>
          <w:p>
            <w:pPr>
              <w:pStyle w:val="73"/>
              <w:rPr>
                <w:rFonts w:hint="default" w:ascii="Times New Roman" w:hAnsi="Times New Roman" w:cs="Times New Roman"/>
                <w:color w:val="auto"/>
                <w:u w:val="single"/>
              </w:rPr>
            </w:pPr>
          </w:p>
        </w:tc>
        <w:tc>
          <w:tcPr>
            <w:tcW w:w="348"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317"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t/a</w:t>
            </w:r>
          </w:p>
        </w:tc>
        <w:tc>
          <w:tcPr>
            <w:tcW w:w="451"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393"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t/a</w:t>
            </w:r>
          </w:p>
        </w:tc>
        <w:tc>
          <w:tcPr>
            <w:tcW w:w="359" w:type="pct"/>
            <w:vMerge w:val="continue"/>
            <w:noWrap w:val="0"/>
            <w:vAlign w:val="center"/>
          </w:tcPr>
          <w:p>
            <w:pPr>
              <w:pStyle w:val="73"/>
              <w:rPr>
                <w:rFonts w:hint="default" w:ascii="Times New Roman" w:hAnsi="Times New Roman" w:cs="Times New Roman"/>
                <w:color w:val="auto"/>
                <w:u w:val="single"/>
              </w:rPr>
            </w:pPr>
          </w:p>
        </w:tc>
        <w:tc>
          <w:tcPr>
            <w:tcW w:w="410" w:type="pct"/>
            <w:vMerge w:val="continue"/>
            <w:noWrap w:val="0"/>
            <w:vAlign w:val="top"/>
          </w:tcPr>
          <w:p>
            <w:pPr>
              <w:pStyle w:val="73"/>
              <w:rPr>
                <w:rFonts w:hint="default" w:ascii="Times New Roman" w:hAnsi="Times New Roman" w:cs="Times New Roman"/>
                <w:color w:val="auto"/>
                <w:u w:val="single"/>
              </w:rPr>
            </w:pPr>
          </w:p>
        </w:tc>
        <w:tc>
          <w:tcPr>
            <w:tcW w:w="410"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384"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lang w:val="en-US" w:eastAsia="zh-CN"/>
              </w:rPr>
              <w:t>t/a</w:t>
            </w:r>
          </w:p>
        </w:tc>
        <w:tc>
          <w:tcPr>
            <w:tcW w:w="535"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418"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lang w:val="en-US" w:eastAsia="zh-CN"/>
              </w:rPr>
              <w:t>t/a</w:t>
            </w:r>
          </w:p>
        </w:tc>
        <w:tc>
          <w:tcPr>
            <w:tcW w:w="384" w:type="pct"/>
            <w:vMerge w:val="continue"/>
            <w:noWrap w:val="0"/>
            <w:vAlign w:val="center"/>
          </w:tcPr>
          <w:p>
            <w:pPr>
              <w:pStyle w:val="73"/>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584" w:type="pct"/>
            <w:noWrap w:val="0"/>
            <w:vAlign w:val="center"/>
          </w:tcPr>
          <w:p>
            <w:pPr>
              <w:pStyle w:val="73"/>
              <w:jc w:val="both"/>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lang w:eastAsia="zh-CN"/>
              </w:rPr>
              <w:t>格栅渠、沉砂池、调节池、</w:t>
            </w:r>
            <w:r>
              <w:rPr>
                <w:rFonts w:hint="default" w:ascii="Times New Roman" w:hAnsi="Times New Roman" w:cs="Times New Roman"/>
                <w:color w:val="auto"/>
                <w:u w:val="single"/>
                <w:lang w:val="en-US" w:eastAsia="zh-CN"/>
              </w:rPr>
              <w:t>MBR设备、膜离线清洗池、清水池、</w:t>
            </w:r>
            <w:r>
              <w:rPr>
                <w:rFonts w:hint="default" w:ascii="Times New Roman" w:hAnsi="Times New Roman" w:cs="Times New Roman"/>
                <w:color w:val="auto"/>
                <w:u w:val="single"/>
                <w:lang w:eastAsia="zh-CN"/>
              </w:rPr>
              <w:t>污泥脱水间</w:t>
            </w:r>
          </w:p>
        </w:tc>
        <w:tc>
          <w:tcPr>
            <w:tcW w:w="348"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0.033713</w:t>
            </w:r>
          </w:p>
        </w:tc>
        <w:tc>
          <w:tcPr>
            <w:tcW w:w="317" w:type="pct"/>
            <w:noWrap w:val="0"/>
            <w:vAlign w:val="center"/>
          </w:tcPr>
          <w:p>
            <w:pPr>
              <w:pStyle w:val="73"/>
              <w:rPr>
                <w:rFonts w:hint="default" w:ascii="Times New Roman" w:hAnsi="Times New Roman" w:cs="Times New Roman"/>
                <w:color w:val="auto"/>
                <w:u w:val="single"/>
                <w:lang w:val="en-US" w:eastAsia="zh-CN"/>
              </w:rPr>
            </w:pPr>
            <w:r>
              <w:rPr>
                <w:rFonts w:hint="eastAsia" w:ascii="Times New Roman" w:cs="Times New Roman"/>
                <w:color w:val="auto"/>
                <w:u w:val="single"/>
                <w:lang w:val="en-US" w:eastAsia="zh-CN"/>
              </w:rPr>
              <w:t>0.295322</w:t>
            </w:r>
          </w:p>
        </w:tc>
        <w:tc>
          <w:tcPr>
            <w:tcW w:w="451"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0.001305</w:t>
            </w:r>
          </w:p>
        </w:tc>
        <w:tc>
          <w:tcPr>
            <w:tcW w:w="393"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0.011432</w:t>
            </w:r>
          </w:p>
        </w:tc>
        <w:tc>
          <w:tcPr>
            <w:tcW w:w="359"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活性炭除臭</w:t>
            </w:r>
          </w:p>
        </w:tc>
        <w:tc>
          <w:tcPr>
            <w:tcW w:w="410"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eastAsia="zh-CN"/>
              </w:rPr>
              <w:t>处理效率</w:t>
            </w:r>
            <w:r>
              <w:rPr>
                <w:rFonts w:hint="default" w:ascii="Times New Roman" w:hAnsi="Times New Roman" w:cs="Times New Roman"/>
                <w:color w:val="auto"/>
                <w:u w:val="single"/>
                <w:lang w:val="en-US" w:eastAsia="zh-CN"/>
              </w:rPr>
              <w:t>90%</w:t>
            </w:r>
            <w:r>
              <w:rPr>
                <w:rFonts w:hint="default" w:ascii="Times New Roman" w:hAnsi="Times New Roman" w:cs="Times New Roman"/>
                <w:color w:val="auto"/>
                <w:u w:val="single"/>
                <w:lang w:eastAsia="zh-CN"/>
              </w:rPr>
              <w:t>，风机量为</w:t>
            </w:r>
            <w:r>
              <w:rPr>
                <w:rFonts w:hint="default" w:ascii="Times New Roman" w:hAnsi="Times New Roman" w:cs="Times New Roman"/>
                <w:color w:val="auto"/>
                <w:u w:val="single"/>
                <w:lang w:val="en-US" w:eastAsia="zh-CN"/>
              </w:rPr>
              <w:t>2500m</w:t>
            </w:r>
            <w:r>
              <w:rPr>
                <w:rFonts w:hint="default" w:ascii="Times New Roman" w:hAnsi="Times New Roman" w:cs="Times New Roman"/>
                <w:color w:val="auto"/>
                <w:u w:val="single"/>
                <w:vertAlign w:val="superscript"/>
                <w:lang w:val="en-US" w:eastAsia="zh-CN"/>
              </w:rPr>
              <w:t>3</w:t>
            </w:r>
            <w:r>
              <w:rPr>
                <w:rFonts w:hint="default" w:ascii="Times New Roman" w:hAnsi="Times New Roman" w:cs="Times New Roman"/>
                <w:color w:val="auto"/>
                <w:u w:val="single"/>
                <w:lang w:val="en-US" w:eastAsia="zh-CN"/>
              </w:rPr>
              <w:t>/h</w:t>
            </w:r>
          </w:p>
        </w:tc>
        <w:tc>
          <w:tcPr>
            <w:tcW w:w="410"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0.003371</w:t>
            </w:r>
          </w:p>
        </w:tc>
        <w:tc>
          <w:tcPr>
            <w:tcW w:w="384" w:type="pct"/>
            <w:noWrap w:val="0"/>
            <w:vAlign w:val="center"/>
          </w:tcPr>
          <w:p>
            <w:pPr>
              <w:pStyle w:val="73"/>
              <w:rPr>
                <w:rFonts w:hint="default" w:ascii="Times New Roman" w:hAnsi="Times New Roman" w:cs="Times New Roman"/>
                <w:color w:val="auto"/>
                <w:u w:val="single"/>
                <w:lang w:val="en-US" w:eastAsia="zh-CN"/>
              </w:rPr>
            </w:pPr>
            <w:r>
              <w:rPr>
                <w:rFonts w:hint="eastAsia" w:ascii="Times New Roman" w:cs="Times New Roman"/>
                <w:color w:val="auto"/>
                <w:u w:val="single"/>
                <w:lang w:val="en-US" w:eastAsia="zh-CN"/>
              </w:rPr>
              <w:t>0.029532</w:t>
            </w:r>
          </w:p>
        </w:tc>
        <w:tc>
          <w:tcPr>
            <w:tcW w:w="535"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eastAsia="宋体" w:cs="Times New Roman"/>
                <w:color w:val="auto"/>
                <w:u w:val="single"/>
                <w:lang w:val="en-US" w:eastAsia="zh-CN"/>
              </w:rPr>
              <w:t>0.000131</w:t>
            </w:r>
          </w:p>
        </w:tc>
        <w:tc>
          <w:tcPr>
            <w:tcW w:w="418"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0.001143</w:t>
            </w:r>
          </w:p>
        </w:tc>
        <w:tc>
          <w:tcPr>
            <w:tcW w:w="384"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4"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合计</w:t>
            </w:r>
          </w:p>
        </w:tc>
        <w:tc>
          <w:tcPr>
            <w:tcW w:w="625" w:type="dxa"/>
            <w:noWrap w:val="0"/>
            <w:vAlign w:val="center"/>
          </w:tcPr>
          <w:p>
            <w:pPr>
              <w:pStyle w:val="73"/>
              <w:ind w:firstLine="0" w:firstLineChars="0"/>
              <w:rPr>
                <w:rFonts w:hint="default" w:ascii="Times New Roman" w:hAnsi="Times New Roman" w:cs="Times New Roman"/>
                <w:color w:val="auto"/>
                <w:u w:val="single"/>
              </w:rPr>
            </w:pPr>
            <w:r>
              <w:rPr>
                <w:rFonts w:hint="eastAsia" w:ascii="Times New Roman" w:cs="Times New Roman"/>
                <w:color w:val="auto"/>
                <w:u w:val="single"/>
                <w:lang w:val="en-US" w:eastAsia="zh-CN"/>
              </w:rPr>
              <w:t>0.033713</w:t>
            </w:r>
          </w:p>
        </w:tc>
        <w:tc>
          <w:tcPr>
            <w:tcW w:w="570" w:type="dxa"/>
            <w:noWrap w:val="0"/>
            <w:vAlign w:val="center"/>
          </w:tcPr>
          <w:p>
            <w:pPr>
              <w:pStyle w:val="73"/>
              <w:ind w:firstLine="0" w:firstLineChars="0"/>
              <w:rPr>
                <w:rFonts w:hint="default" w:ascii="Times New Roman" w:hAnsi="Times New Roman" w:cs="Times New Roman"/>
                <w:color w:val="auto"/>
                <w:kern w:val="0"/>
                <w:sz w:val="21"/>
                <w:szCs w:val="21"/>
                <w:u w:val="single"/>
                <w:lang w:val="en-US" w:eastAsia="zh-CN" w:bidi="ar-SA"/>
              </w:rPr>
            </w:pPr>
            <w:r>
              <w:rPr>
                <w:rFonts w:hint="eastAsia" w:ascii="Times New Roman" w:cs="Times New Roman"/>
                <w:color w:val="auto"/>
                <w:u w:val="single"/>
                <w:lang w:val="en-US" w:eastAsia="zh-CN"/>
              </w:rPr>
              <w:t>0.295322</w:t>
            </w:r>
          </w:p>
        </w:tc>
        <w:tc>
          <w:tcPr>
            <w:tcW w:w="81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cs="Times New Roman"/>
                <w:color w:val="auto"/>
                <w:u w:val="single"/>
                <w:lang w:val="en-US" w:eastAsia="zh-CN"/>
              </w:rPr>
              <w:t>0.001305</w:t>
            </w:r>
          </w:p>
        </w:tc>
        <w:tc>
          <w:tcPr>
            <w:tcW w:w="705"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cs="Times New Roman"/>
                <w:color w:val="auto"/>
                <w:u w:val="single"/>
                <w:lang w:val="en-US" w:eastAsia="zh-CN"/>
              </w:rPr>
              <w:t>0.011432</w:t>
            </w:r>
          </w:p>
        </w:tc>
        <w:tc>
          <w:tcPr>
            <w:tcW w:w="359"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w:t>
            </w:r>
          </w:p>
        </w:tc>
        <w:tc>
          <w:tcPr>
            <w:tcW w:w="410" w:type="pct"/>
            <w:noWrap w:val="0"/>
            <w:vAlign w:val="top"/>
          </w:tcPr>
          <w:p>
            <w:pPr>
              <w:pStyle w:val="73"/>
              <w:rPr>
                <w:rFonts w:hint="default" w:ascii="Times New Roman" w:hAnsi="Times New Roman" w:eastAsia="宋体" w:cs="Times New Roman"/>
                <w:color w:val="auto"/>
                <w:u w:val="single"/>
                <w:lang w:val="en-US" w:eastAsia="zh-CN"/>
              </w:rPr>
            </w:pPr>
          </w:p>
        </w:tc>
        <w:tc>
          <w:tcPr>
            <w:tcW w:w="735" w:type="dxa"/>
            <w:noWrap w:val="0"/>
            <w:vAlign w:val="center"/>
          </w:tcPr>
          <w:p>
            <w:pPr>
              <w:pStyle w:val="73"/>
              <w:ind w:firstLine="0" w:firstLineChars="0"/>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0.003371</w:t>
            </w:r>
          </w:p>
        </w:tc>
        <w:tc>
          <w:tcPr>
            <w:tcW w:w="690" w:type="dxa"/>
            <w:noWrap w:val="0"/>
            <w:vAlign w:val="center"/>
          </w:tcPr>
          <w:p>
            <w:pPr>
              <w:pStyle w:val="73"/>
              <w:ind w:firstLine="0" w:firstLineChars="0"/>
              <w:rPr>
                <w:rFonts w:hint="default" w:ascii="Times New Roman" w:hAnsi="Times New Roman" w:cs="Times New Roman"/>
                <w:color w:val="auto"/>
                <w:kern w:val="0"/>
                <w:sz w:val="21"/>
                <w:szCs w:val="21"/>
                <w:u w:val="single"/>
                <w:lang w:val="en-US" w:eastAsia="zh-CN" w:bidi="ar-SA"/>
              </w:rPr>
            </w:pPr>
            <w:r>
              <w:rPr>
                <w:rFonts w:hint="eastAsia" w:ascii="Times New Roman" w:cs="Times New Roman"/>
                <w:color w:val="auto"/>
                <w:u w:val="single"/>
                <w:lang w:val="en-US" w:eastAsia="zh-CN"/>
              </w:rPr>
              <w:t>0.029532</w:t>
            </w:r>
          </w:p>
        </w:tc>
        <w:tc>
          <w:tcPr>
            <w:tcW w:w="96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eastAsia="宋体" w:cs="Times New Roman"/>
                <w:color w:val="auto"/>
                <w:u w:val="single"/>
                <w:lang w:val="en-US" w:eastAsia="zh-CN"/>
              </w:rPr>
              <w:t>0.000131</w:t>
            </w:r>
          </w:p>
        </w:tc>
        <w:tc>
          <w:tcPr>
            <w:tcW w:w="75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cs="Times New Roman"/>
                <w:color w:val="auto"/>
                <w:u w:val="single"/>
                <w:lang w:val="en-US" w:eastAsia="zh-CN"/>
              </w:rPr>
              <w:t>0.001143</w:t>
            </w:r>
          </w:p>
        </w:tc>
        <w:tc>
          <w:tcPr>
            <w:tcW w:w="384" w:type="pct"/>
            <w:vMerge w:val="continue"/>
            <w:noWrap w:val="0"/>
            <w:vAlign w:val="center"/>
          </w:tcPr>
          <w:p>
            <w:pPr>
              <w:pStyle w:val="73"/>
              <w:rPr>
                <w:rFonts w:hint="default" w:ascii="Times New Roman" w:hAnsi="Times New Roman" w:cs="Times New Roman"/>
                <w:color w:val="auto"/>
                <w:u w:val="single"/>
              </w:rPr>
            </w:pPr>
          </w:p>
        </w:tc>
      </w:tr>
    </w:tbl>
    <w:p>
      <w:pPr>
        <w:tabs>
          <w:tab w:val="left" w:pos="915"/>
        </w:tabs>
        <w:ind w:firstLine="422"/>
        <w:jc w:val="center"/>
        <w:rPr>
          <w:color w:val="auto"/>
          <w:u w:val="single"/>
        </w:rPr>
      </w:pPr>
      <w:r>
        <w:rPr>
          <w:rFonts w:hint="eastAsia"/>
          <w:b/>
          <w:color w:val="auto"/>
          <w:kern w:val="0"/>
          <w:sz w:val="21"/>
          <w:szCs w:val="21"/>
          <w:u w:val="single"/>
        </w:rPr>
        <w:t>表2.4 -</w:t>
      </w:r>
      <w:r>
        <w:rPr>
          <w:rFonts w:hint="eastAsia"/>
          <w:b/>
          <w:color w:val="auto"/>
          <w:kern w:val="0"/>
          <w:sz w:val="21"/>
          <w:szCs w:val="21"/>
          <w:u w:val="single"/>
          <w:lang w:val="en-US" w:eastAsia="zh-CN"/>
        </w:rPr>
        <w:t xml:space="preserve">17  </w:t>
      </w:r>
      <w:r>
        <w:rPr>
          <w:rFonts w:hint="eastAsia"/>
          <w:b/>
          <w:color w:val="auto"/>
          <w:kern w:val="0"/>
          <w:sz w:val="21"/>
          <w:szCs w:val="21"/>
          <w:u w:val="single"/>
        </w:rPr>
        <w:t>主要构筑物恶臭污染物无组织排放源强产排量</w:t>
      </w:r>
    </w:p>
    <w:tbl>
      <w:tblPr>
        <w:tblStyle w:val="36"/>
        <w:tblW w:w="53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625"/>
        <w:gridCol w:w="570"/>
        <w:gridCol w:w="810"/>
        <w:gridCol w:w="705"/>
        <w:gridCol w:w="645"/>
        <w:gridCol w:w="735"/>
        <w:gridCol w:w="735"/>
        <w:gridCol w:w="690"/>
        <w:gridCol w:w="960"/>
        <w:gridCol w:w="75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29" w:type="pct"/>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构建物名称</w:t>
            </w:r>
          </w:p>
        </w:tc>
        <w:tc>
          <w:tcPr>
            <w:tcW w:w="1496" w:type="pct"/>
            <w:gridSpan w:val="4"/>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恶臭污染物产生量</w:t>
            </w:r>
          </w:p>
        </w:tc>
        <w:tc>
          <w:tcPr>
            <w:tcW w:w="356" w:type="pct"/>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除臭措施</w:t>
            </w:r>
          </w:p>
        </w:tc>
        <w:tc>
          <w:tcPr>
            <w:tcW w:w="405" w:type="pct"/>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除臭效率</w:t>
            </w:r>
          </w:p>
        </w:tc>
        <w:tc>
          <w:tcPr>
            <w:tcW w:w="1730" w:type="pct"/>
            <w:gridSpan w:val="4"/>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恶臭污染物排放量</w:t>
            </w:r>
          </w:p>
        </w:tc>
        <w:tc>
          <w:tcPr>
            <w:tcW w:w="380" w:type="pct"/>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29" w:type="pct"/>
            <w:vMerge w:val="continue"/>
            <w:noWrap w:val="0"/>
            <w:vAlign w:val="center"/>
          </w:tcPr>
          <w:p>
            <w:pPr>
              <w:pStyle w:val="73"/>
              <w:rPr>
                <w:rFonts w:hint="default" w:ascii="Times New Roman" w:hAnsi="Times New Roman" w:cs="Times New Roman"/>
                <w:color w:val="auto"/>
                <w:u w:val="single"/>
              </w:rPr>
            </w:pPr>
          </w:p>
        </w:tc>
        <w:tc>
          <w:tcPr>
            <w:tcW w:w="659"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836"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356" w:type="pct"/>
            <w:vMerge w:val="continue"/>
            <w:noWrap w:val="0"/>
            <w:vAlign w:val="center"/>
          </w:tcPr>
          <w:p>
            <w:pPr>
              <w:pStyle w:val="73"/>
              <w:rPr>
                <w:rFonts w:hint="default" w:ascii="Times New Roman" w:hAnsi="Times New Roman" w:cs="Times New Roman"/>
                <w:color w:val="auto"/>
                <w:u w:val="single"/>
              </w:rPr>
            </w:pPr>
          </w:p>
        </w:tc>
        <w:tc>
          <w:tcPr>
            <w:tcW w:w="405" w:type="pct"/>
            <w:vMerge w:val="continue"/>
            <w:noWrap w:val="0"/>
            <w:vAlign w:val="top"/>
          </w:tcPr>
          <w:p>
            <w:pPr>
              <w:pStyle w:val="73"/>
              <w:rPr>
                <w:rFonts w:hint="default" w:ascii="Times New Roman" w:hAnsi="Times New Roman" w:cs="Times New Roman"/>
                <w:color w:val="auto"/>
                <w:u w:val="single"/>
              </w:rPr>
            </w:pPr>
          </w:p>
        </w:tc>
        <w:tc>
          <w:tcPr>
            <w:tcW w:w="786"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944"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380" w:type="pct"/>
            <w:vMerge w:val="continue"/>
            <w:noWrap w:val="0"/>
            <w:vAlign w:val="center"/>
          </w:tcPr>
          <w:p>
            <w:pPr>
              <w:pStyle w:val="73"/>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29" w:type="pct"/>
            <w:vMerge w:val="continue"/>
            <w:noWrap w:val="0"/>
            <w:vAlign w:val="center"/>
          </w:tcPr>
          <w:p>
            <w:pPr>
              <w:pStyle w:val="73"/>
              <w:rPr>
                <w:rFonts w:hint="default" w:ascii="Times New Roman" w:hAnsi="Times New Roman" w:cs="Times New Roman"/>
                <w:color w:val="auto"/>
                <w:u w:val="single"/>
              </w:rPr>
            </w:pPr>
          </w:p>
        </w:tc>
        <w:tc>
          <w:tcPr>
            <w:tcW w:w="345"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314"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t/a</w:t>
            </w:r>
          </w:p>
        </w:tc>
        <w:tc>
          <w:tcPr>
            <w:tcW w:w="447"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389"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t/a</w:t>
            </w:r>
          </w:p>
        </w:tc>
        <w:tc>
          <w:tcPr>
            <w:tcW w:w="356" w:type="pct"/>
            <w:vMerge w:val="continue"/>
            <w:noWrap w:val="0"/>
            <w:vAlign w:val="center"/>
          </w:tcPr>
          <w:p>
            <w:pPr>
              <w:pStyle w:val="73"/>
              <w:rPr>
                <w:rFonts w:hint="default" w:ascii="Times New Roman" w:hAnsi="Times New Roman" w:cs="Times New Roman"/>
                <w:color w:val="auto"/>
                <w:u w:val="single"/>
              </w:rPr>
            </w:pPr>
          </w:p>
        </w:tc>
        <w:tc>
          <w:tcPr>
            <w:tcW w:w="405" w:type="pct"/>
            <w:vMerge w:val="continue"/>
            <w:noWrap w:val="0"/>
            <w:vAlign w:val="top"/>
          </w:tcPr>
          <w:p>
            <w:pPr>
              <w:pStyle w:val="73"/>
              <w:rPr>
                <w:rFonts w:hint="default" w:ascii="Times New Roman" w:hAnsi="Times New Roman" w:cs="Times New Roman"/>
                <w:color w:val="auto"/>
                <w:u w:val="single"/>
              </w:rPr>
            </w:pPr>
          </w:p>
        </w:tc>
        <w:tc>
          <w:tcPr>
            <w:tcW w:w="405"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380"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lang w:val="en-US" w:eastAsia="zh-CN"/>
              </w:rPr>
              <w:t>t/a</w:t>
            </w:r>
          </w:p>
        </w:tc>
        <w:tc>
          <w:tcPr>
            <w:tcW w:w="530"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414"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lang w:val="en-US" w:eastAsia="zh-CN"/>
              </w:rPr>
              <w:t>t/a</w:t>
            </w:r>
          </w:p>
        </w:tc>
        <w:tc>
          <w:tcPr>
            <w:tcW w:w="380" w:type="pct"/>
            <w:vMerge w:val="continue"/>
            <w:noWrap w:val="0"/>
            <w:vAlign w:val="center"/>
          </w:tcPr>
          <w:p>
            <w:pPr>
              <w:pStyle w:val="73"/>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629" w:type="pct"/>
            <w:noWrap w:val="0"/>
            <w:vAlign w:val="center"/>
          </w:tcPr>
          <w:p>
            <w:pPr>
              <w:pStyle w:val="73"/>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lang w:eastAsia="zh-CN"/>
              </w:rPr>
              <w:t>格栅渠、沉砂池、调节池、</w:t>
            </w:r>
            <w:r>
              <w:rPr>
                <w:rFonts w:hint="default" w:ascii="Times New Roman" w:hAnsi="Times New Roman" w:cs="Times New Roman"/>
                <w:color w:val="auto"/>
                <w:u w:val="single"/>
                <w:lang w:val="en-US" w:eastAsia="zh-CN"/>
              </w:rPr>
              <w:t>MBR设备、膜离线清洗池、清水池、</w:t>
            </w:r>
            <w:r>
              <w:rPr>
                <w:rFonts w:hint="default" w:ascii="Times New Roman" w:hAnsi="Times New Roman" w:cs="Times New Roman"/>
                <w:color w:val="auto"/>
                <w:u w:val="single"/>
                <w:lang w:eastAsia="zh-CN"/>
              </w:rPr>
              <w:t>污泥脱水间</w:t>
            </w:r>
          </w:p>
        </w:tc>
        <w:tc>
          <w:tcPr>
            <w:tcW w:w="345"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0.003746</w:t>
            </w:r>
          </w:p>
        </w:tc>
        <w:tc>
          <w:tcPr>
            <w:tcW w:w="314" w:type="pct"/>
            <w:noWrap w:val="0"/>
            <w:vAlign w:val="center"/>
          </w:tcPr>
          <w:p>
            <w:pPr>
              <w:pStyle w:val="73"/>
              <w:rPr>
                <w:rFonts w:hint="default" w:ascii="Times New Roman" w:hAnsi="Times New Roman" w:cs="Times New Roman"/>
                <w:color w:val="auto"/>
                <w:u w:val="single"/>
                <w:lang w:val="en-US" w:eastAsia="zh-CN"/>
              </w:rPr>
            </w:pPr>
            <w:r>
              <w:rPr>
                <w:rFonts w:hint="eastAsia" w:ascii="Times New Roman" w:cs="Times New Roman"/>
                <w:color w:val="auto"/>
                <w:u w:val="single"/>
                <w:lang w:val="en-US" w:eastAsia="zh-CN"/>
              </w:rPr>
              <w:t>0.032814</w:t>
            </w:r>
          </w:p>
        </w:tc>
        <w:tc>
          <w:tcPr>
            <w:tcW w:w="447"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0.000145</w:t>
            </w:r>
          </w:p>
        </w:tc>
        <w:tc>
          <w:tcPr>
            <w:tcW w:w="389"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0.001270</w:t>
            </w:r>
          </w:p>
        </w:tc>
        <w:tc>
          <w:tcPr>
            <w:tcW w:w="356"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加盖、绿化、喷洒植物除臭液</w:t>
            </w:r>
          </w:p>
        </w:tc>
        <w:tc>
          <w:tcPr>
            <w:tcW w:w="405" w:type="pct"/>
            <w:vMerge w:val="restart"/>
            <w:noWrap w:val="0"/>
            <w:vAlign w:val="center"/>
          </w:tcPr>
          <w:p>
            <w:pPr>
              <w:pStyle w:val="73"/>
              <w:rPr>
                <w:rFonts w:hint="default" w:ascii="Times New Roman" w:hAnsi="Times New Roman" w:cs="Times New Roman"/>
                <w:color w:val="auto"/>
                <w:u w:val="single"/>
                <w:lang w:val="en-US"/>
              </w:rPr>
            </w:pPr>
            <w:r>
              <w:rPr>
                <w:rFonts w:hint="default" w:ascii="Times New Roman" w:hAnsi="Times New Roman" w:cs="Times New Roman"/>
                <w:color w:val="auto"/>
                <w:u w:val="single"/>
                <w:lang w:eastAsia="zh-CN"/>
              </w:rPr>
              <w:t>氨气除臭效率为</w:t>
            </w:r>
            <w:r>
              <w:rPr>
                <w:rFonts w:hint="default" w:ascii="Times New Roman" w:hAnsi="Times New Roman" w:cs="Times New Roman"/>
                <w:color w:val="auto"/>
                <w:u w:val="single"/>
                <w:lang w:val="en-US" w:eastAsia="zh-CN"/>
              </w:rPr>
              <w:t>65%，硫化氢除臭效率为90%</w:t>
            </w:r>
          </w:p>
        </w:tc>
        <w:tc>
          <w:tcPr>
            <w:tcW w:w="405"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0.001311</w:t>
            </w:r>
          </w:p>
        </w:tc>
        <w:tc>
          <w:tcPr>
            <w:tcW w:w="380" w:type="pct"/>
            <w:noWrap w:val="0"/>
            <w:vAlign w:val="center"/>
          </w:tcPr>
          <w:p>
            <w:pPr>
              <w:pStyle w:val="73"/>
              <w:rPr>
                <w:rFonts w:hint="default" w:ascii="Times New Roman" w:hAnsi="Times New Roman" w:cs="Times New Roman"/>
                <w:color w:val="auto"/>
                <w:u w:val="single"/>
                <w:lang w:val="en-US" w:eastAsia="zh-CN"/>
              </w:rPr>
            </w:pPr>
            <w:r>
              <w:rPr>
                <w:rFonts w:hint="eastAsia" w:ascii="Times New Roman" w:cs="Times New Roman"/>
                <w:color w:val="auto"/>
                <w:u w:val="single"/>
                <w:lang w:val="en-US" w:eastAsia="zh-CN"/>
              </w:rPr>
              <w:t>0.011485</w:t>
            </w:r>
          </w:p>
        </w:tc>
        <w:tc>
          <w:tcPr>
            <w:tcW w:w="530"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0.000015</w:t>
            </w:r>
          </w:p>
        </w:tc>
        <w:tc>
          <w:tcPr>
            <w:tcW w:w="414"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0.000127</w:t>
            </w:r>
          </w:p>
        </w:tc>
        <w:tc>
          <w:tcPr>
            <w:tcW w:w="380"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lang w:eastAsia="zh-CN"/>
              </w:rPr>
              <w:t>无</w:t>
            </w:r>
            <w:r>
              <w:rPr>
                <w:rFonts w:hint="default" w:ascii="Times New Roman" w:hAnsi="Times New Roman" w:cs="Times New Roman"/>
                <w:color w:val="auto"/>
                <w:u w:val="single"/>
              </w:rPr>
              <w:t>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29"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合计</w:t>
            </w:r>
          </w:p>
        </w:tc>
        <w:tc>
          <w:tcPr>
            <w:tcW w:w="625" w:type="dxa"/>
            <w:noWrap w:val="0"/>
            <w:vAlign w:val="center"/>
          </w:tcPr>
          <w:p>
            <w:pPr>
              <w:pStyle w:val="73"/>
              <w:ind w:firstLine="0" w:firstLineChars="0"/>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0.003746</w:t>
            </w:r>
          </w:p>
        </w:tc>
        <w:tc>
          <w:tcPr>
            <w:tcW w:w="570" w:type="dxa"/>
            <w:noWrap w:val="0"/>
            <w:vAlign w:val="center"/>
          </w:tcPr>
          <w:p>
            <w:pPr>
              <w:pStyle w:val="73"/>
              <w:ind w:firstLine="0" w:firstLineChars="0"/>
              <w:rPr>
                <w:rFonts w:hint="default" w:ascii="Times New Roman" w:hAnsi="Times New Roman" w:cs="Times New Roman"/>
                <w:color w:val="auto"/>
                <w:kern w:val="0"/>
                <w:sz w:val="21"/>
                <w:szCs w:val="21"/>
                <w:u w:val="single"/>
                <w:lang w:val="en-US" w:eastAsia="zh-CN" w:bidi="ar-SA"/>
              </w:rPr>
            </w:pPr>
            <w:r>
              <w:rPr>
                <w:rFonts w:hint="eastAsia" w:ascii="Times New Roman" w:cs="Times New Roman"/>
                <w:color w:val="auto"/>
                <w:u w:val="single"/>
                <w:lang w:val="en-US" w:eastAsia="zh-CN"/>
              </w:rPr>
              <w:t>0.032814</w:t>
            </w:r>
          </w:p>
        </w:tc>
        <w:tc>
          <w:tcPr>
            <w:tcW w:w="81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cs="Times New Roman"/>
                <w:color w:val="auto"/>
                <w:u w:val="single"/>
                <w:lang w:val="en-US" w:eastAsia="zh-CN"/>
              </w:rPr>
              <w:t>0.000145</w:t>
            </w:r>
          </w:p>
        </w:tc>
        <w:tc>
          <w:tcPr>
            <w:tcW w:w="705"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cs="Times New Roman"/>
                <w:color w:val="auto"/>
                <w:u w:val="single"/>
                <w:lang w:val="en-US" w:eastAsia="zh-CN"/>
              </w:rPr>
              <w:t>0.001270</w:t>
            </w:r>
          </w:p>
        </w:tc>
        <w:tc>
          <w:tcPr>
            <w:tcW w:w="356" w:type="pct"/>
            <w:vMerge w:val="continue"/>
            <w:noWrap w:val="0"/>
            <w:vAlign w:val="center"/>
          </w:tcPr>
          <w:p>
            <w:pPr>
              <w:pStyle w:val="73"/>
              <w:rPr>
                <w:rFonts w:hint="default" w:ascii="Times New Roman" w:hAnsi="Times New Roman" w:cs="Times New Roman"/>
                <w:color w:val="auto"/>
                <w:u w:val="single"/>
              </w:rPr>
            </w:pPr>
          </w:p>
        </w:tc>
        <w:tc>
          <w:tcPr>
            <w:tcW w:w="405" w:type="pct"/>
            <w:vMerge w:val="continue"/>
            <w:noWrap w:val="0"/>
            <w:vAlign w:val="top"/>
          </w:tcPr>
          <w:p>
            <w:pPr>
              <w:pStyle w:val="73"/>
              <w:rPr>
                <w:rFonts w:hint="default" w:ascii="Times New Roman" w:hAnsi="Times New Roman" w:eastAsia="宋体" w:cs="Times New Roman"/>
                <w:color w:val="auto"/>
                <w:u w:val="single"/>
                <w:lang w:val="en-US" w:eastAsia="zh-CN"/>
              </w:rPr>
            </w:pPr>
          </w:p>
        </w:tc>
        <w:tc>
          <w:tcPr>
            <w:tcW w:w="735" w:type="dxa"/>
            <w:noWrap w:val="0"/>
            <w:vAlign w:val="center"/>
          </w:tcPr>
          <w:p>
            <w:pPr>
              <w:pStyle w:val="73"/>
              <w:ind w:firstLine="0" w:firstLineChars="0"/>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0.001311</w:t>
            </w:r>
          </w:p>
        </w:tc>
        <w:tc>
          <w:tcPr>
            <w:tcW w:w="690" w:type="dxa"/>
            <w:noWrap w:val="0"/>
            <w:vAlign w:val="center"/>
          </w:tcPr>
          <w:p>
            <w:pPr>
              <w:pStyle w:val="73"/>
              <w:ind w:firstLine="0" w:firstLineChars="0"/>
              <w:rPr>
                <w:rFonts w:hint="default" w:ascii="Times New Roman" w:hAnsi="Times New Roman" w:cs="Times New Roman"/>
                <w:color w:val="auto"/>
                <w:kern w:val="0"/>
                <w:sz w:val="21"/>
                <w:szCs w:val="21"/>
                <w:u w:val="single"/>
                <w:lang w:val="en-US" w:eastAsia="zh-CN" w:bidi="ar-SA"/>
              </w:rPr>
            </w:pPr>
            <w:r>
              <w:rPr>
                <w:rFonts w:hint="eastAsia" w:ascii="Times New Roman" w:cs="Times New Roman"/>
                <w:color w:val="auto"/>
                <w:u w:val="single"/>
                <w:lang w:val="en-US" w:eastAsia="zh-CN"/>
              </w:rPr>
              <w:t>0.011485</w:t>
            </w:r>
          </w:p>
        </w:tc>
        <w:tc>
          <w:tcPr>
            <w:tcW w:w="96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cs="Times New Roman"/>
                <w:color w:val="auto"/>
                <w:u w:val="single"/>
                <w:lang w:val="en-US" w:eastAsia="zh-CN"/>
              </w:rPr>
              <w:t>0.000015</w:t>
            </w:r>
          </w:p>
        </w:tc>
        <w:tc>
          <w:tcPr>
            <w:tcW w:w="750" w:type="dxa"/>
            <w:noWrap w:val="0"/>
            <w:vAlign w:val="center"/>
          </w:tcPr>
          <w:p>
            <w:pPr>
              <w:pStyle w:val="73"/>
              <w:ind w:firstLine="0" w:firstLineChars="0"/>
              <w:rPr>
                <w:rFonts w:hint="default" w:ascii="Times New Roman" w:hAnsi="Times New Roman" w:eastAsia="宋体" w:cs="Times New Roman"/>
                <w:color w:val="auto"/>
                <w:kern w:val="0"/>
                <w:sz w:val="21"/>
                <w:szCs w:val="21"/>
                <w:u w:val="single"/>
                <w:lang w:val="en-US" w:eastAsia="zh-CN" w:bidi="ar-SA"/>
              </w:rPr>
            </w:pPr>
            <w:r>
              <w:rPr>
                <w:rFonts w:hint="eastAsia" w:ascii="Times New Roman" w:cs="Times New Roman"/>
                <w:color w:val="auto"/>
                <w:u w:val="single"/>
                <w:lang w:val="en-US" w:eastAsia="zh-CN"/>
              </w:rPr>
              <w:t>0.000127</w:t>
            </w:r>
          </w:p>
        </w:tc>
        <w:tc>
          <w:tcPr>
            <w:tcW w:w="380" w:type="pct"/>
            <w:vMerge w:val="continue"/>
            <w:noWrap w:val="0"/>
            <w:vAlign w:val="center"/>
          </w:tcPr>
          <w:p>
            <w:pPr>
              <w:pStyle w:val="73"/>
              <w:rPr>
                <w:rFonts w:hint="default" w:ascii="Times New Roman" w:hAnsi="Times New Roman" w:cs="Times New Roman"/>
                <w:color w:val="auto"/>
                <w:u w:val="single"/>
              </w:rPr>
            </w:pPr>
          </w:p>
        </w:tc>
      </w:tr>
    </w:tbl>
    <w:p>
      <w:pPr>
        <w:ind w:firstLine="422"/>
        <w:jc w:val="center"/>
        <w:rPr>
          <w:rFonts w:hint="eastAsia"/>
          <w:b/>
          <w:color w:val="auto"/>
          <w:kern w:val="0"/>
          <w:sz w:val="21"/>
          <w:szCs w:val="21"/>
          <w:u w:val="single"/>
        </w:rPr>
      </w:pPr>
      <w:r>
        <w:rPr>
          <w:rFonts w:hint="eastAsia"/>
          <w:b/>
          <w:color w:val="auto"/>
          <w:kern w:val="0"/>
          <w:sz w:val="21"/>
          <w:szCs w:val="21"/>
          <w:u w:val="single"/>
        </w:rPr>
        <w:t>表2.4-</w:t>
      </w:r>
      <w:r>
        <w:rPr>
          <w:rFonts w:hint="eastAsia"/>
          <w:b/>
          <w:color w:val="auto"/>
          <w:kern w:val="0"/>
          <w:sz w:val="21"/>
          <w:szCs w:val="21"/>
          <w:u w:val="single"/>
          <w:lang w:val="en-US" w:eastAsia="zh-CN"/>
        </w:rPr>
        <w:t>18</w:t>
      </w:r>
      <w:r>
        <w:rPr>
          <w:rFonts w:hint="eastAsia"/>
          <w:b/>
          <w:color w:val="auto"/>
          <w:kern w:val="0"/>
          <w:sz w:val="21"/>
          <w:szCs w:val="21"/>
          <w:u w:val="single"/>
        </w:rPr>
        <w:t>项目恶臭污染物最终排放量一览表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2116"/>
        <w:gridCol w:w="2117"/>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116"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污染物排放量</w:t>
            </w:r>
          </w:p>
        </w:tc>
        <w:tc>
          <w:tcPr>
            <w:tcW w:w="6350" w:type="dxa"/>
            <w:gridSpan w:val="3"/>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116" w:type="dxa"/>
            <w:vMerge w:val="continue"/>
            <w:noWrap w:val="0"/>
            <w:vAlign w:val="center"/>
          </w:tcPr>
          <w:p>
            <w:pPr>
              <w:pStyle w:val="73"/>
              <w:rPr>
                <w:rFonts w:hint="default" w:ascii="Times New Roman" w:hAnsi="Times New Roman" w:cs="Times New Roman"/>
                <w:color w:val="auto"/>
                <w:u w:val="single"/>
              </w:rPr>
            </w:pPr>
          </w:p>
        </w:tc>
        <w:tc>
          <w:tcPr>
            <w:tcW w:w="211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kg/h</w:t>
            </w:r>
          </w:p>
        </w:tc>
        <w:tc>
          <w:tcPr>
            <w:tcW w:w="2117"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kg/d</w:t>
            </w:r>
          </w:p>
        </w:tc>
        <w:tc>
          <w:tcPr>
            <w:tcW w:w="2117"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116" w:type="dxa"/>
            <w:noWrap w:val="0"/>
            <w:vAlign w:val="center"/>
          </w:tcPr>
          <w:p>
            <w:pPr>
              <w:pStyle w:val="73"/>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2116"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0.004682</w:t>
            </w:r>
          </w:p>
        </w:tc>
        <w:tc>
          <w:tcPr>
            <w:tcW w:w="21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0.112375</w:t>
            </w:r>
          </w:p>
        </w:tc>
        <w:tc>
          <w:tcPr>
            <w:tcW w:w="21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0.041017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1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2116"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0.000145</w:t>
            </w:r>
          </w:p>
        </w:tc>
        <w:tc>
          <w:tcPr>
            <w:tcW w:w="21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0.003480</w:t>
            </w:r>
          </w:p>
        </w:tc>
        <w:tc>
          <w:tcPr>
            <w:tcW w:w="21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0.001270</w:t>
            </w:r>
          </w:p>
        </w:tc>
      </w:tr>
    </w:tbl>
    <w:p>
      <w:pPr>
        <w:pStyle w:val="69"/>
        <w:rPr>
          <w:rFonts w:hint="eastAsia"/>
          <w:color w:val="auto"/>
          <w:u w:val="none"/>
        </w:rPr>
      </w:pPr>
      <w:r>
        <w:rPr>
          <w:rFonts w:hint="eastAsia"/>
          <w:color w:val="auto"/>
          <w:u w:val="none"/>
        </w:rPr>
        <w:t>2.4.</w:t>
      </w:r>
      <w:r>
        <w:rPr>
          <w:rFonts w:hint="eastAsia"/>
          <w:color w:val="auto"/>
          <w:u w:val="none"/>
          <w:lang w:val="en-US" w:eastAsia="zh-CN"/>
        </w:rPr>
        <w:t>6</w:t>
      </w:r>
      <w:r>
        <w:rPr>
          <w:rFonts w:hint="eastAsia"/>
          <w:color w:val="auto"/>
          <w:u w:val="none"/>
        </w:rPr>
        <w:t>.3噪声污染源</w:t>
      </w:r>
    </w:p>
    <w:p>
      <w:pPr>
        <w:bidi w:val="0"/>
        <w:rPr>
          <w:rFonts w:hint="eastAsia"/>
          <w:color w:val="auto"/>
        </w:rPr>
      </w:pPr>
      <w:r>
        <w:rPr>
          <w:rFonts w:hint="eastAsia"/>
          <w:color w:val="auto"/>
        </w:rPr>
        <w:t>（1）污水处理厂工程</w:t>
      </w:r>
    </w:p>
    <w:p>
      <w:pPr>
        <w:ind w:firstLine="480"/>
        <w:rPr>
          <w:b/>
          <w:color w:val="auto"/>
          <w:kern w:val="0"/>
          <w:u w:val="none"/>
        </w:rPr>
      </w:pPr>
      <w:r>
        <w:rPr>
          <w:rFonts w:hint="eastAsia"/>
          <w:color w:val="auto"/>
          <w:kern w:val="0"/>
          <w:u w:val="none"/>
        </w:rPr>
        <w:t>污水处理厂工程噪声源主要来自厂区</w:t>
      </w:r>
      <w:r>
        <w:rPr>
          <w:rFonts w:hint="eastAsia"/>
          <w:color w:val="auto"/>
          <w:kern w:val="0"/>
          <w:u w:val="none"/>
          <w:lang w:eastAsia="zh-CN"/>
        </w:rPr>
        <w:t>水池中机械设备</w:t>
      </w:r>
      <w:r>
        <w:rPr>
          <w:rFonts w:hint="eastAsia"/>
          <w:color w:val="auto"/>
          <w:kern w:val="0"/>
          <w:u w:val="none"/>
        </w:rPr>
        <w:t>、污泥</w:t>
      </w:r>
      <w:r>
        <w:rPr>
          <w:rFonts w:hint="eastAsia"/>
          <w:color w:val="auto"/>
          <w:kern w:val="0"/>
          <w:u w:val="none"/>
          <w:lang w:eastAsia="zh-CN"/>
        </w:rPr>
        <w:t>脱水机</w:t>
      </w:r>
      <w:r>
        <w:rPr>
          <w:rFonts w:hint="eastAsia"/>
          <w:color w:val="auto"/>
          <w:kern w:val="0"/>
          <w:u w:val="none"/>
        </w:rPr>
        <w:t>、M</w:t>
      </w:r>
      <w:r>
        <w:rPr>
          <w:color w:val="auto"/>
          <w:kern w:val="0"/>
          <w:u w:val="none"/>
        </w:rPr>
        <w:t>BR</w:t>
      </w:r>
      <w:r>
        <w:rPr>
          <w:rFonts w:hint="eastAsia"/>
          <w:color w:val="auto"/>
          <w:kern w:val="0"/>
          <w:u w:val="none"/>
          <w:lang w:eastAsia="zh-CN"/>
        </w:rPr>
        <w:t>设备</w:t>
      </w:r>
      <w:r>
        <w:rPr>
          <w:rFonts w:hint="eastAsia"/>
          <w:color w:val="auto"/>
          <w:kern w:val="0"/>
          <w:u w:val="none"/>
        </w:rPr>
        <w:t>及</w:t>
      </w:r>
      <w:r>
        <w:rPr>
          <w:rFonts w:hint="eastAsia"/>
          <w:color w:val="auto"/>
          <w:kern w:val="0"/>
          <w:u w:val="none"/>
          <w:lang w:eastAsia="zh-CN"/>
        </w:rPr>
        <w:t>风机</w:t>
      </w:r>
      <w:r>
        <w:rPr>
          <w:rFonts w:hint="eastAsia"/>
          <w:color w:val="auto"/>
          <w:kern w:val="0"/>
          <w:u w:val="none"/>
        </w:rPr>
        <w:t>等</w:t>
      </w:r>
      <w:r>
        <w:rPr>
          <w:rFonts w:hint="eastAsia"/>
          <w:color w:val="auto"/>
          <w:kern w:val="0"/>
          <w:u w:val="none"/>
          <w:lang w:eastAsia="zh-CN"/>
        </w:rPr>
        <w:t>设别</w:t>
      </w:r>
      <w:r>
        <w:rPr>
          <w:rFonts w:hint="eastAsia"/>
          <w:color w:val="auto"/>
          <w:kern w:val="0"/>
          <w:u w:val="none"/>
        </w:rPr>
        <w:t>所产噪声，其设备数量和噪声值见表2.4</w:t>
      </w:r>
      <w:r>
        <w:rPr>
          <w:color w:val="auto"/>
          <w:kern w:val="0"/>
          <w:u w:val="none"/>
        </w:rPr>
        <w:t>-</w:t>
      </w:r>
      <w:r>
        <w:rPr>
          <w:rFonts w:hint="eastAsia"/>
          <w:color w:val="auto"/>
          <w:kern w:val="0"/>
          <w:u w:val="none"/>
          <w:lang w:val="en-US" w:eastAsia="zh-CN"/>
        </w:rPr>
        <w:t>19</w:t>
      </w:r>
      <w:r>
        <w:rPr>
          <w:rFonts w:hint="eastAsia"/>
          <w:color w:val="auto"/>
          <w:kern w:val="0"/>
          <w:u w:val="none"/>
        </w:rPr>
        <w:t>。</w:t>
      </w:r>
    </w:p>
    <w:p>
      <w:pPr>
        <w:ind w:firstLine="422"/>
        <w:jc w:val="center"/>
        <w:rPr>
          <w:rFonts w:hint="eastAsia"/>
          <w:b/>
          <w:color w:val="auto"/>
          <w:kern w:val="0"/>
          <w:sz w:val="21"/>
          <w:szCs w:val="21"/>
          <w:u w:val="none"/>
        </w:rPr>
      </w:pPr>
      <w:r>
        <w:rPr>
          <w:rFonts w:hint="eastAsia"/>
          <w:b/>
          <w:color w:val="auto"/>
          <w:kern w:val="0"/>
          <w:sz w:val="21"/>
          <w:szCs w:val="21"/>
          <w:u w:val="none"/>
        </w:rPr>
        <w:t>表2.4.</w:t>
      </w:r>
      <w:r>
        <w:rPr>
          <w:b/>
          <w:color w:val="auto"/>
          <w:kern w:val="0"/>
          <w:sz w:val="21"/>
          <w:szCs w:val="21"/>
          <w:u w:val="none"/>
        </w:rPr>
        <w:t>-</w:t>
      </w:r>
      <w:r>
        <w:rPr>
          <w:rFonts w:hint="eastAsia"/>
          <w:b/>
          <w:color w:val="auto"/>
          <w:kern w:val="0"/>
          <w:sz w:val="21"/>
          <w:szCs w:val="21"/>
          <w:u w:val="none"/>
          <w:lang w:val="en-US" w:eastAsia="zh-CN"/>
        </w:rPr>
        <w:t>19</w:t>
      </w:r>
      <w:r>
        <w:rPr>
          <w:rFonts w:hint="eastAsia"/>
          <w:b/>
          <w:color w:val="auto"/>
          <w:kern w:val="0"/>
          <w:sz w:val="21"/>
          <w:szCs w:val="21"/>
          <w:u w:val="none"/>
        </w:rPr>
        <w:t>工程运营期主要噪声源表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692"/>
        <w:gridCol w:w="1694"/>
        <w:gridCol w:w="1695"/>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b/>
                <w:color w:val="auto"/>
                <w:kern w:val="0"/>
                <w:sz w:val="21"/>
                <w:szCs w:val="21"/>
                <w:u w:val="none"/>
              </w:rPr>
            </w:pPr>
            <w:r>
              <w:rPr>
                <w:rFonts w:hint="eastAsia"/>
                <w:b/>
                <w:color w:val="auto"/>
                <w:kern w:val="0"/>
                <w:sz w:val="21"/>
                <w:szCs w:val="21"/>
                <w:u w:val="none"/>
              </w:rPr>
              <w:t>工段</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b/>
                <w:color w:val="auto"/>
                <w:kern w:val="0"/>
                <w:sz w:val="21"/>
                <w:szCs w:val="21"/>
                <w:u w:val="none"/>
              </w:rPr>
            </w:pPr>
            <w:r>
              <w:rPr>
                <w:rFonts w:hint="eastAsia"/>
                <w:b/>
                <w:color w:val="auto"/>
                <w:kern w:val="0"/>
                <w:sz w:val="21"/>
                <w:szCs w:val="21"/>
                <w:u w:val="none"/>
              </w:rPr>
              <w:t>高噪声设备</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b/>
                <w:color w:val="auto"/>
                <w:kern w:val="0"/>
                <w:sz w:val="21"/>
                <w:szCs w:val="21"/>
                <w:u w:val="none"/>
              </w:rPr>
            </w:pPr>
            <w:r>
              <w:rPr>
                <w:rFonts w:hint="eastAsia"/>
                <w:b/>
                <w:color w:val="auto"/>
                <w:kern w:val="0"/>
                <w:sz w:val="21"/>
                <w:szCs w:val="21"/>
                <w:u w:val="none"/>
              </w:rPr>
              <w:t>数量</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b/>
                <w:color w:val="auto"/>
                <w:kern w:val="0"/>
                <w:sz w:val="21"/>
                <w:szCs w:val="21"/>
                <w:u w:val="none"/>
              </w:rPr>
            </w:pPr>
            <w:r>
              <w:rPr>
                <w:rFonts w:hint="eastAsia"/>
                <w:b/>
                <w:color w:val="auto"/>
                <w:kern w:val="0"/>
                <w:sz w:val="21"/>
                <w:szCs w:val="21"/>
                <w:u w:val="none"/>
              </w:rPr>
              <w:t>预测源强dB（A）</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b/>
                <w:color w:val="auto"/>
                <w:kern w:val="0"/>
                <w:sz w:val="21"/>
                <w:szCs w:val="21"/>
                <w:u w:val="none"/>
              </w:rPr>
            </w:pPr>
            <w:r>
              <w:rPr>
                <w:rFonts w:hint="eastAsia"/>
                <w:b/>
                <w:color w:val="auto"/>
                <w:kern w:val="0"/>
                <w:sz w:val="21"/>
                <w:szCs w:val="21"/>
                <w:u w:val="none"/>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eastAsia" w:ascii="宋体" w:hAnsi="Times New Roman" w:eastAsia="宋体"/>
                <w:b w:val="0"/>
                <w:color w:val="auto"/>
                <w:kern w:val="0"/>
                <w:sz w:val="21"/>
                <w:szCs w:val="21"/>
                <w:u w:val="single"/>
                <w:lang w:val="en-US" w:eastAsia="zh-CN" w:bidi="zh-CN"/>
              </w:rPr>
            </w:pPr>
            <w:r>
              <w:rPr>
                <w:rFonts w:hint="eastAsia"/>
                <w:color w:val="auto"/>
                <w:u w:val="single"/>
                <w:lang w:bidi="zh-CN"/>
              </w:rPr>
              <w:t>调节池</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olor w:val="auto"/>
                <w:kern w:val="0"/>
                <w:sz w:val="21"/>
                <w:szCs w:val="21"/>
                <w:u w:val="single"/>
                <w:lang w:val="en-US" w:eastAsia="zh-CN" w:bidi="ar-SA"/>
              </w:rPr>
            </w:pPr>
            <w:r>
              <w:rPr>
                <w:rFonts w:hint="eastAsia"/>
                <w:color w:val="auto"/>
                <w:kern w:val="0"/>
                <w:sz w:val="21"/>
                <w:szCs w:val="21"/>
                <w:u w:val="single"/>
                <w:lang w:eastAsia="zh-CN"/>
              </w:rPr>
              <w:t>污水提升泵</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olor w:val="auto"/>
                <w:kern w:val="0"/>
                <w:sz w:val="21"/>
                <w:szCs w:val="21"/>
                <w:u w:val="single"/>
                <w:lang w:val="en-US" w:eastAsia="zh-CN" w:bidi="ar-SA"/>
              </w:rPr>
            </w:pPr>
            <w:r>
              <w:rPr>
                <w:rFonts w:hint="eastAsia"/>
                <w:color w:val="auto"/>
                <w:kern w:val="0"/>
                <w:sz w:val="21"/>
                <w:szCs w:val="21"/>
                <w:u w:val="single"/>
                <w:lang w:val="en-US" w:eastAsia="zh-CN"/>
              </w:rPr>
              <w:t>2台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olor w:val="auto"/>
                <w:kern w:val="0"/>
                <w:sz w:val="21"/>
                <w:szCs w:val="21"/>
                <w:u w:val="single"/>
                <w:lang w:val="en-US" w:eastAsia="zh-CN" w:bidi="ar-SA"/>
              </w:rPr>
            </w:pPr>
            <w:r>
              <w:rPr>
                <w:rFonts w:hint="eastAsia"/>
                <w:color w:val="auto"/>
                <w:kern w:val="0"/>
                <w:sz w:val="21"/>
                <w:szCs w:val="21"/>
                <w:u w:val="single"/>
                <w:lang w:val="en-US" w:eastAsia="zh-CN"/>
              </w:rPr>
              <w:t>85</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color w:val="auto"/>
                <w:kern w:val="0"/>
                <w:sz w:val="21"/>
                <w:szCs w:val="21"/>
                <w:u w:val="single"/>
                <w:lang w:val="en-US" w:eastAsia="zh-CN" w:bidi="ar-SA"/>
              </w:rPr>
            </w:pPr>
            <w:r>
              <w:rPr>
                <w:rFonts w:hint="eastAsia"/>
                <w:color w:val="auto"/>
                <w:kern w:val="0"/>
                <w:sz w:val="21"/>
                <w:szCs w:val="21"/>
                <w:u w:val="single"/>
                <w:lang w:eastAsia="zh-CN"/>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op w:val="single" w:color="auto" w:sz="4" w:space="0"/>
              <w:left w:val="single" w:color="auto" w:sz="4" w:space="0"/>
              <w:bottom w:val="single" w:color="auto" w:sz="4" w:space="0"/>
              <w:right w:val="single" w:color="auto" w:sz="4" w:space="0"/>
            </w:tcBorders>
            <w:noWrap w:val="0"/>
            <w:vAlign w:val="center"/>
          </w:tcPr>
          <w:p>
            <w:pPr>
              <w:pStyle w:val="73"/>
              <w:rPr>
                <w:color w:val="auto"/>
                <w:u w:val="none"/>
                <w:lang w:bidi="zh-CN"/>
              </w:rPr>
            </w:pPr>
            <w:r>
              <w:rPr>
                <w:rFonts w:hint="eastAsia"/>
                <w:color w:val="auto"/>
                <w:u w:val="none"/>
                <w:lang w:bidi="zh-CN"/>
              </w:rPr>
              <w:t>预处理</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none"/>
              </w:rPr>
            </w:pPr>
            <w:r>
              <w:rPr>
                <w:rFonts w:hint="eastAsia"/>
                <w:color w:val="auto"/>
                <w:kern w:val="0"/>
                <w:sz w:val="21"/>
                <w:szCs w:val="21"/>
                <w:u w:val="none"/>
              </w:rPr>
              <w:t>格栅除污机</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none"/>
              </w:rPr>
            </w:pPr>
            <w:r>
              <w:rPr>
                <w:rFonts w:hint="eastAsia"/>
                <w:color w:val="auto"/>
                <w:kern w:val="0"/>
                <w:sz w:val="21"/>
                <w:szCs w:val="21"/>
                <w:u w:val="none"/>
              </w:rPr>
              <w:t>1台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none"/>
              </w:rPr>
            </w:pPr>
            <w:r>
              <w:rPr>
                <w:rFonts w:hint="eastAsia"/>
                <w:color w:val="auto"/>
                <w:kern w:val="0"/>
                <w:sz w:val="21"/>
                <w:szCs w:val="21"/>
                <w:u w:val="none"/>
              </w:rPr>
              <w:t>80</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none"/>
              </w:rPr>
            </w:pPr>
            <w:r>
              <w:rPr>
                <w:rFonts w:hint="eastAsia"/>
                <w:color w:val="auto"/>
                <w:kern w:val="0"/>
                <w:sz w:val="21"/>
                <w:szCs w:val="21"/>
                <w:u w:val="non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none"/>
                <w:lang w:eastAsia="zh-CN"/>
              </w:rPr>
            </w:pPr>
            <w:r>
              <w:rPr>
                <w:rFonts w:hint="eastAsia"/>
                <w:color w:val="auto"/>
                <w:kern w:val="0"/>
                <w:sz w:val="21"/>
                <w:szCs w:val="21"/>
                <w:u w:val="none"/>
                <w:lang w:eastAsia="zh-CN"/>
              </w:rPr>
              <w:t>生化处理</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MBR设备</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none"/>
              </w:rPr>
            </w:pPr>
            <w:r>
              <w:rPr>
                <w:rFonts w:hint="eastAsia"/>
                <w:color w:val="auto"/>
                <w:kern w:val="0"/>
                <w:sz w:val="21"/>
                <w:szCs w:val="21"/>
                <w:u w:val="none"/>
                <w:lang w:val="en-US" w:eastAsia="zh-CN"/>
              </w:rPr>
              <w:t>5</w:t>
            </w:r>
            <w:r>
              <w:rPr>
                <w:rFonts w:hint="eastAsia"/>
                <w:color w:val="auto"/>
                <w:kern w:val="0"/>
                <w:sz w:val="21"/>
                <w:szCs w:val="21"/>
                <w:u w:val="none"/>
              </w:rPr>
              <w:t>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none"/>
              </w:rPr>
            </w:pPr>
            <w:r>
              <w:rPr>
                <w:rFonts w:hint="eastAsia"/>
                <w:color w:val="auto"/>
                <w:kern w:val="0"/>
                <w:sz w:val="21"/>
                <w:szCs w:val="21"/>
                <w:u w:val="none"/>
              </w:rPr>
              <w:t>80</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none"/>
                <w:lang w:eastAsia="zh-CN"/>
              </w:rPr>
            </w:pPr>
            <w:r>
              <w:rPr>
                <w:rFonts w:hint="eastAsia"/>
                <w:color w:val="auto"/>
                <w:kern w:val="0"/>
                <w:sz w:val="21"/>
                <w:szCs w:val="21"/>
                <w:u w:val="none"/>
                <w:lang w:eastAsia="zh-CN"/>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none"/>
                <w:lang w:eastAsia="zh-CN"/>
              </w:rPr>
            </w:pPr>
            <w:r>
              <w:rPr>
                <w:rFonts w:hint="eastAsia"/>
                <w:color w:val="auto"/>
                <w:kern w:val="0"/>
                <w:sz w:val="21"/>
                <w:szCs w:val="21"/>
                <w:u w:val="none"/>
              </w:rPr>
              <w:t>污泥</w:t>
            </w:r>
            <w:r>
              <w:rPr>
                <w:rFonts w:hint="eastAsia"/>
                <w:color w:val="auto"/>
                <w:kern w:val="0"/>
                <w:sz w:val="21"/>
                <w:szCs w:val="21"/>
                <w:u w:val="none"/>
                <w:lang w:eastAsia="zh-CN"/>
              </w:rPr>
              <w:t>浓缩</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r>
              <w:rPr>
                <w:rFonts w:hint="eastAsia"/>
                <w:color w:val="auto"/>
                <w:kern w:val="0"/>
                <w:sz w:val="21"/>
                <w:szCs w:val="21"/>
                <w:u w:val="none"/>
              </w:rPr>
              <w:t>污泥泵</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r>
              <w:rPr>
                <w:rFonts w:hint="eastAsia"/>
                <w:color w:val="auto"/>
                <w:kern w:val="0"/>
                <w:sz w:val="21"/>
                <w:szCs w:val="21"/>
                <w:u w:val="none"/>
                <w:lang w:val="en-US" w:eastAsia="zh-CN"/>
              </w:rPr>
              <w:t>1</w:t>
            </w:r>
            <w:r>
              <w:rPr>
                <w:rFonts w:hint="eastAsia"/>
                <w:color w:val="auto"/>
                <w:kern w:val="0"/>
                <w:sz w:val="21"/>
                <w:szCs w:val="21"/>
                <w:u w:val="none"/>
              </w:rPr>
              <w:t>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r>
              <w:rPr>
                <w:rFonts w:hint="eastAsia"/>
                <w:color w:val="auto"/>
                <w:kern w:val="0"/>
                <w:sz w:val="21"/>
                <w:szCs w:val="21"/>
                <w:u w:val="none"/>
              </w:rPr>
              <w:t>85</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r>
              <w:rPr>
                <w:rFonts w:hint="eastAsia"/>
                <w:color w:val="auto"/>
                <w:kern w:val="0"/>
                <w:sz w:val="21"/>
                <w:szCs w:val="21"/>
                <w:u w:val="non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r>
              <w:rPr>
                <w:rFonts w:hint="eastAsia"/>
                <w:color w:val="auto"/>
                <w:kern w:val="0"/>
                <w:sz w:val="21"/>
                <w:szCs w:val="21"/>
                <w:u w:val="none"/>
                <w:lang w:eastAsia="zh-CN"/>
              </w:rPr>
              <w:t>污泥脱水</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r>
              <w:rPr>
                <w:rFonts w:hint="eastAsia" w:ascii="宋体" w:hAnsi="宋体" w:cs="宋体"/>
                <w:color w:val="auto"/>
                <w:kern w:val="0"/>
                <w:sz w:val="21"/>
                <w:szCs w:val="21"/>
              </w:rPr>
              <w:t>叠螺脱水机</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color w:val="auto"/>
                <w:kern w:val="0"/>
                <w:sz w:val="21"/>
                <w:szCs w:val="21"/>
                <w:u w:val="none"/>
                <w:lang w:val="en-US" w:eastAsia="zh-CN"/>
              </w:rPr>
            </w:pPr>
            <w:r>
              <w:rPr>
                <w:rFonts w:hint="eastAsia"/>
                <w:color w:val="auto"/>
                <w:kern w:val="0"/>
                <w:sz w:val="21"/>
                <w:szCs w:val="21"/>
                <w:u w:val="none"/>
                <w:lang w:val="en-US" w:eastAsia="zh-CN"/>
              </w:rPr>
              <w:t>1台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eastAsia="宋体"/>
                <w:color w:val="auto"/>
                <w:kern w:val="0"/>
                <w:sz w:val="21"/>
                <w:szCs w:val="21"/>
                <w:u w:val="none"/>
                <w:lang w:val="en-US" w:eastAsia="zh-CN"/>
              </w:rPr>
            </w:pPr>
            <w:r>
              <w:rPr>
                <w:rFonts w:hint="eastAsia"/>
                <w:color w:val="auto"/>
                <w:kern w:val="0"/>
                <w:sz w:val="21"/>
                <w:szCs w:val="21"/>
                <w:u w:val="none"/>
                <w:lang w:val="en-US" w:eastAsia="zh-CN"/>
              </w:rPr>
              <w:t>85</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r>
              <w:rPr>
                <w:rFonts w:hint="eastAsia"/>
                <w:color w:val="auto"/>
                <w:kern w:val="0"/>
                <w:sz w:val="21"/>
                <w:szCs w:val="21"/>
                <w:u w:val="non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none"/>
                <w:lang w:eastAsia="zh-CN"/>
              </w:rPr>
            </w:pPr>
            <w:r>
              <w:rPr>
                <w:rFonts w:hint="eastAsia"/>
                <w:color w:val="auto"/>
                <w:kern w:val="0"/>
                <w:sz w:val="21"/>
                <w:szCs w:val="21"/>
                <w:u w:val="none"/>
                <w:lang w:eastAsia="zh-CN"/>
              </w:rPr>
              <w:t>风机</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r>
              <w:rPr>
                <w:rFonts w:hint="eastAsia"/>
                <w:color w:val="auto"/>
                <w:kern w:val="0"/>
                <w:sz w:val="21"/>
                <w:szCs w:val="21"/>
                <w:u w:val="none"/>
                <w:lang w:val="en-US" w:eastAsia="zh-CN"/>
              </w:rPr>
              <w:t>1</w:t>
            </w:r>
            <w:r>
              <w:rPr>
                <w:rFonts w:hint="eastAsia"/>
                <w:color w:val="auto"/>
                <w:kern w:val="0"/>
                <w:sz w:val="21"/>
                <w:szCs w:val="21"/>
                <w:u w:val="none"/>
              </w:rPr>
              <w:t>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r>
              <w:rPr>
                <w:rFonts w:hint="eastAsia"/>
                <w:color w:val="auto"/>
                <w:kern w:val="0"/>
                <w:sz w:val="21"/>
                <w:szCs w:val="21"/>
                <w:u w:val="none"/>
              </w:rPr>
              <w:t>90</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none"/>
              </w:rPr>
            </w:pPr>
            <w:r>
              <w:rPr>
                <w:rFonts w:hint="eastAsia"/>
                <w:color w:val="auto"/>
                <w:kern w:val="0"/>
                <w:sz w:val="21"/>
                <w:szCs w:val="21"/>
                <w:u w:val="none"/>
              </w:rPr>
              <w:t>室内</w:t>
            </w:r>
          </w:p>
        </w:tc>
      </w:tr>
    </w:tbl>
    <w:p>
      <w:pPr>
        <w:pStyle w:val="69"/>
        <w:rPr>
          <w:rFonts w:hint="eastAsia"/>
          <w:color w:val="auto"/>
          <w:u w:val="single"/>
        </w:rPr>
      </w:pPr>
      <w:r>
        <w:rPr>
          <w:rFonts w:hint="eastAsia"/>
          <w:color w:val="auto"/>
          <w:u w:val="single"/>
        </w:rPr>
        <w:t>2.4.</w:t>
      </w:r>
      <w:r>
        <w:rPr>
          <w:rFonts w:hint="eastAsia"/>
          <w:color w:val="auto"/>
          <w:u w:val="single"/>
          <w:lang w:val="en-US" w:eastAsia="zh-CN"/>
        </w:rPr>
        <w:t>6</w:t>
      </w:r>
      <w:r>
        <w:rPr>
          <w:rFonts w:hint="eastAsia"/>
          <w:color w:val="auto"/>
          <w:u w:val="single"/>
        </w:rPr>
        <w:t>.4固体废物</w:t>
      </w:r>
    </w:p>
    <w:p>
      <w:pPr>
        <w:ind w:firstLine="482"/>
        <w:rPr>
          <w:rFonts w:hint="eastAsia"/>
          <w:b/>
          <w:color w:val="auto"/>
          <w:kern w:val="0"/>
          <w:u w:val="single"/>
        </w:rPr>
      </w:pPr>
      <w:r>
        <w:rPr>
          <w:rFonts w:hint="eastAsia"/>
          <w:b/>
          <w:color w:val="auto"/>
          <w:kern w:val="0"/>
          <w:u w:val="single"/>
        </w:rPr>
        <w:t>（1）污水处理厂工程</w:t>
      </w:r>
    </w:p>
    <w:p>
      <w:pPr>
        <w:ind w:firstLine="480"/>
        <w:jc w:val="both"/>
        <w:rPr>
          <w:rFonts w:hint="eastAsia"/>
          <w:color w:val="auto"/>
          <w:kern w:val="0"/>
          <w:u w:val="single"/>
        </w:rPr>
      </w:pPr>
      <w:r>
        <w:rPr>
          <w:color w:val="auto"/>
          <w:kern w:val="0"/>
          <w:u w:val="single"/>
        </w:rPr>
        <w:t>1）工艺污泥</w:t>
      </w:r>
    </w:p>
    <w:p>
      <w:pPr>
        <w:ind w:firstLine="480"/>
        <w:jc w:val="both"/>
        <w:rPr>
          <w:rFonts w:hint="eastAsia"/>
          <w:color w:val="auto"/>
          <w:kern w:val="0"/>
          <w:u w:val="single"/>
          <w:lang w:eastAsia="zh-CN"/>
        </w:rPr>
      </w:pPr>
      <w:r>
        <w:rPr>
          <w:color w:val="auto"/>
          <w:kern w:val="0"/>
          <w:u w:val="single"/>
        </w:rPr>
        <w:t>本项目产生的固体废物包括污水预处理阶段截留的格</w:t>
      </w:r>
      <w:r>
        <w:rPr>
          <w:rFonts w:hint="eastAsia"/>
          <w:color w:val="auto"/>
          <w:kern w:val="0"/>
          <w:u w:val="single"/>
        </w:rPr>
        <w:t>栅</w:t>
      </w:r>
      <w:r>
        <w:rPr>
          <w:color w:val="auto"/>
          <w:kern w:val="0"/>
          <w:u w:val="single"/>
        </w:rPr>
        <w:t>渣和沉砂，生化处理阶段的剩余污泥</w:t>
      </w:r>
      <w:r>
        <w:rPr>
          <w:rFonts w:hint="eastAsia"/>
          <w:color w:val="auto"/>
          <w:kern w:val="0"/>
          <w:u w:val="single"/>
          <w:lang w:eastAsia="zh-CN"/>
        </w:rPr>
        <w:t>。</w:t>
      </w:r>
    </w:p>
    <w:p>
      <w:pPr>
        <w:ind w:firstLine="480"/>
        <w:jc w:val="both"/>
        <w:rPr>
          <w:rFonts w:hint="eastAsia" w:eastAsia="宋体"/>
          <w:color w:val="auto"/>
          <w:kern w:val="0"/>
          <w:u w:val="single"/>
          <w:lang w:val="en-US" w:eastAsia="zh-CN"/>
        </w:rPr>
      </w:pPr>
      <w:r>
        <w:rPr>
          <w:rFonts w:hint="eastAsia"/>
          <w:color w:val="auto"/>
          <w:kern w:val="0"/>
          <w:u w:val="single"/>
          <w:lang w:eastAsia="zh-CN"/>
        </w:rPr>
        <w:t>①</w:t>
      </w:r>
      <w:r>
        <w:rPr>
          <w:color w:val="auto"/>
          <w:kern w:val="0"/>
          <w:u w:val="single"/>
        </w:rPr>
        <w:t>格</w:t>
      </w:r>
      <w:r>
        <w:rPr>
          <w:rFonts w:hint="eastAsia"/>
          <w:color w:val="auto"/>
          <w:kern w:val="0"/>
          <w:u w:val="single"/>
        </w:rPr>
        <w:t>栅</w:t>
      </w:r>
      <w:r>
        <w:rPr>
          <w:color w:val="auto"/>
          <w:kern w:val="0"/>
          <w:u w:val="single"/>
        </w:rPr>
        <w:t>渣</w:t>
      </w:r>
      <w:r>
        <w:rPr>
          <w:rFonts w:hint="eastAsia"/>
          <w:color w:val="auto"/>
          <w:kern w:val="0"/>
          <w:u w:val="single"/>
          <w:lang w:eastAsia="zh-CN"/>
        </w:rPr>
        <w:t>：格栅用来拦截污水中较大的漂浮物，本项目采用格栅除污机；格栅渣多为块状固体物质，其中包括无机物质和有机物质，性状类似生活垃圾，格栅拦截直径大于6mm的杂物，类比同工艺污水处理厂环评报告，处理一立方米污水产生0.05kg栅渣，</w:t>
      </w:r>
      <w:r>
        <w:rPr>
          <w:color w:val="auto"/>
          <w:kern w:val="0"/>
          <w:u w:val="single"/>
        </w:rPr>
        <w:t>本项目</w:t>
      </w:r>
      <w:r>
        <w:rPr>
          <w:rFonts w:hint="eastAsia"/>
          <w:color w:val="auto"/>
          <w:kern w:val="0"/>
          <w:u w:val="single"/>
          <w:lang w:eastAsia="zh-CN"/>
        </w:rPr>
        <w:t>二期建成后</w:t>
      </w:r>
      <w:r>
        <w:rPr>
          <w:color w:val="auto"/>
          <w:kern w:val="0"/>
          <w:u w:val="single"/>
        </w:rPr>
        <w:t>日处理规模</w:t>
      </w:r>
      <w:r>
        <w:rPr>
          <w:rFonts w:hint="eastAsia"/>
          <w:color w:val="auto"/>
          <w:kern w:val="0"/>
          <w:u w:val="single"/>
          <w:lang w:val="en-US" w:eastAsia="zh-CN"/>
        </w:rPr>
        <w:t>1000</w:t>
      </w:r>
      <w:r>
        <w:rPr>
          <w:color w:val="auto"/>
          <w:kern w:val="0"/>
          <w:u w:val="single"/>
        </w:rPr>
        <w:t>m</w:t>
      </w:r>
      <w:r>
        <w:rPr>
          <w:rFonts w:hint="eastAsia"/>
          <w:color w:val="auto"/>
          <w:kern w:val="0"/>
          <w:u w:val="single"/>
          <w:vertAlign w:val="superscript"/>
        </w:rPr>
        <w:t>3</w:t>
      </w:r>
      <w:r>
        <w:rPr>
          <w:color w:val="auto"/>
          <w:kern w:val="0"/>
          <w:u w:val="single"/>
        </w:rPr>
        <w:t>/d</w:t>
      </w:r>
      <w:r>
        <w:rPr>
          <w:rFonts w:hint="eastAsia"/>
          <w:color w:val="auto"/>
          <w:kern w:val="0"/>
          <w:u w:val="single"/>
          <w:lang w:eastAsia="zh-CN"/>
        </w:rPr>
        <w:t>，</w:t>
      </w:r>
      <w:r>
        <w:rPr>
          <w:color w:val="auto"/>
          <w:kern w:val="0"/>
          <w:u w:val="single"/>
        </w:rPr>
        <w:t>则预计格栅渣产生量为</w:t>
      </w:r>
      <w:r>
        <w:rPr>
          <w:rFonts w:hint="eastAsia"/>
          <w:color w:val="auto"/>
          <w:kern w:val="0"/>
          <w:u w:val="single"/>
          <w:lang w:val="en-US" w:eastAsia="zh-CN"/>
        </w:rPr>
        <w:t>50kg</w:t>
      </w:r>
      <w:r>
        <w:rPr>
          <w:color w:val="auto"/>
          <w:kern w:val="0"/>
          <w:u w:val="single"/>
        </w:rPr>
        <w:t>/d（</w:t>
      </w:r>
      <w:r>
        <w:rPr>
          <w:rFonts w:hint="eastAsia"/>
          <w:color w:val="auto"/>
          <w:kern w:val="0"/>
          <w:u w:val="single"/>
          <w:lang w:val="en-US" w:eastAsia="zh-CN"/>
        </w:rPr>
        <w:t>18.25</w:t>
      </w:r>
      <w:r>
        <w:rPr>
          <w:color w:val="auto"/>
          <w:kern w:val="0"/>
          <w:u w:val="single"/>
        </w:rPr>
        <w:t>t/a）</w:t>
      </w:r>
      <w:r>
        <w:rPr>
          <w:rFonts w:hint="eastAsia"/>
          <w:color w:val="auto"/>
          <w:kern w:val="0"/>
          <w:u w:val="single"/>
          <w:lang w:eastAsia="zh-CN"/>
        </w:rPr>
        <w:t>。</w:t>
      </w:r>
    </w:p>
    <w:p>
      <w:pPr>
        <w:ind w:firstLine="480"/>
        <w:jc w:val="both"/>
        <w:rPr>
          <w:rFonts w:hint="eastAsia"/>
          <w:color w:val="auto"/>
          <w:kern w:val="0"/>
          <w:u w:val="single"/>
        </w:rPr>
      </w:pPr>
      <w:r>
        <w:rPr>
          <w:rFonts w:hint="eastAsia"/>
          <w:color w:val="auto"/>
          <w:kern w:val="0"/>
          <w:u w:val="single"/>
          <w:lang w:eastAsia="zh-CN"/>
        </w:rPr>
        <w:t>②沉砂：沉砂的主要成分为大的无机颗粒，主要为泥砂、石子等。类比同工艺污水处理厂环评报告，处理一万吨污水产生0.45吨沉砂量。</w:t>
      </w:r>
      <w:r>
        <w:rPr>
          <w:color w:val="auto"/>
          <w:kern w:val="0"/>
          <w:u w:val="single"/>
        </w:rPr>
        <w:t>本项目</w:t>
      </w:r>
      <w:r>
        <w:rPr>
          <w:rFonts w:hint="eastAsia"/>
          <w:color w:val="auto"/>
          <w:kern w:val="0"/>
          <w:u w:val="single"/>
          <w:lang w:eastAsia="zh-CN"/>
        </w:rPr>
        <w:t>二期建成后</w:t>
      </w:r>
      <w:r>
        <w:rPr>
          <w:color w:val="auto"/>
          <w:kern w:val="0"/>
          <w:u w:val="single"/>
        </w:rPr>
        <w:t>日处理规模</w:t>
      </w:r>
      <w:r>
        <w:rPr>
          <w:rFonts w:hint="eastAsia"/>
          <w:color w:val="auto"/>
          <w:kern w:val="0"/>
          <w:u w:val="single"/>
          <w:lang w:val="en-US" w:eastAsia="zh-CN"/>
        </w:rPr>
        <w:t>1000</w:t>
      </w:r>
      <w:r>
        <w:rPr>
          <w:color w:val="auto"/>
          <w:kern w:val="0"/>
          <w:u w:val="single"/>
        </w:rPr>
        <w:t>m</w:t>
      </w:r>
      <w:r>
        <w:rPr>
          <w:rFonts w:hint="eastAsia"/>
          <w:color w:val="auto"/>
          <w:kern w:val="0"/>
          <w:u w:val="single"/>
          <w:vertAlign w:val="superscript"/>
        </w:rPr>
        <w:t>3</w:t>
      </w:r>
      <w:r>
        <w:rPr>
          <w:color w:val="auto"/>
          <w:kern w:val="0"/>
          <w:u w:val="single"/>
        </w:rPr>
        <w:t>/d</w:t>
      </w:r>
      <w:r>
        <w:rPr>
          <w:rFonts w:hint="eastAsia"/>
          <w:color w:val="auto"/>
          <w:kern w:val="0"/>
          <w:u w:val="single"/>
          <w:lang w:eastAsia="zh-CN"/>
        </w:rPr>
        <w:t>，</w:t>
      </w:r>
      <w:r>
        <w:rPr>
          <w:color w:val="auto"/>
          <w:kern w:val="0"/>
          <w:u w:val="single"/>
        </w:rPr>
        <w:t>则预计沉砂池沉砂产生量为</w:t>
      </w:r>
      <w:r>
        <w:rPr>
          <w:rFonts w:hint="eastAsia"/>
          <w:color w:val="auto"/>
          <w:kern w:val="0"/>
          <w:u w:val="single"/>
          <w:lang w:val="en-US" w:eastAsia="zh-CN"/>
        </w:rPr>
        <w:t>45kg</w:t>
      </w:r>
      <w:r>
        <w:rPr>
          <w:color w:val="auto"/>
          <w:kern w:val="0"/>
          <w:u w:val="single"/>
        </w:rPr>
        <w:t>/d（</w:t>
      </w:r>
      <w:r>
        <w:rPr>
          <w:rFonts w:hint="eastAsia"/>
          <w:color w:val="auto"/>
          <w:kern w:val="0"/>
          <w:u w:val="single"/>
          <w:lang w:val="en-US" w:eastAsia="zh-CN"/>
        </w:rPr>
        <w:t>16.425</w:t>
      </w:r>
      <w:r>
        <w:rPr>
          <w:color w:val="auto"/>
          <w:kern w:val="0"/>
          <w:u w:val="single"/>
        </w:rPr>
        <w:t>t/a）</w:t>
      </w:r>
      <w:r>
        <w:rPr>
          <w:rFonts w:hint="eastAsia"/>
          <w:color w:val="auto"/>
          <w:kern w:val="0"/>
          <w:u w:val="single"/>
        </w:rPr>
        <w:t>。</w:t>
      </w:r>
      <w:r>
        <w:rPr>
          <w:color w:val="auto"/>
          <w:kern w:val="0"/>
          <w:u w:val="single"/>
        </w:rPr>
        <w:t>格</w:t>
      </w:r>
      <w:r>
        <w:rPr>
          <w:rFonts w:hint="eastAsia"/>
          <w:color w:val="auto"/>
          <w:kern w:val="0"/>
          <w:u w:val="single"/>
        </w:rPr>
        <w:t>栅</w:t>
      </w:r>
      <w:r>
        <w:rPr>
          <w:color w:val="auto"/>
          <w:kern w:val="0"/>
          <w:u w:val="single"/>
        </w:rPr>
        <w:t>渣和沉砂</w:t>
      </w:r>
      <w:r>
        <w:rPr>
          <w:rFonts w:hint="eastAsia"/>
          <w:color w:val="auto"/>
          <w:kern w:val="0"/>
          <w:u w:val="single"/>
        </w:rPr>
        <w:t>为一般固废，</w:t>
      </w:r>
      <w:r>
        <w:rPr>
          <w:rFonts w:hint="eastAsia"/>
          <w:color w:val="auto"/>
          <w:u w:val="single"/>
        </w:rPr>
        <w:t>外运至</w:t>
      </w:r>
      <w:r>
        <w:rPr>
          <w:rFonts w:hint="eastAsia"/>
          <w:color w:val="auto"/>
          <w:u w:val="single"/>
          <w:lang w:eastAsia="zh-CN"/>
        </w:rPr>
        <w:t>永顺县</w:t>
      </w:r>
      <w:r>
        <w:rPr>
          <w:rFonts w:hint="eastAsia"/>
          <w:color w:val="auto"/>
          <w:u w:val="single"/>
        </w:rPr>
        <w:t>生活垃圾填埋场填埋。</w:t>
      </w:r>
    </w:p>
    <w:p>
      <w:pPr>
        <w:widowControl w:val="0"/>
        <w:ind w:firstLine="480"/>
        <w:jc w:val="both"/>
        <w:rPr>
          <w:color w:val="auto"/>
          <w:kern w:val="0"/>
          <w:u w:val="single"/>
        </w:rPr>
      </w:pPr>
      <w:r>
        <w:rPr>
          <w:rFonts w:hint="eastAsia"/>
          <w:color w:val="auto"/>
          <w:kern w:val="0"/>
          <w:u w:val="single"/>
          <w:lang w:eastAsia="zh-CN"/>
        </w:rPr>
        <w:t>③污泥：</w:t>
      </w:r>
      <w:r>
        <w:rPr>
          <w:rFonts w:hint="eastAsia"/>
          <w:color w:val="auto"/>
          <w:kern w:val="0"/>
          <w:u w:val="single"/>
        </w:rPr>
        <w:t>储存在</w:t>
      </w:r>
      <w:r>
        <w:rPr>
          <w:rFonts w:hint="eastAsia"/>
          <w:color w:val="auto"/>
          <w:kern w:val="0"/>
          <w:u w:val="single"/>
          <w:lang w:eastAsia="zh-CN"/>
        </w:rPr>
        <w:t>污泥</w:t>
      </w:r>
      <w:r>
        <w:rPr>
          <w:rFonts w:hint="eastAsia"/>
          <w:color w:val="auto"/>
          <w:kern w:val="0"/>
          <w:u w:val="single"/>
        </w:rPr>
        <w:t>池的剩余污泥</w:t>
      </w:r>
      <w:r>
        <w:rPr>
          <w:rFonts w:hint="eastAsia"/>
          <w:color w:val="auto"/>
          <w:kern w:val="0"/>
          <w:sz w:val="24"/>
          <w:szCs w:val="24"/>
          <w:u w:val="single"/>
        </w:rPr>
        <w:t>通过</w:t>
      </w:r>
      <w:r>
        <w:rPr>
          <w:rFonts w:hint="eastAsia" w:ascii="宋体" w:hAnsi="宋体" w:cs="宋体"/>
          <w:color w:val="auto"/>
          <w:kern w:val="0"/>
          <w:sz w:val="24"/>
          <w:szCs w:val="24"/>
          <w:u w:val="single"/>
        </w:rPr>
        <w:t>叠螺脱水机</w:t>
      </w:r>
      <w:r>
        <w:rPr>
          <w:rFonts w:hint="eastAsia"/>
          <w:color w:val="auto"/>
          <w:kern w:val="0"/>
          <w:sz w:val="24"/>
          <w:szCs w:val="24"/>
          <w:u w:val="single"/>
        </w:rPr>
        <w:t>进行</w:t>
      </w:r>
      <w:r>
        <w:rPr>
          <w:rFonts w:hint="eastAsia"/>
          <w:color w:val="auto"/>
          <w:kern w:val="0"/>
          <w:u w:val="single"/>
        </w:rPr>
        <w:t>污泥浓缩脱水，污泥浓缩脱水过程中需投加高分子有机絮凝剂PAM</w:t>
      </w:r>
      <w:r>
        <w:rPr>
          <w:rFonts w:hint="eastAsia"/>
          <w:color w:val="auto"/>
          <w:kern w:val="0"/>
          <w:u w:val="single"/>
          <w:lang w:eastAsia="zh-CN"/>
        </w:rPr>
        <w:t>、</w:t>
      </w:r>
      <w:r>
        <w:rPr>
          <w:rFonts w:hint="eastAsia"/>
          <w:color w:val="auto"/>
          <w:kern w:val="0"/>
          <w:u w:val="single"/>
          <w:lang w:val="en-US" w:eastAsia="zh-CN"/>
        </w:rPr>
        <w:t>PAC</w:t>
      </w:r>
      <w:r>
        <w:rPr>
          <w:rFonts w:hint="eastAsia"/>
          <w:color w:val="auto"/>
          <w:kern w:val="0"/>
          <w:u w:val="single"/>
        </w:rPr>
        <w:t>。类比同类型城市生活污水处理厂城北污水处理厂污泥产生量：污泥每天产生量（含水率</w:t>
      </w:r>
      <w:r>
        <w:rPr>
          <w:rFonts w:hint="eastAsia"/>
          <w:color w:val="auto"/>
          <w:kern w:val="0"/>
          <w:u w:val="single"/>
          <w:lang w:val="en-US" w:eastAsia="zh-CN"/>
        </w:rPr>
        <w:t>99</w:t>
      </w:r>
      <w:r>
        <w:rPr>
          <w:rFonts w:hint="eastAsia"/>
          <w:color w:val="auto"/>
          <w:kern w:val="0"/>
          <w:u w:val="single"/>
        </w:rPr>
        <w:t>%）约为3.57t/10</w:t>
      </w:r>
      <w:r>
        <w:rPr>
          <w:rFonts w:hint="eastAsia"/>
          <w:color w:val="auto"/>
          <w:kern w:val="0"/>
          <w:u w:val="single"/>
          <w:vertAlign w:val="superscript"/>
        </w:rPr>
        <w:t>4</w:t>
      </w:r>
      <w:r>
        <w:rPr>
          <w:rFonts w:hint="eastAsia"/>
          <w:color w:val="auto"/>
          <w:kern w:val="0"/>
          <w:u w:val="single"/>
        </w:rPr>
        <w:t>m</w:t>
      </w:r>
      <w:r>
        <w:rPr>
          <w:rFonts w:hint="eastAsia"/>
          <w:color w:val="auto"/>
          <w:kern w:val="0"/>
          <w:u w:val="single"/>
          <w:vertAlign w:val="superscript"/>
        </w:rPr>
        <w:t>3</w:t>
      </w:r>
      <w:r>
        <w:rPr>
          <w:rFonts w:hint="eastAsia"/>
          <w:color w:val="auto"/>
          <w:kern w:val="0"/>
          <w:u w:val="single"/>
        </w:rPr>
        <w:t xml:space="preserve"> 污水。</w:t>
      </w:r>
      <w:r>
        <w:rPr>
          <w:color w:val="auto"/>
          <w:kern w:val="0"/>
          <w:u w:val="single"/>
        </w:rPr>
        <w:t>本项目</w:t>
      </w:r>
      <w:r>
        <w:rPr>
          <w:rFonts w:hint="eastAsia"/>
          <w:color w:val="auto"/>
          <w:kern w:val="0"/>
          <w:u w:val="single"/>
          <w:lang w:eastAsia="zh-CN"/>
        </w:rPr>
        <w:t>二期建成后</w:t>
      </w:r>
      <w:r>
        <w:rPr>
          <w:color w:val="auto"/>
          <w:kern w:val="0"/>
          <w:u w:val="single"/>
        </w:rPr>
        <w:t>日处理规模</w:t>
      </w:r>
      <w:r>
        <w:rPr>
          <w:rFonts w:hint="eastAsia"/>
          <w:color w:val="auto"/>
          <w:kern w:val="0"/>
          <w:u w:val="single"/>
          <w:lang w:val="en-US" w:eastAsia="zh-CN"/>
        </w:rPr>
        <w:t>1000</w:t>
      </w:r>
      <w:r>
        <w:rPr>
          <w:color w:val="auto"/>
          <w:kern w:val="0"/>
          <w:u w:val="single"/>
        </w:rPr>
        <w:t>m</w:t>
      </w:r>
      <w:r>
        <w:rPr>
          <w:rFonts w:hint="eastAsia"/>
          <w:color w:val="auto"/>
          <w:kern w:val="0"/>
          <w:u w:val="single"/>
          <w:vertAlign w:val="superscript"/>
        </w:rPr>
        <w:t>3</w:t>
      </w:r>
      <w:r>
        <w:rPr>
          <w:color w:val="auto"/>
          <w:kern w:val="0"/>
          <w:u w:val="single"/>
        </w:rPr>
        <w:t>/d</w:t>
      </w:r>
      <w:r>
        <w:rPr>
          <w:rFonts w:hint="eastAsia"/>
          <w:color w:val="auto"/>
          <w:kern w:val="0"/>
          <w:u w:val="single"/>
          <w:lang w:eastAsia="zh-CN"/>
        </w:rPr>
        <w:t>，</w:t>
      </w:r>
      <w:r>
        <w:rPr>
          <w:rFonts w:hint="eastAsia"/>
          <w:color w:val="auto"/>
          <w:kern w:val="0"/>
          <w:u w:val="single"/>
        </w:rPr>
        <w:t>则本项目污泥（含水率</w:t>
      </w:r>
      <w:r>
        <w:rPr>
          <w:rFonts w:hint="eastAsia"/>
          <w:color w:val="auto"/>
          <w:kern w:val="0"/>
          <w:u w:val="single"/>
          <w:lang w:val="en-US" w:eastAsia="zh-CN"/>
        </w:rPr>
        <w:t>99</w:t>
      </w:r>
      <w:r>
        <w:rPr>
          <w:rFonts w:hint="eastAsia"/>
          <w:color w:val="auto"/>
          <w:kern w:val="0"/>
          <w:u w:val="single"/>
        </w:rPr>
        <w:t>%）产生量为</w:t>
      </w:r>
      <w:r>
        <w:rPr>
          <w:rFonts w:hint="eastAsia"/>
          <w:color w:val="auto"/>
          <w:kern w:val="0"/>
          <w:u w:val="single"/>
          <w:lang w:val="en-US" w:eastAsia="zh-CN"/>
        </w:rPr>
        <w:t>0.357</w:t>
      </w:r>
      <w:r>
        <w:rPr>
          <w:rFonts w:hint="eastAsia"/>
          <w:color w:val="auto"/>
          <w:kern w:val="0"/>
          <w:u w:val="single"/>
        </w:rPr>
        <w:t>t/d</w:t>
      </w:r>
      <w:r>
        <w:rPr>
          <w:rFonts w:hint="eastAsia"/>
          <w:color w:val="auto"/>
          <w:kern w:val="0"/>
          <w:u w:val="single"/>
          <w:lang w:eastAsia="zh-CN"/>
        </w:rPr>
        <w:t>（</w:t>
      </w:r>
      <w:r>
        <w:rPr>
          <w:rFonts w:hint="eastAsia"/>
          <w:color w:val="auto"/>
          <w:kern w:val="0"/>
          <w:u w:val="single"/>
          <w:lang w:val="en-US" w:eastAsia="zh-CN"/>
        </w:rPr>
        <w:t>130.305</w:t>
      </w:r>
      <w:r>
        <w:rPr>
          <w:color w:val="auto"/>
          <w:kern w:val="0"/>
          <w:u w:val="single"/>
        </w:rPr>
        <w:t>t/a</w:t>
      </w:r>
      <w:r>
        <w:rPr>
          <w:rFonts w:hint="eastAsia"/>
          <w:color w:val="auto"/>
          <w:kern w:val="0"/>
          <w:u w:val="single"/>
          <w:lang w:eastAsia="zh-CN"/>
        </w:rPr>
        <w:t>，其中干物质</w:t>
      </w:r>
      <w:r>
        <w:rPr>
          <w:rFonts w:hint="eastAsia"/>
          <w:color w:val="auto"/>
          <w:kern w:val="0"/>
          <w:u w:val="single"/>
          <w:lang w:val="en-US" w:eastAsia="zh-CN"/>
        </w:rPr>
        <w:t>3.57kg/d、1.3031</w:t>
      </w:r>
      <w:r>
        <w:rPr>
          <w:color w:val="auto"/>
          <w:kern w:val="0"/>
          <w:u w:val="single"/>
        </w:rPr>
        <w:t>t/a</w:t>
      </w:r>
      <w:r>
        <w:rPr>
          <w:rFonts w:hint="eastAsia"/>
          <w:color w:val="auto"/>
          <w:kern w:val="0"/>
          <w:u w:val="single"/>
          <w:lang w:eastAsia="zh-CN"/>
        </w:rPr>
        <w:t>），经叠螺脱水机干化后含水率为</w:t>
      </w:r>
      <w:r>
        <w:rPr>
          <w:rFonts w:hint="eastAsia"/>
          <w:color w:val="auto"/>
          <w:kern w:val="0"/>
          <w:u w:val="single"/>
          <w:lang w:val="en-US" w:eastAsia="zh-CN"/>
        </w:rPr>
        <w:t>80%，干化后污泥产生量为17.85kg</w:t>
      </w:r>
      <w:r>
        <w:rPr>
          <w:rFonts w:hint="eastAsia"/>
          <w:color w:val="auto"/>
          <w:kern w:val="0"/>
          <w:u w:val="single"/>
        </w:rPr>
        <w:t>/d</w:t>
      </w:r>
      <w:r>
        <w:rPr>
          <w:rFonts w:hint="eastAsia"/>
          <w:color w:val="auto"/>
          <w:kern w:val="0"/>
          <w:u w:val="single"/>
          <w:lang w:eastAsia="zh-CN"/>
        </w:rPr>
        <w:t>（</w:t>
      </w:r>
      <w:r>
        <w:rPr>
          <w:rFonts w:hint="eastAsia"/>
          <w:color w:val="auto"/>
          <w:kern w:val="0"/>
          <w:u w:val="single"/>
          <w:lang w:val="en-US" w:eastAsia="zh-CN"/>
        </w:rPr>
        <w:t>6.5153</w:t>
      </w:r>
      <w:r>
        <w:rPr>
          <w:color w:val="auto"/>
          <w:kern w:val="0"/>
          <w:u w:val="single"/>
        </w:rPr>
        <w:t>t/a</w:t>
      </w:r>
      <w:r>
        <w:rPr>
          <w:rFonts w:hint="eastAsia"/>
          <w:color w:val="auto"/>
          <w:kern w:val="0"/>
          <w:u w:val="single"/>
          <w:lang w:eastAsia="zh-CN"/>
        </w:rPr>
        <w:t>，其中干物质</w:t>
      </w:r>
      <w:r>
        <w:rPr>
          <w:rFonts w:hint="eastAsia"/>
          <w:color w:val="auto"/>
          <w:kern w:val="0"/>
          <w:u w:val="single"/>
          <w:lang w:val="en-US" w:eastAsia="zh-CN"/>
        </w:rPr>
        <w:t>3.57kg/d、1.3031</w:t>
      </w:r>
      <w:r>
        <w:rPr>
          <w:color w:val="auto"/>
          <w:kern w:val="0"/>
          <w:u w:val="single"/>
        </w:rPr>
        <w:t>t/a</w:t>
      </w:r>
      <w:r>
        <w:rPr>
          <w:rFonts w:hint="eastAsia"/>
          <w:color w:val="auto"/>
          <w:kern w:val="0"/>
          <w:u w:val="single"/>
          <w:lang w:eastAsia="zh-CN"/>
        </w:rPr>
        <w:t>）</w:t>
      </w:r>
      <w:r>
        <w:rPr>
          <w:rFonts w:hint="eastAsia"/>
          <w:color w:val="auto"/>
          <w:kern w:val="0"/>
          <w:u w:val="single"/>
        </w:rPr>
        <w:t>。</w:t>
      </w:r>
    </w:p>
    <w:p>
      <w:pPr>
        <w:widowControl w:val="0"/>
        <w:ind w:firstLine="480"/>
        <w:jc w:val="both"/>
        <w:rPr>
          <w:color w:val="auto"/>
          <w:kern w:val="0"/>
          <w:u w:val="single"/>
        </w:rPr>
      </w:pPr>
      <w:r>
        <w:rPr>
          <w:rFonts w:hint="eastAsia"/>
          <w:color w:val="auto"/>
          <w:u w:val="single"/>
        </w:rPr>
        <w:t>根据《关于污（废）水处理设施产生污泥危险特性鉴别有关意见的函》（环函[2010]129号）：专门处理工业废水（或同时处理少量生活污水）的处理设施产生的污泥，可能具有危险特性，应按《国家危险废物名录》、国家环境保护标准《危险废物鉴别技术规范》（HJ/T298-2007）和危险废物鉴别标准的规定，对污泥进行危险特性鉴别。故项目工业污泥需鉴定，如为危险废物，运营单位应按照危险废物要求进行管理，并委托具有相应资质单位进行安全处置；如鉴别属于一般固废，</w:t>
      </w:r>
      <w:r>
        <w:rPr>
          <w:rFonts w:hint="eastAsia"/>
          <w:color w:val="auto"/>
          <w:kern w:val="0"/>
          <w:u w:val="single"/>
          <w:lang w:eastAsia="zh-CN"/>
        </w:rPr>
        <w:t>污泥经叠螺式污泥脱水机脱水后</w:t>
      </w:r>
      <w:r>
        <w:rPr>
          <w:rFonts w:hint="eastAsia"/>
          <w:color w:val="auto"/>
          <w:kern w:val="0"/>
          <w:u w:val="single"/>
        </w:rPr>
        <w:t>送到</w:t>
      </w:r>
      <w:r>
        <w:rPr>
          <w:rFonts w:hint="eastAsia"/>
          <w:color w:val="auto"/>
          <w:kern w:val="0"/>
          <w:u w:val="single"/>
          <w:lang w:eastAsia="zh-CN"/>
        </w:rPr>
        <w:t>永顺县</w:t>
      </w:r>
      <w:r>
        <w:rPr>
          <w:rFonts w:hint="eastAsia"/>
          <w:color w:val="auto"/>
          <w:kern w:val="0"/>
          <w:u w:val="single"/>
        </w:rPr>
        <w:t>垃圾填埋场卫生填埋。</w:t>
      </w:r>
    </w:p>
    <w:p>
      <w:pPr>
        <w:pStyle w:val="3"/>
        <w:wordWrap w:val="0"/>
        <w:ind w:left="0" w:firstLine="480" w:firstLineChars="200"/>
        <w:rPr>
          <w:rFonts w:hint="eastAsia" w:ascii="Times New Roman" w:hAnsi="Times New Roman" w:cs="Times New Roman"/>
          <w:color w:val="auto"/>
          <w:u w:val="single"/>
          <w:lang w:eastAsia="zh-CN"/>
        </w:rPr>
      </w:pPr>
      <w:r>
        <w:rPr>
          <w:rFonts w:hint="eastAsia" w:ascii="Times New Roman" w:hAnsi="Times New Roman" w:cs="Times New Roman"/>
          <w:color w:val="auto"/>
          <w:u w:val="single"/>
          <w:lang w:eastAsia="zh-CN"/>
        </w:rPr>
        <w:t>2）员工生活固废</w:t>
      </w:r>
    </w:p>
    <w:p>
      <w:pPr>
        <w:pStyle w:val="3"/>
        <w:wordWrap w:val="0"/>
        <w:ind w:left="0" w:firstLine="480" w:firstLineChars="200"/>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eastAsia="zh-CN"/>
        </w:rPr>
        <w:t>本项目二期仅增加</w:t>
      </w:r>
      <w:r>
        <w:rPr>
          <w:rFonts w:hint="eastAsia" w:ascii="Times New Roman" w:hAnsi="Times New Roman" w:cs="Times New Roman"/>
          <w:color w:val="auto"/>
          <w:u w:val="single"/>
          <w:lang w:val="en-US" w:eastAsia="zh-CN"/>
        </w:rPr>
        <w:t>3套MBR设备，无需增加员工管理，依托一期工程员工管理</w:t>
      </w:r>
      <w:r>
        <w:rPr>
          <w:rFonts w:hint="eastAsia" w:ascii="Times New Roman" w:hAnsi="Times New Roman" w:cs="Times New Roman"/>
          <w:color w:val="auto"/>
          <w:u w:val="single"/>
          <w:lang w:eastAsia="zh-CN"/>
        </w:rPr>
        <w:t>。故二期建成后工作人员仍然为</w:t>
      </w:r>
      <w:r>
        <w:rPr>
          <w:rFonts w:hint="eastAsia" w:ascii="Times New Roman" w:hAnsi="Times New Roman" w:cs="Times New Roman"/>
          <w:color w:val="auto"/>
          <w:u w:val="single"/>
          <w:lang w:val="en-US" w:eastAsia="zh-CN"/>
        </w:rPr>
        <w:t>5人，</w:t>
      </w:r>
      <w:r>
        <w:rPr>
          <w:rFonts w:hint="eastAsia" w:ascii="Times New Roman" w:hAnsi="Times New Roman" w:cs="Times New Roman"/>
          <w:color w:val="auto"/>
          <w:u w:val="single"/>
          <w:lang w:eastAsia="zh-CN"/>
        </w:rPr>
        <w:t>生活垃圾产生量按每人每天0.38kg计，则生活垃圾产生量为</w:t>
      </w:r>
      <w:r>
        <w:rPr>
          <w:rFonts w:hint="eastAsia" w:ascii="Times New Roman" w:hAnsi="Times New Roman" w:cs="Times New Roman"/>
          <w:color w:val="auto"/>
          <w:u w:val="single"/>
          <w:lang w:val="en-US" w:eastAsia="zh-CN"/>
        </w:rPr>
        <w:t>1.9</w:t>
      </w:r>
      <w:r>
        <w:rPr>
          <w:rFonts w:hint="eastAsia" w:ascii="Times New Roman" w:hAnsi="Times New Roman" w:cs="Times New Roman"/>
          <w:color w:val="auto"/>
          <w:u w:val="single"/>
          <w:lang w:eastAsia="zh-CN"/>
        </w:rPr>
        <w:t>kg/d</w:t>
      </w:r>
      <w:r>
        <w:rPr>
          <w:rFonts w:ascii="Times New Roman" w:hAnsi="Times New Roman" w:cs="Times New Roman"/>
          <w:color w:val="auto"/>
          <w:u w:val="single"/>
          <w:lang w:eastAsia="zh-CN"/>
        </w:rPr>
        <w:t>（</w:t>
      </w:r>
      <w:r>
        <w:rPr>
          <w:rFonts w:hint="eastAsia" w:ascii="Times New Roman" w:hAnsi="Times New Roman" w:cs="Times New Roman"/>
          <w:color w:val="auto"/>
          <w:u w:val="single"/>
          <w:lang w:val="en-US" w:eastAsia="zh-CN"/>
        </w:rPr>
        <w:t>0.6935</w:t>
      </w:r>
      <w:r>
        <w:rPr>
          <w:rFonts w:ascii="Times New Roman" w:hAnsi="Times New Roman" w:cs="Times New Roman"/>
          <w:color w:val="auto"/>
          <w:u w:val="single"/>
          <w:lang w:eastAsia="zh-CN"/>
        </w:rPr>
        <w:t>t/a）</w:t>
      </w:r>
      <w:r>
        <w:rPr>
          <w:rFonts w:hint="eastAsia" w:ascii="Times New Roman" w:hAnsi="Times New Roman" w:cs="Times New Roman"/>
          <w:color w:val="auto"/>
          <w:u w:val="single"/>
          <w:lang w:eastAsia="zh-CN"/>
        </w:rPr>
        <w:t>。</w:t>
      </w:r>
    </w:p>
    <w:p>
      <w:pPr>
        <w:pStyle w:val="3"/>
        <w:ind w:left="0" w:firstLine="420"/>
        <w:rPr>
          <w:rFonts w:hint="eastAsia" w:ascii="Times New Roman" w:hAnsi="Times New Roman" w:cs="Times New Roman"/>
          <w:color w:val="auto"/>
          <w:u w:val="single"/>
          <w:lang w:eastAsia="zh-CN"/>
        </w:rPr>
      </w:pPr>
      <w:r>
        <w:rPr>
          <w:rFonts w:ascii="Times New Roman" w:hAnsi="Times New Roman" w:cs="Times New Roman"/>
          <w:color w:val="auto"/>
          <w:u w:val="single"/>
          <w:lang w:eastAsia="zh-CN"/>
        </w:rPr>
        <w:t>3）</w:t>
      </w:r>
      <w:r>
        <w:rPr>
          <w:rFonts w:hint="eastAsia" w:ascii="Times New Roman" w:hAnsi="Times New Roman" w:cs="Times New Roman"/>
          <w:color w:val="auto"/>
          <w:u w:val="single"/>
          <w:lang w:eastAsia="zh-CN"/>
        </w:rPr>
        <w:t>废紫外灯管固体废物</w:t>
      </w:r>
    </w:p>
    <w:p>
      <w:pPr>
        <w:pStyle w:val="3"/>
        <w:ind w:left="0" w:firstLine="420"/>
        <w:rPr>
          <w:rFonts w:ascii="Times New Roman" w:hAnsi="Times New Roman" w:cs="Times New Roman"/>
          <w:color w:val="auto"/>
          <w:u w:val="single"/>
          <w:lang w:eastAsia="zh-CN"/>
        </w:rPr>
      </w:pPr>
      <w:r>
        <w:rPr>
          <w:rFonts w:hint="eastAsia" w:ascii="Times New Roman" w:hAnsi="Times New Roman" w:cs="Times New Roman"/>
          <w:color w:val="auto"/>
          <w:u w:val="single"/>
          <w:lang w:eastAsia="zh-CN"/>
        </w:rPr>
        <w:t>污水处理消毒系统在运行过程中，消毒系统中的紫外灯管一般使用寿命为一年左右，需要定期更换，二期工程建成后年废弃灯管产生量为</w:t>
      </w:r>
      <w:r>
        <w:rPr>
          <w:rFonts w:hint="eastAsia" w:ascii="Times New Roman" w:hAnsi="Times New Roman" w:cs="Times New Roman"/>
          <w:color w:val="auto"/>
          <w:u w:val="single"/>
          <w:lang w:val="en-US" w:eastAsia="zh-CN"/>
        </w:rPr>
        <w:t>0.04</w:t>
      </w:r>
      <w:r>
        <w:rPr>
          <w:rFonts w:hint="eastAsia" w:ascii="Times New Roman" w:hAnsi="Times New Roman" w:cs="Times New Roman"/>
          <w:color w:val="auto"/>
          <w:u w:val="single"/>
          <w:lang w:eastAsia="zh-CN"/>
        </w:rPr>
        <w:t>t/a，更换下来的灯管由厂家回收。</w:t>
      </w:r>
    </w:p>
    <w:p>
      <w:pPr>
        <w:pStyle w:val="3"/>
        <w:ind w:left="0" w:firstLine="420"/>
        <w:rPr>
          <w:rFonts w:ascii="Times New Roman" w:hAnsi="Times New Roman" w:cs="Times New Roman"/>
          <w:color w:val="auto"/>
          <w:u w:val="single"/>
          <w:lang w:eastAsia="zh-CN"/>
        </w:rPr>
      </w:pPr>
      <w:r>
        <w:rPr>
          <w:rFonts w:hint="eastAsia" w:ascii="Times New Roman" w:hAnsi="Times New Roman" w:cs="Times New Roman"/>
          <w:color w:val="auto"/>
          <w:u w:val="single"/>
          <w:lang w:eastAsia="zh-CN"/>
        </w:rPr>
        <w:t>4）废活性炭</w:t>
      </w:r>
    </w:p>
    <w:p>
      <w:pPr>
        <w:ind w:firstLine="480"/>
        <w:jc w:val="both"/>
        <w:rPr>
          <w:rFonts w:hint="default" w:eastAsia="宋体"/>
          <w:color w:val="auto"/>
          <w:szCs w:val="21"/>
          <w:u w:val="single"/>
          <w:lang w:val="en-US" w:eastAsia="zh-CN"/>
        </w:rPr>
      </w:pPr>
      <w:r>
        <w:rPr>
          <w:rFonts w:hint="eastAsia"/>
          <w:color w:val="auto"/>
          <w:u w:val="single"/>
          <w:lang w:eastAsia="zh-CN"/>
        </w:rPr>
        <w:t>本项目臭气依托一期工程，不再新增废气治理措施</w:t>
      </w:r>
      <w:r>
        <w:rPr>
          <w:rFonts w:hint="eastAsia"/>
          <w:color w:val="auto"/>
          <w:szCs w:val="21"/>
          <w:u w:val="single"/>
        </w:rPr>
        <w:t>，</w:t>
      </w:r>
      <w:r>
        <w:rPr>
          <w:rFonts w:hint="eastAsia"/>
          <w:color w:val="auto"/>
          <w:szCs w:val="21"/>
          <w:u w:val="single"/>
          <w:lang w:eastAsia="zh-CN"/>
        </w:rPr>
        <w:t>故不新增废活性炭</w:t>
      </w:r>
      <w:r>
        <w:rPr>
          <w:color w:val="auto"/>
          <w:szCs w:val="21"/>
          <w:u w:val="single"/>
        </w:rPr>
        <w:t>。</w:t>
      </w:r>
      <w:r>
        <w:rPr>
          <w:rFonts w:hint="eastAsia"/>
          <w:color w:val="auto"/>
          <w:szCs w:val="21"/>
          <w:u w:val="single"/>
          <w:lang w:eastAsia="zh-CN"/>
        </w:rPr>
        <w:t>废活性炭产生量仍然为</w:t>
      </w:r>
      <w:r>
        <w:rPr>
          <w:rFonts w:hint="eastAsia"/>
          <w:color w:val="auto"/>
          <w:szCs w:val="21"/>
          <w:u w:val="single"/>
          <w:lang w:val="en-US" w:eastAsia="zh-CN"/>
        </w:rPr>
        <w:t>0.015t/a。</w:t>
      </w:r>
    </w:p>
    <w:p>
      <w:pPr>
        <w:pStyle w:val="3"/>
        <w:ind w:left="0"/>
        <w:jc w:val="center"/>
        <w:rPr>
          <w:rFonts w:hint="eastAsia" w:ascii="Times New Roman" w:hAnsi="Times New Roman"/>
          <w:b/>
          <w:color w:val="auto"/>
          <w:sz w:val="21"/>
          <w:szCs w:val="21"/>
          <w:u w:val="single"/>
          <w:lang w:eastAsia="zh-CN"/>
        </w:rPr>
      </w:pPr>
      <w:r>
        <w:rPr>
          <w:rFonts w:hint="eastAsia" w:ascii="Times New Roman" w:hAnsi="Times New Roman"/>
          <w:b/>
          <w:color w:val="auto"/>
          <w:sz w:val="21"/>
          <w:szCs w:val="21"/>
          <w:u w:val="single"/>
          <w:lang w:eastAsia="zh-CN"/>
        </w:rPr>
        <w:t>表</w:t>
      </w:r>
      <w:r>
        <w:rPr>
          <w:rFonts w:hint="eastAsia" w:ascii="Times New Roman" w:hAnsi="Times New Roman" w:cs="Times New Roman"/>
          <w:b/>
          <w:color w:val="auto"/>
          <w:sz w:val="21"/>
          <w:szCs w:val="21"/>
          <w:u w:val="single"/>
          <w:lang w:eastAsia="zh-CN"/>
        </w:rPr>
        <w:t>2</w:t>
      </w:r>
      <w:r>
        <w:rPr>
          <w:rFonts w:ascii="Times New Roman" w:hAnsi="Times New Roman" w:cs="Times New Roman"/>
          <w:b/>
          <w:color w:val="auto"/>
          <w:sz w:val="21"/>
          <w:szCs w:val="21"/>
          <w:u w:val="single"/>
          <w:lang w:eastAsia="zh-CN"/>
        </w:rPr>
        <w:t>.</w:t>
      </w:r>
      <w:r>
        <w:rPr>
          <w:rFonts w:hint="eastAsia" w:ascii="Times New Roman" w:hAnsi="Times New Roman" w:cs="Times New Roman"/>
          <w:b/>
          <w:color w:val="auto"/>
          <w:sz w:val="21"/>
          <w:szCs w:val="21"/>
          <w:u w:val="single"/>
          <w:lang w:eastAsia="zh-CN"/>
        </w:rPr>
        <w:t>4</w:t>
      </w:r>
      <w:r>
        <w:rPr>
          <w:rFonts w:ascii="Times New Roman" w:hAnsi="Times New Roman" w:cs="Times New Roman"/>
          <w:b/>
          <w:color w:val="auto"/>
          <w:sz w:val="21"/>
          <w:szCs w:val="21"/>
          <w:u w:val="single"/>
          <w:lang w:eastAsia="zh-CN"/>
        </w:rPr>
        <w:t>-</w:t>
      </w:r>
      <w:r>
        <w:rPr>
          <w:rFonts w:hint="eastAsia" w:ascii="Times New Roman" w:hAnsi="Times New Roman" w:cs="Times New Roman"/>
          <w:b/>
          <w:color w:val="auto"/>
          <w:sz w:val="21"/>
          <w:szCs w:val="21"/>
          <w:u w:val="single"/>
          <w:lang w:val="en-US" w:eastAsia="zh-CN"/>
        </w:rPr>
        <w:t>20  二期建成后</w:t>
      </w:r>
      <w:r>
        <w:rPr>
          <w:rFonts w:hint="eastAsia" w:ascii="Times New Roman" w:hAnsi="Times New Roman"/>
          <w:b/>
          <w:color w:val="auto"/>
          <w:sz w:val="21"/>
          <w:szCs w:val="21"/>
          <w:u w:val="single"/>
          <w:lang w:eastAsia="zh-CN"/>
        </w:rPr>
        <w:t>本项目运营期固体废物产生量</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1457"/>
        <w:gridCol w:w="1407"/>
        <w:gridCol w:w="1405"/>
        <w:gridCol w:w="1399"/>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vMerge w:val="restart"/>
            <w:noWrap w:val="0"/>
            <w:vAlign w:val="center"/>
          </w:tcPr>
          <w:p>
            <w:pPr>
              <w:pStyle w:val="3"/>
              <w:spacing w:line="240" w:lineRule="auto"/>
              <w:ind w:left="0"/>
              <w:jc w:val="center"/>
              <w:rPr>
                <w:rFonts w:hint="default" w:ascii="Times New Roman" w:hAnsi="Times New Roman" w:cs="Times New Roman"/>
                <w:b/>
                <w:color w:val="auto"/>
                <w:sz w:val="21"/>
                <w:szCs w:val="21"/>
                <w:u w:val="single"/>
                <w:lang w:eastAsia="zh-CN"/>
              </w:rPr>
            </w:pPr>
            <w:r>
              <w:rPr>
                <w:rFonts w:hint="default" w:ascii="Times New Roman" w:hAnsi="Times New Roman" w:cs="Times New Roman"/>
                <w:b/>
                <w:color w:val="auto"/>
                <w:sz w:val="21"/>
                <w:szCs w:val="21"/>
                <w:u w:val="single"/>
                <w:lang w:eastAsia="zh-CN"/>
              </w:rPr>
              <w:t>来源及种类</w:t>
            </w:r>
          </w:p>
        </w:tc>
        <w:tc>
          <w:tcPr>
            <w:tcW w:w="1457" w:type="dxa"/>
            <w:vMerge w:val="restart"/>
            <w:noWrap w:val="0"/>
            <w:vAlign w:val="center"/>
          </w:tcPr>
          <w:p>
            <w:pPr>
              <w:pStyle w:val="3"/>
              <w:spacing w:line="240" w:lineRule="auto"/>
              <w:ind w:left="0"/>
              <w:jc w:val="center"/>
              <w:rPr>
                <w:rFonts w:hint="default" w:ascii="Times New Roman" w:hAnsi="Times New Roman" w:cs="Times New Roman"/>
                <w:b/>
                <w:color w:val="auto"/>
                <w:sz w:val="21"/>
                <w:szCs w:val="21"/>
                <w:u w:val="single"/>
                <w:lang w:eastAsia="zh-CN"/>
              </w:rPr>
            </w:pPr>
            <w:r>
              <w:rPr>
                <w:rFonts w:hint="default" w:ascii="Times New Roman" w:hAnsi="Times New Roman" w:cs="Times New Roman"/>
                <w:b/>
                <w:color w:val="auto"/>
                <w:sz w:val="21"/>
                <w:szCs w:val="21"/>
                <w:u w:val="single"/>
                <w:lang w:eastAsia="zh-CN"/>
              </w:rPr>
              <w:t>发生系数</w:t>
            </w:r>
          </w:p>
        </w:tc>
        <w:tc>
          <w:tcPr>
            <w:tcW w:w="2812" w:type="dxa"/>
            <w:gridSpan w:val="2"/>
            <w:noWrap w:val="0"/>
            <w:vAlign w:val="center"/>
          </w:tcPr>
          <w:p>
            <w:pPr>
              <w:pStyle w:val="3"/>
              <w:spacing w:line="240" w:lineRule="auto"/>
              <w:ind w:left="0"/>
              <w:jc w:val="center"/>
              <w:rPr>
                <w:rFonts w:hint="default" w:ascii="Times New Roman" w:hAnsi="Times New Roman" w:cs="Times New Roman"/>
                <w:b/>
                <w:color w:val="auto"/>
                <w:sz w:val="21"/>
                <w:szCs w:val="21"/>
                <w:u w:val="single"/>
                <w:lang w:eastAsia="zh-CN"/>
              </w:rPr>
            </w:pPr>
            <w:r>
              <w:rPr>
                <w:rFonts w:hint="default" w:ascii="Times New Roman" w:hAnsi="Times New Roman" w:cs="Times New Roman"/>
                <w:b/>
                <w:color w:val="auto"/>
                <w:sz w:val="21"/>
                <w:szCs w:val="21"/>
                <w:u w:val="single"/>
                <w:lang w:eastAsia="zh-CN"/>
              </w:rPr>
              <w:t>产生量</w:t>
            </w:r>
          </w:p>
        </w:tc>
        <w:tc>
          <w:tcPr>
            <w:tcW w:w="1399" w:type="dxa"/>
            <w:vMerge w:val="restart"/>
            <w:noWrap w:val="0"/>
            <w:vAlign w:val="center"/>
          </w:tcPr>
          <w:p>
            <w:pPr>
              <w:pStyle w:val="3"/>
              <w:spacing w:line="240" w:lineRule="auto"/>
              <w:ind w:left="0"/>
              <w:jc w:val="center"/>
              <w:rPr>
                <w:rFonts w:hint="default" w:ascii="Times New Roman" w:hAnsi="Times New Roman" w:cs="Times New Roman"/>
                <w:b/>
                <w:color w:val="auto"/>
                <w:sz w:val="21"/>
                <w:szCs w:val="21"/>
                <w:u w:val="single"/>
                <w:lang w:eastAsia="zh-CN"/>
              </w:rPr>
            </w:pPr>
            <w:r>
              <w:rPr>
                <w:rFonts w:hint="eastAsia" w:ascii="Times New Roman" w:hAnsi="Times New Roman" w:cs="Times New Roman"/>
                <w:b/>
                <w:color w:val="auto"/>
                <w:sz w:val="21"/>
                <w:szCs w:val="21"/>
                <w:u w:val="single"/>
                <w:lang w:eastAsia="zh-CN"/>
              </w:rPr>
              <w:t>属性</w:t>
            </w:r>
          </w:p>
        </w:tc>
        <w:tc>
          <w:tcPr>
            <w:tcW w:w="1398" w:type="dxa"/>
            <w:vMerge w:val="restart"/>
            <w:noWrap w:val="0"/>
            <w:vAlign w:val="center"/>
          </w:tcPr>
          <w:p>
            <w:pPr>
              <w:pStyle w:val="3"/>
              <w:spacing w:line="240" w:lineRule="auto"/>
              <w:ind w:left="0"/>
              <w:jc w:val="center"/>
              <w:rPr>
                <w:rFonts w:hint="default" w:ascii="Times New Roman" w:hAnsi="Times New Roman" w:cs="Times New Roman"/>
                <w:b/>
                <w:color w:val="auto"/>
                <w:sz w:val="21"/>
                <w:szCs w:val="21"/>
                <w:u w:val="single"/>
                <w:lang w:eastAsia="zh-CN"/>
              </w:rPr>
            </w:pPr>
            <w:r>
              <w:rPr>
                <w:rFonts w:hint="eastAsia" w:ascii="Times New Roman" w:hAnsi="Times New Roman" w:cs="Times New Roman"/>
                <w:b/>
                <w:color w:val="auto"/>
                <w:sz w:val="21"/>
                <w:szCs w:val="21"/>
                <w:u w:val="single"/>
                <w:lang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vMerge w:val="continue"/>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p>
        </w:tc>
        <w:tc>
          <w:tcPr>
            <w:tcW w:w="1457" w:type="dxa"/>
            <w:vMerge w:val="continue"/>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每天</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每年（t/a）</w:t>
            </w:r>
          </w:p>
        </w:tc>
        <w:tc>
          <w:tcPr>
            <w:tcW w:w="1399" w:type="dxa"/>
            <w:vMerge w:val="continue"/>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p>
        </w:tc>
        <w:tc>
          <w:tcPr>
            <w:tcW w:w="1398" w:type="dxa"/>
            <w:vMerge w:val="continue"/>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6" w:type="dxa"/>
            <w:gridSpan w:val="6"/>
            <w:noWrap w:val="0"/>
            <w:vAlign w:val="center"/>
          </w:tcPr>
          <w:p>
            <w:pPr>
              <w:pStyle w:val="3"/>
              <w:spacing w:line="240" w:lineRule="auto"/>
              <w:ind w:left="0"/>
              <w:jc w:val="both"/>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1、工艺污泥固废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格栅渣</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0.05kg/</w:t>
            </w:r>
            <w:r>
              <w:rPr>
                <w:rFonts w:hint="default" w:ascii="Times New Roman" w:hAnsi="Times New Roman" w:cs="Times New Roman"/>
                <w:color w:val="auto"/>
                <w:sz w:val="21"/>
                <w:szCs w:val="21"/>
                <w:u w:val="single"/>
                <w:lang w:eastAsia="zh-CN"/>
              </w:rPr>
              <w:t>m</w:t>
            </w:r>
            <w:r>
              <w:rPr>
                <w:rFonts w:hint="default" w:ascii="Times New Roman" w:hAnsi="Times New Roman" w:cs="Times New Roman"/>
                <w:color w:val="auto"/>
                <w:sz w:val="21"/>
                <w:szCs w:val="21"/>
                <w:u w:val="single"/>
                <w:vertAlign w:val="superscript"/>
                <w:lang w:eastAsia="zh-CN"/>
              </w:rPr>
              <w:t>3</w:t>
            </w: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50</w:t>
            </w:r>
            <w:r>
              <w:rPr>
                <w:rFonts w:hint="default" w:ascii="Times New Roman" w:hAnsi="Times New Roman" w:cs="Times New Roman"/>
                <w:color w:val="auto"/>
                <w:sz w:val="21"/>
                <w:szCs w:val="21"/>
                <w:u w:val="single"/>
                <w:lang w:val="en-US" w:eastAsia="zh-CN"/>
              </w:rPr>
              <w:t>kg</w:t>
            </w:r>
            <w:r>
              <w:rPr>
                <w:rFonts w:hint="default" w:ascii="Times New Roman" w:hAnsi="Times New Roman" w:cs="Times New Roman"/>
                <w:color w:val="auto"/>
                <w:sz w:val="21"/>
                <w:szCs w:val="21"/>
                <w:u w:val="single"/>
                <w:lang w:eastAsia="zh-CN"/>
              </w:rPr>
              <w:t>/d</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18.25</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color w:val="auto"/>
                <w:kern w:val="0"/>
                <w:sz w:val="21"/>
                <w:szCs w:val="21"/>
                <w:u w:val="single"/>
              </w:rPr>
              <w:t>一般固废</w:t>
            </w:r>
          </w:p>
        </w:tc>
        <w:tc>
          <w:tcPr>
            <w:tcW w:w="1398" w:type="dxa"/>
            <w:vMerge w:val="restart"/>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运输至永顺县垃圾填埋场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沉砂</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0.</w:t>
            </w:r>
            <w:r>
              <w:rPr>
                <w:rFonts w:hint="eastAsia" w:ascii="Times New Roman" w:hAnsi="Times New Roman" w:cs="Times New Roman"/>
                <w:color w:val="auto"/>
                <w:sz w:val="21"/>
                <w:szCs w:val="21"/>
                <w:u w:val="single"/>
                <w:lang w:val="en-US" w:eastAsia="zh-CN"/>
              </w:rPr>
              <w:t>45t/10000</w:t>
            </w:r>
            <w:r>
              <w:rPr>
                <w:rFonts w:hint="default" w:ascii="Times New Roman" w:hAnsi="Times New Roman" w:cs="Times New Roman"/>
                <w:color w:val="auto"/>
                <w:sz w:val="21"/>
                <w:szCs w:val="21"/>
                <w:u w:val="single"/>
                <w:lang w:eastAsia="zh-CN"/>
              </w:rPr>
              <w:t>m</w:t>
            </w:r>
            <w:r>
              <w:rPr>
                <w:rFonts w:hint="default" w:ascii="Times New Roman" w:hAnsi="Times New Roman" w:cs="Times New Roman"/>
                <w:color w:val="auto"/>
                <w:sz w:val="21"/>
                <w:szCs w:val="21"/>
                <w:u w:val="single"/>
                <w:vertAlign w:val="superscript"/>
                <w:lang w:eastAsia="zh-CN"/>
              </w:rPr>
              <w:t>3</w:t>
            </w: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45</w:t>
            </w:r>
            <w:r>
              <w:rPr>
                <w:rFonts w:hint="default" w:ascii="Times New Roman" w:hAnsi="Times New Roman" w:cs="Times New Roman"/>
                <w:color w:val="auto"/>
                <w:sz w:val="21"/>
                <w:szCs w:val="21"/>
                <w:u w:val="single"/>
                <w:lang w:val="en-US" w:eastAsia="zh-CN"/>
              </w:rPr>
              <w:t>kg</w:t>
            </w:r>
            <w:r>
              <w:rPr>
                <w:rFonts w:hint="default" w:ascii="Times New Roman" w:hAnsi="Times New Roman" w:cs="Times New Roman"/>
                <w:color w:val="auto"/>
                <w:sz w:val="21"/>
                <w:szCs w:val="21"/>
                <w:u w:val="single"/>
                <w:lang w:eastAsia="zh-CN"/>
              </w:rPr>
              <w:t>/d</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16.425</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一般固废</w:t>
            </w:r>
          </w:p>
        </w:tc>
        <w:tc>
          <w:tcPr>
            <w:tcW w:w="1398" w:type="dxa"/>
            <w:vMerge w:val="continue"/>
            <w:noWrap w:val="0"/>
            <w:vAlign w:val="center"/>
          </w:tcPr>
          <w:p>
            <w:pPr>
              <w:pStyle w:val="3"/>
              <w:spacing w:line="240" w:lineRule="auto"/>
              <w:ind w:left="0" w:leftChars="0" w:firstLine="0" w:firstLineChars="0"/>
              <w:jc w:val="center"/>
              <w:rPr>
                <w:rFonts w:hint="default" w:ascii="Times New Roman" w:hAnsi="Times New Roman" w:cs="Times New Roman"/>
                <w:color w:val="auto"/>
                <w:kern w:val="0"/>
                <w:sz w:val="21"/>
                <w:szCs w:val="21"/>
                <w:u w:val="singl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污泥</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3.57t/104m</w:t>
            </w:r>
            <w:r>
              <w:rPr>
                <w:rFonts w:hint="default" w:ascii="Times New Roman" w:hAnsi="Times New Roman" w:cs="Times New Roman"/>
                <w:color w:val="auto"/>
                <w:sz w:val="21"/>
                <w:szCs w:val="21"/>
                <w:u w:val="single"/>
                <w:vertAlign w:val="superscript"/>
                <w:lang w:eastAsia="zh-CN"/>
              </w:rPr>
              <w:t>3</w:t>
            </w:r>
            <w:r>
              <w:rPr>
                <w:rFonts w:hint="default" w:ascii="Times New Roman" w:hAnsi="Times New Roman" w:cs="Times New Roman"/>
                <w:color w:val="auto"/>
                <w:sz w:val="21"/>
                <w:szCs w:val="21"/>
                <w:u w:val="single"/>
                <w:lang w:eastAsia="zh-CN"/>
              </w:rPr>
              <w:t>污水</w:t>
            </w: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17.85</w:t>
            </w:r>
            <w:r>
              <w:rPr>
                <w:rFonts w:hint="default" w:ascii="Times New Roman" w:hAnsi="Times New Roman" w:cs="Times New Roman"/>
                <w:color w:val="auto"/>
                <w:sz w:val="21"/>
                <w:szCs w:val="21"/>
                <w:u w:val="single"/>
                <w:lang w:val="en-US" w:eastAsia="zh-CN"/>
              </w:rPr>
              <w:t>kg</w:t>
            </w:r>
            <w:r>
              <w:rPr>
                <w:rFonts w:hint="default" w:ascii="Times New Roman" w:hAnsi="Times New Roman" w:cs="Times New Roman"/>
                <w:color w:val="auto"/>
                <w:sz w:val="21"/>
                <w:szCs w:val="21"/>
                <w:u w:val="single"/>
                <w:lang w:eastAsia="zh-CN"/>
              </w:rPr>
              <w:t>/d</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6.5153</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待鉴定</w:t>
            </w:r>
          </w:p>
        </w:tc>
        <w:tc>
          <w:tcPr>
            <w:tcW w:w="1398"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鉴定为危险废物，则交由第三方有资质公司处理，否则交由永顺县环卫部门运输至永顺县垃圾填埋场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小计</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w:t>
            </w:r>
          </w:p>
        </w:tc>
        <w:tc>
          <w:tcPr>
            <w:tcW w:w="1407" w:type="dxa"/>
            <w:noWrap w:val="0"/>
            <w:vAlign w:val="center"/>
          </w:tcPr>
          <w:p>
            <w:pPr>
              <w:pStyle w:val="73"/>
              <w:jc w:val="center"/>
              <w:rPr>
                <w:rFonts w:hint="default" w:ascii="Times New Roman" w:hAnsi="Times New Roman" w:cs="Times New Roman"/>
                <w:color w:val="auto"/>
                <w:sz w:val="21"/>
                <w:szCs w:val="21"/>
                <w:u w:val="single"/>
              </w:rPr>
            </w:pPr>
            <w:r>
              <w:rPr>
                <w:rFonts w:hint="eastAsia" w:ascii="Times New Roman" w:hAnsi="Times New Roman" w:cs="Times New Roman"/>
                <w:color w:val="auto"/>
                <w:sz w:val="21"/>
                <w:szCs w:val="21"/>
                <w:u w:val="single"/>
                <w:lang w:val="en-US" w:eastAsia="zh-CN"/>
              </w:rPr>
              <w:t>112.85</w:t>
            </w:r>
            <w:r>
              <w:rPr>
                <w:rFonts w:hint="default" w:ascii="Times New Roman" w:hAnsi="Times New Roman" w:cs="Times New Roman"/>
                <w:color w:val="auto"/>
                <w:sz w:val="21"/>
                <w:szCs w:val="21"/>
                <w:u w:val="single"/>
                <w:lang w:val="en-US" w:eastAsia="zh-CN"/>
              </w:rPr>
              <w:t>kg</w:t>
            </w:r>
            <w:r>
              <w:rPr>
                <w:rFonts w:hint="default" w:ascii="Times New Roman" w:hAnsi="Times New Roman" w:cs="Times New Roman"/>
                <w:color w:val="auto"/>
                <w:sz w:val="21"/>
                <w:szCs w:val="21"/>
                <w:u w:val="single"/>
              </w:rPr>
              <w:t>/d</w:t>
            </w:r>
          </w:p>
        </w:tc>
        <w:tc>
          <w:tcPr>
            <w:tcW w:w="1405" w:type="dxa"/>
            <w:noWrap w:val="0"/>
            <w:vAlign w:val="center"/>
          </w:tcPr>
          <w:p>
            <w:pPr>
              <w:pStyle w:val="73"/>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41.1903</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w:t>
            </w:r>
          </w:p>
        </w:tc>
        <w:tc>
          <w:tcPr>
            <w:tcW w:w="1398"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2</w:t>
            </w:r>
            <w:r>
              <w:rPr>
                <w:rFonts w:hint="default" w:ascii="Times New Roman" w:hAnsi="Times New Roman" w:cs="Times New Roman"/>
                <w:color w:val="auto"/>
                <w:sz w:val="21"/>
                <w:szCs w:val="21"/>
                <w:u w:val="single"/>
                <w:lang w:eastAsia="zh-CN"/>
              </w:rPr>
              <w:t>、废弃紫外灯管固体废物</w:t>
            </w:r>
          </w:p>
        </w:tc>
        <w:tc>
          <w:tcPr>
            <w:tcW w:w="1457"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w:t>
            </w:r>
          </w:p>
        </w:tc>
        <w:tc>
          <w:tcPr>
            <w:tcW w:w="1407"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w:t>
            </w:r>
          </w:p>
        </w:tc>
        <w:tc>
          <w:tcPr>
            <w:tcW w:w="1405"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0.04</w:t>
            </w:r>
          </w:p>
        </w:tc>
        <w:tc>
          <w:tcPr>
            <w:tcW w:w="1399"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危险废物</w:t>
            </w:r>
          </w:p>
        </w:tc>
        <w:tc>
          <w:tcPr>
            <w:tcW w:w="1398"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3</w:t>
            </w:r>
            <w:r>
              <w:rPr>
                <w:rFonts w:hint="default" w:ascii="Times New Roman" w:hAnsi="Times New Roman" w:cs="Times New Roman"/>
                <w:color w:val="auto"/>
                <w:sz w:val="21"/>
                <w:szCs w:val="21"/>
                <w:u w:val="single"/>
                <w:lang w:eastAsia="zh-CN"/>
              </w:rPr>
              <w:t>、废活性炭</w:t>
            </w:r>
          </w:p>
        </w:tc>
        <w:tc>
          <w:tcPr>
            <w:tcW w:w="1457"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0.0</w:t>
            </w:r>
            <w:r>
              <w:rPr>
                <w:rFonts w:hint="default" w:ascii="Times New Roman" w:hAnsi="Times New Roman" w:cs="Times New Roman"/>
                <w:color w:val="auto"/>
                <w:sz w:val="21"/>
                <w:szCs w:val="21"/>
                <w:u w:val="single"/>
                <w:lang w:val="en-US" w:eastAsia="zh-CN"/>
              </w:rPr>
              <w:t>15</w:t>
            </w:r>
          </w:p>
        </w:tc>
        <w:tc>
          <w:tcPr>
            <w:tcW w:w="1407"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w:t>
            </w:r>
          </w:p>
        </w:tc>
        <w:tc>
          <w:tcPr>
            <w:tcW w:w="1405"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0.015</w:t>
            </w:r>
          </w:p>
        </w:tc>
        <w:tc>
          <w:tcPr>
            <w:tcW w:w="1399"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危险废物</w:t>
            </w:r>
          </w:p>
        </w:tc>
        <w:tc>
          <w:tcPr>
            <w:tcW w:w="1398"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4、生活垃圾</w:t>
            </w:r>
          </w:p>
        </w:tc>
        <w:tc>
          <w:tcPr>
            <w:tcW w:w="1457"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0.38kg/</w:t>
            </w:r>
            <w:r>
              <w:rPr>
                <w:rFonts w:hint="eastAsia" w:ascii="Times New Roman" w:hAnsi="Times New Roman" w:cs="Times New Roman"/>
                <w:color w:val="auto"/>
                <w:sz w:val="21"/>
                <w:szCs w:val="21"/>
                <w:u w:val="single"/>
                <w:lang w:eastAsia="zh-CN"/>
              </w:rPr>
              <w:t>人</w:t>
            </w:r>
            <w:r>
              <w:rPr>
                <w:rFonts w:hint="eastAsia" w:ascii="Times New Roman" w:hAnsi="Times New Roman" w:cs="Times New Roman"/>
                <w:color w:val="auto"/>
                <w:sz w:val="21"/>
                <w:szCs w:val="21"/>
                <w:u w:val="single"/>
                <w:lang w:val="en-US" w:eastAsia="zh-CN"/>
              </w:rPr>
              <w:t>·</w:t>
            </w:r>
            <w:r>
              <w:rPr>
                <w:rFonts w:hint="default" w:ascii="Times New Roman" w:hAnsi="Times New Roman" w:cs="Times New Roman"/>
                <w:color w:val="auto"/>
                <w:sz w:val="21"/>
                <w:szCs w:val="21"/>
                <w:u w:val="single"/>
                <w:lang w:eastAsia="zh-CN"/>
              </w:rPr>
              <w:t>d</w:t>
            </w:r>
          </w:p>
        </w:tc>
        <w:tc>
          <w:tcPr>
            <w:tcW w:w="1407"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1.9</w:t>
            </w:r>
            <w:r>
              <w:rPr>
                <w:rFonts w:hint="default" w:ascii="Times New Roman" w:hAnsi="Times New Roman" w:cs="Times New Roman"/>
                <w:color w:val="auto"/>
                <w:sz w:val="21"/>
                <w:szCs w:val="21"/>
                <w:u w:val="single"/>
                <w:lang w:eastAsia="zh-CN"/>
              </w:rPr>
              <w:t>kg/d</w:t>
            </w:r>
          </w:p>
        </w:tc>
        <w:tc>
          <w:tcPr>
            <w:tcW w:w="1405"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0.6935</w:t>
            </w:r>
          </w:p>
        </w:tc>
        <w:tc>
          <w:tcPr>
            <w:tcW w:w="1399"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生活垃圾</w:t>
            </w:r>
          </w:p>
        </w:tc>
        <w:tc>
          <w:tcPr>
            <w:tcW w:w="1398"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运输至永顺县垃圾填埋场</w:t>
            </w:r>
          </w:p>
        </w:tc>
      </w:tr>
    </w:tbl>
    <w:p>
      <w:pPr>
        <w:bidi w:val="0"/>
        <w:rPr>
          <w:rFonts w:hint="eastAsia"/>
          <w:lang w:eastAsia="zh-CN"/>
        </w:rPr>
      </w:pPr>
    </w:p>
    <w:p>
      <w:pPr>
        <w:bidi w:val="0"/>
        <w:rPr>
          <w:rFonts w:hint="eastAsia"/>
          <w:lang w:eastAsia="zh-CN"/>
        </w:rPr>
        <w:sectPr>
          <w:pgSz w:w="11850" w:h="16790"/>
          <w:pgMar w:top="1440" w:right="1800" w:bottom="1440" w:left="1800" w:header="720" w:footer="397" w:gutter="0"/>
          <w:pgBorders w:offsetFrom="page">
            <w:top w:val="none" w:sz="0" w:space="0"/>
            <w:left w:val="none" w:sz="0" w:space="0"/>
            <w:bottom w:val="none" w:sz="0" w:space="0"/>
            <w:right w:val="none" w:sz="0" w:space="0"/>
          </w:pgBorders>
          <w:cols w:space="720" w:num="1"/>
          <w:docGrid w:linePitch="326" w:charSpace="0"/>
        </w:sectPr>
      </w:pPr>
    </w:p>
    <w:p>
      <w:pPr>
        <w:pStyle w:val="69"/>
        <w:rPr>
          <w:rFonts w:hint="eastAsia"/>
          <w:color w:val="auto"/>
          <w:u w:val="none"/>
        </w:rPr>
      </w:pPr>
      <w:r>
        <w:rPr>
          <w:rFonts w:hint="eastAsia"/>
          <w:color w:val="auto"/>
          <w:u w:val="none"/>
        </w:rPr>
        <w:t>2.4.</w:t>
      </w:r>
      <w:r>
        <w:rPr>
          <w:rFonts w:hint="eastAsia"/>
          <w:color w:val="auto"/>
          <w:u w:val="none"/>
          <w:lang w:val="en-US" w:eastAsia="zh-CN"/>
        </w:rPr>
        <w:t>6</w:t>
      </w:r>
      <w:r>
        <w:rPr>
          <w:rFonts w:hint="eastAsia"/>
          <w:color w:val="auto"/>
          <w:u w:val="none"/>
        </w:rPr>
        <w:t>.5</w:t>
      </w:r>
      <w:r>
        <w:rPr>
          <w:rFonts w:hint="eastAsia"/>
          <w:color w:val="auto"/>
          <w:u w:val="none"/>
          <w:lang w:val="en-US" w:eastAsia="zh-CN"/>
        </w:rPr>
        <w:t>二期</w:t>
      </w:r>
      <w:r>
        <w:rPr>
          <w:rFonts w:hint="eastAsia"/>
          <w:color w:val="auto"/>
          <w:u w:val="none"/>
        </w:rPr>
        <w:t>工程运营期污染源排放量汇总</w:t>
      </w:r>
    </w:p>
    <w:p>
      <w:pPr>
        <w:pStyle w:val="3"/>
        <w:ind w:left="0" w:firstLine="480" w:firstLineChars="20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本工程二期工程建成后运营期污染物产生及排放情况汇总详见表2.4</w:t>
      </w:r>
      <w:r>
        <w:rPr>
          <w:rFonts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21</w:t>
      </w:r>
      <w:r>
        <w:rPr>
          <w:rFonts w:hint="eastAsia" w:ascii="Times New Roman" w:hAnsi="Times New Roman" w:cs="Times New Roman"/>
          <w:color w:val="auto"/>
          <w:u w:val="none"/>
          <w:lang w:eastAsia="zh-CN"/>
        </w:rPr>
        <w:t>。</w:t>
      </w:r>
    </w:p>
    <w:p>
      <w:pPr>
        <w:pStyle w:val="3"/>
        <w:ind w:left="0"/>
        <w:jc w:val="center"/>
        <w:rPr>
          <w:rFonts w:hint="eastAsia" w:ascii="Times New Roman" w:hAnsi="Times New Roman" w:cs="Times New Roman"/>
          <w:b/>
          <w:color w:val="auto"/>
          <w:sz w:val="21"/>
          <w:szCs w:val="21"/>
          <w:u w:val="none"/>
          <w:lang w:eastAsia="zh-CN"/>
        </w:rPr>
      </w:pPr>
      <w:r>
        <w:rPr>
          <w:rFonts w:hint="eastAsia" w:ascii="Times New Roman" w:hAnsi="Times New Roman" w:cs="Times New Roman"/>
          <w:b/>
          <w:color w:val="auto"/>
          <w:sz w:val="21"/>
          <w:szCs w:val="21"/>
          <w:u w:val="none"/>
          <w:lang w:eastAsia="zh-CN"/>
        </w:rPr>
        <w:t>表2.4</w:t>
      </w:r>
      <w:r>
        <w:rPr>
          <w:rFonts w:ascii="Times New Roman" w:hAnsi="Times New Roman" w:cs="Times New Roman"/>
          <w:b/>
          <w:color w:val="auto"/>
          <w:sz w:val="21"/>
          <w:szCs w:val="21"/>
          <w:u w:val="none"/>
          <w:lang w:eastAsia="zh-CN"/>
        </w:rPr>
        <w:t>-</w:t>
      </w:r>
      <w:r>
        <w:rPr>
          <w:rFonts w:hint="eastAsia" w:ascii="Times New Roman" w:hAnsi="Times New Roman" w:cs="Times New Roman"/>
          <w:b/>
          <w:color w:val="auto"/>
          <w:sz w:val="21"/>
          <w:szCs w:val="21"/>
          <w:u w:val="none"/>
          <w:lang w:val="en-US" w:eastAsia="zh-CN"/>
        </w:rPr>
        <w:t xml:space="preserve">21  </w:t>
      </w:r>
      <w:r>
        <w:rPr>
          <w:rFonts w:hint="eastAsia" w:ascii="Times New Roman" w:hAnsi="Times New Roman" w:cs="Times New Roman"/>
          <w:b/>
          <w:color w:val="auto"/>
          <w:sz w:val="21"/>
          <w:szCs w:val="21"/>
          <w:u w:val="none"/>
          <w:lang w:eastAsia="zh-CN"/>
        </w:rPr>
        <w:t>本项目二期工程建成后运营期污染产生及排放情况汇总表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86"/>
        <w:gridCol w:w="2175"/>
        <w:gridCol w:w="1704"/>
        <w:gridCol w:w="1446"/>
        <w:gridCol w:w="1665"/>
        <w:gridCol w:w="1657"/>
        <w:gridCol w:w="176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pStyle w:val="3"/>
              <w:spacing w:line="240" w:lineRule="auto"/>
              <w:ind w:left="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分类</w:t>
            </w:r>
          </w:p>
        </w:tc>
        <w:tc>
          <w:tcPr>
            <w:tcW w:w="1586" w:type="dxa"/>
            <w:noWrap w:val="0"/>
            <w:vAlign w:val="center"/>
          </w:tcPr>
          <w:p>
            <w:pPr>
              <w:pStyle w:val="3"/>
              <w:spacing w:line="240" w:lineRule="auto"/>
              <w:ind w:left="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污染源</w:t>
            </w:r>
          </w:p>
        </w:tc>
        <w:tc>
          <w:tcPr>
            <w:tcW w:w="2175" w:type="dxa"/>
            <w:noWrap w:val="0"/>
            <w:vAlign w:val="center"/>
          </w:tcPr>
          <w:p>
            <w:pPr>
              <w:pStyle w:val="3"/>
              <w:spacing w:line="240" w:lineRule="auto"/>
              <w:ind w:left="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污染因子及产生浓度</w:t>
            </w:r>
          </w:p>
        </w:tc>
        <w:tc>
          <w:tcPr>
            <w:tcW w:w="1704" w:type="dxa"/>
            <w:noWrap w:val="0"/>
            <w:vAlign w:val="center"/>
          </w:tcPr>
          <w:p>
            <w:pPr>
              <w:pStyle w:val="3"/>
              <w:spacing w:line="240" w:lineRule="auto"/>
              <w:ind w:left="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产生量</w:t>
            </w:r>
          </w:p>
        </w:tc>
        <w:tc>
          <w:tcPr>
            <w:tcW w:w="1446" w:type="dxa"/>
            <w:noWrap w:val="0"/>
            <w:vAlign w:val="center"/>
          </w:tcPr>
          <w:p>
            <w:pPr>
              <w:pStyle w:val="3"/>
              <w:spacing w:line="240" w:lineRule="auto"/>
              <w:ind w:left="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处理措施</w:t>
            </w:r>
          </w:p>
        </w:tc>
        <w:tc>
          <w:tcPr>
            <w:tcW w:w="1665" w:type="dxa"/>
            <w:noWrap w:val="0"/>
            <w:vAlign w:val="center"/>
          </w:tcPr>
          <w:p>
            <w:pPr>
              <w:pStyle w:val="3"/>
              <w:spacing w:line="240" w:lineRule="auto"/>
              <w:ind w:left="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排放浓度</w:t>
            </w:r>
          </w:p>
        </w:tc>
        <w:tc>
          <w:tcPr>
            <w:tcW w:w="1657" w:type="dxa"/>
            <w:noWrap w:val="0"/>
            <w:vAlign w:val="center"/>
          </w:tcPr>
          <w:p>
            <w:pPr>
              <w:pStyle w:val="3"/>
              <w:spacing w:line="240" w:lineRule="auto"/>
              <w:ind w:left="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削减量</w:t>
            </w:r>
          </w:p>
        </w:tc>
        <w:tc>
          <w:tcPr>
            <w:tcW w:w="1765" w:type="dxa"/>
            <w:noWrap w:val="0"/>
            <w:vAlign w:val="center"/>
          </w:tcPr>
          <w:p>
            <w:pPr>
              <w:pStyle w:val="3"/>
              <w:spacing w:line="240" w:lineRule="auto"/>
              <w:ind w:left="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排放量</w:t>
            </w:r>
          </w:p>
        </w:tc>
        <w:tc>
          <w:tcPr>
            <w:tcW w:w="1453" w:type="dxa"/>
            <w:noWrap w:val="0"/>
            <w:vAlign w:val="center"/>
          </w:tcPr>
          <w:p>
            <w:pPr>
              <w:pStyle w:val="3"/>
              <w:spacing w:line="240" w:lineRule="auto"/>
              <w:ind w:left="0"/>
              <w:jc w:val="center"/>
              <w:rPr>
                <w:rFonts w:ascii="Times New Roman" w:hAnsi="Times New Roman" w:cs="Times New Roman"/>
                <w:b/>
                <w:color w:val="auto"/>
                <w:sz w:val="21"/>
                <w:szCs w:val="21"/>
                <w:u w:val="single"/>
                <w:lang w:eastAsia="zh-CN"/>
              </w:rPr>
            </w:pPr>
            <w:r>
              <w:rPr>
                <w:rFonts w:ascii="Times New Roman" w:hAnsi="Times New Roman" w:cs="Times New Roman"/>
                <w:b/>
                <w:color w:val="auto"/>
                <w:sz w:val="21"/>
                <w:szCs w:val="21"/>
                <w:u w:val="single"/>
                <w:lang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水污染源</w:t>
            </w:r>
          </w:p>
        </w:tc>
        <w:tc>
          <w:tcPr>
            <w:tcW w:w="1586"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工业废水以及生活废水</w:t>
            </w:r>
          </w:p>
        </w:tc>
        <w:tc>
          <w:tcPr>
            <w:tcW w:w="2175"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废水量：</w:t>
            </w:r>
            <w:r>
              <w:rPr>
                <w:rFonts w:hint="eastAsia" w:ascii="Times New Roman" w:hAnsi="Times New Roman" w:cs="Times New Roman"/>
                <w:color w:val="auto"/>
                <w:sz w:val="21"/>
                <w:szCs w:val="21"/>
                <w:u w:val="single"/>
                <w:lang w:val="en-US" w:eastAsia="zh-CN"/>
              </w:rPr>
              <w:t>36.5</w:t>
            </w:r>
            <w:r>
              <w:rPr>
                <w:rFonts w:ascii="Times New Roman" w:hAnsi="Times New Roman" w:cs="Times New Roman"/>
                <w:color w:val="auto"/>
                <w:sz w:val="21"/>
                <w:szCs w:val="21"/>
                <w:u w:val="single"/>
                <w:lang w:eastAsia="zh-CN"/>
              </w:rPr>
              <w:t>万m</w:t>
            </w:r>
            <w:r>
              <w:rPr>
                <w:rFonts w:ascii="Times New Roman" w:hAnsi="Times New Roman" w:cs="Times New Roman"/>
                <w:color w:val="auto"/>
                <w:sz w:val="21"/>
                <w:szCs w:val="21"/>
                <w:u w:val="single"/>
                <w:vertAlign w:val="superscript"/>
                <w:lang w:eastAsia="zh-CN"/>
              </w:rPr>
              <w:t>3</w:t>
            </w:r>
            <w:r>
              <w:rPr>
                <w:rFonts w:ascii="Times New Roman" w:hAnsi="Times New Roman" w:cs="Times New Roman"/>
                <w:color w:val="auto"/>
                <w:sz w:val="21"/>
                <w:szCs w:val="21"/>
                <w:u w:val="single"/>
                <w:lang w:eastAsia="zh-CN"/>
              </w:rPr>
              <w: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COD</w:t>
            </w:r>
            <w:r>
              <w:rPr>
                <w:rFonts w:ascii="Times New Roman" w:hAnsi="Times New Roman" w:cs="Times New Roman"/>
                <w:color w:val="auto"/>
                <w:sz w:val="21"/>
                <w:szCs w:val="21"/>
                <w:u w:val="single"/>
                <w:vertAlign w:val="subscript"/>
                <w:lang w:eastAsia="zh-CN"/>
              </w:rPr>
              <w:t>cr</w:t>
            </w:r>
            <w:r>
              <w:rPr>
                <w:rFonts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500</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BOD：</w:t>
            </w:r>
            <w:r>
              <w:rPr>
                <w:rFonts w:hint="eastAsia" w:ascii="Times New Roman" w:hAnsi="Times New Roman" w:cs="Times New Roman"/>
                <w:color w:val="auto"/>
                <w:sz w:val="21"/>
                <w:szCs w:val="21"/>
                <w:u w:val="single"/>
                <w:lang w:val="en-US" w:eastAsia="zh-CN"/>
              </w:rPr>
              <w:t>300</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NH</w:t>
            </w:r>
            <w:r>
              <w:rPr>
                <w:rFonts w:ascii="Times New Roman" w:hAnsi="Times New Roman" w:cs="Times New Roman"/>
                <w:color w:val="auto"/>
                <w:sz w:val="21"/>
                <w:szCs w:val="21"/>
                <w:u w:val="single"/>
                <w:vertAlign w:val="subscript"/>
                <w:lang w:eastAsia="zh-CN"/>
              </w:rPr>
              <w:t>3</w:t>
            </w:r>
            <w:r>
              <w:rPr>
                <w:rFonts w:ascii="Times New Roman" w:hAnsi="Times New Roman" w:cs="Times New Roman"/>
                <w:color w:val="auto"/>
                <w:sz w:val="21"/>
                <w:szCs w:val="21"/>
                <w:u w:val="single"/>
                <w:lang w:eastAsia="zh-CN"/>
              </w:rPr>
              <w:t>-N：</w:t>
            </w:r>
            <w:r>
              <w:rPr>
                <w:rFonts w:hint="eastAsia" w:ascii="Times New Roman" w:hAnsi="Times New Roman" w:cs="Times New Roman"/>
                <w:color w:val="auto"/>
                <w:sz w:val="21"/>
                <w:szCs w:val="21"/>
                <w:u w:val="single"/>
                <w:lang w:val="en-US" w:eastAsia="zh-CN"/>
              </w:rPr>
              <w:t>25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SS：</w:t>
            </w:r>
            <w:r>
              <w:rPr>
                <w:rFonts w:hint="eastAsia" w:ascii="Times New Roman" w:hAnsi="Times New Roman" w:cs="Times New Roman"/>
                <w:color w:val="auto"/>
                <w:sz w:val="21"/>
                <w:szCs w:val="21"/>
                <w:u w:val="single"/>
                <w:lang w:val="en-US" w:eastAsia="zh-CN"/>
              </w:rPr>
              <w:t>400</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TP</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eastAsia="zh-CN"/>
              </w:rPr>
              <w:t>TN：</w:t>
            </w:r>
            <w:r>
              <w:rPr>
                <w:rFonts w:hint="eastAsia" w:ascii="Times New Roman" w:hAnsi="Times New Roman" w:cs="Times New Roman"/>
                <w:color w:val="auto"/>
                <w:sz w:val="21"/>
                <w:szCs w:val="21"/>
                <w:u w:val="single"/>
                <w:lang w:val="en-US" w:eastAsia="zh-CN"/>
              </w:rPr>
              <w:t>45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石油类：20</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动植物油：</w:t>
            </w:r>
            <w:r>
              <w:rPr>
                <w:rFonts w:hint="eastAsia" w:ascii="Times New Roman" w:hAnsi="Times New Roman" w:cs="Times New Roman"/>
                <w:color w:val="auto"/>
                <w:sz w:val="21"/>
                <w:szCs w:val="21"/>
                <w:u w:val="single"/>
                <w:lang w:val="en-US" w:eastAsia="zh-CN"/>
              </w:rPr>
              <w:t>100</w:t>
            </w:r>
            <w:r>
              <w:rPr>
                <w:rFonts w:ascii="Times New Roman" w:hAnsi="Times New Roman" w:cs="Times New Roman"/>
                <w:color w:val="auto"/>
                <w:sz w:val="21"/>
                <w:szCs w:val="21"/>
                <w:u w:val="single"/>
                <w:lang w:eastAsia="zh-CN"/>
              </w:rPr>
              <w:t>mg/L</w:t>
            </w:r>
          </w:p>
        </w:tc>
        <w:tc>
          <w:tcPr>
            <w:tcW w:w="1704"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COD</w:t>
            </w:r>
            <w:r>
              <w:rPr>
                <w:rFonts w:ascii="Times New Roman" w:hAnsi="Times New Roman" w:cs="Times New Roman"/>
                <w:color w:val="auto"/>
                <w:sz w:val="21"/>
                <w:szCs w:val="21"/>
                <w:u w:val="single"/>
                <w:vertAlign w:val="subscript"/>
                <w:lang w:eastAsia="zh-CN"/>
              </w:rPr>
              <w:t>cr</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182.5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BOD：</w:t>
            </w:r>
            <w:r>
              <w:rPr>
                <w:rFonts w:hint="eastAsia" w:ascii="Times New Roman" w:hAnsi="Times New Roman" w:cs="Times New Roman"/>
                <w:color w:val="auto"/>
                <w:sz w:val="21"/>
                <w:szCs w:val="21"/>
                <w:u w:val="single"/>
                <w:lang w:val="en-US" w:eastAsia="zh-CN"/>
              </w:rPr>
              <w:t>109.5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NH</w:t>
            </w:r>
            <w:r>
              <w:rPr>
                <w:rFonts w:ascii="Times New Roman" w:hAnsi="Times New Roman" w:cs="Times New Roman"/>
                <w:color w:val="auto"/>
                <w:sz w:val="21"/>
                <w:szCs w:val="21"/>
                <w:u w:val="single"/>
                <w:vertAlign w:val="subscript"/>
                <w:lang w:eastAsia="zh-CN"/>
              </w:rPr>
              <w:t>3</w:t>
            </w:r>
            <w:r>
              <w:rPr>
                <w:rFonts w:ascii="Times New Roman" w:hAnsi="Times New Roman" w:cs="Times New Roman"/>
                <w:color w:val="auto"/>
                <w:sz w:val="21"/>
                <w:szCs w:val="21"/>
                <w:u w:val="single"/>
                <w:lang w:eastAsia="zh-CN"/>
              </w:rPr>
              <w:t>-N：</w:t>
            </w:r>
            <w:r>
              <w:rPr>
                <w:rFonts w:hint="eastAsia" w:ascii="Times New Roman" w:hAnsi="Times New Roman" w:cs="Times New Roman"/>
                <w:color w:val="auto"/>
                <w:sz w:val="21"/>
                <w:szCs w:val="21"/>
                <w:u w:val="single"/>
                <w:lang w:val="en-US" w:eastAsia="zh-CN"/>
              </w:rPr>
              <w:t>9.125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SS：</w:t>
            </w:r>
            <w:r>
              <w:rPr>
                <w:rFonts w:hint="eastAsia" w:ascii="Times New Roman" w:hAnsi="Times New Roman" w:cs="Times New Roman"/>
                <w:color w:val="auto"/>
                <w:sz w:val="21"/>
                <w:szCs w:val="21"/>
                <w:u w:val="single"/>
                <w:lang w:val="en-US" w:eastAsia="zh-CN"/>
              </w:rPr>
              <w:t>146</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TP</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1.825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eastAsia="zh-CN"/>
              </w:rPr>
              <w:t>TN：</w:t>
            </w:r>
            <w:r>
              <w:rPr>
                <w:rFonts w:hint="eastAsia" w:ascii="Times New Roman" w:hAnsi="Times New Roman" w:cs="Times New Roman"/>
                <w:color w:val="auto"/>
                <w:sz w:val="21"/>
                <w:szCs w:val="21"/>
                <w:u w:val="single"/>
                <w:lang w:val="en-US" w:eastAsia="zh-CN"/>
              </w:rPr>
              <w:t>16.425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石油类：7.3</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动植物油：</w:t>
            </w:r>
            <w:r>
              <w:rPr>
                <w:rFonts w:hint="eastAsia" w:ascii="Times New Roman" w:hAnsi="Times New Roman" w:cs="Times New Roman"/>
                <w:color w:val="auto"/>
                <w:sz w:val="21"/>
                <w:szCs w:val="21"/>
                <w:u w:val="single"/>
                <w:lang w:val="en-US" w:eastAsia="zh-CN"/>
              </w:rPr>
              <w:t>36.5</w:t>
            </w:r>
            <w:r>
              <w:rPr>
                <w:rFonts w:ascii="Times New Roman" w:hAnsi="Times New Roman" w:cs="Times New Roman"/>
                <w:color w:val="auto"/>
                <w:sz w:val="21"/>
                <w:szCs w:val="21"/>
                <w:u w:val="single"/>
                <w:lang w:eastAsia="zh-CN"/>
              </w:rPr>
              <w:t>t/a</w:t>
            </w:r>
          </w:p>
        </w:tc>
        <w:tc>
          <w:tcPr>
            <w:tcW w:w="1446"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格栅渠→沉砂池→调节池→</w:t>
            </w:r>
            <w:r>
              <w:rPr>
                <w:rFonts w:hint="eastAsia" w:ascii="Times New Roman" w:hAnsi="Times New Roman" w:cs="Times New Roman"/>
                <w:color w:val="auto"/>
                <w:sz w:val="21"/>
                <w:szCs w:val="21"/>
                <w:u w:val="single"/>
                <w:lang w:val="en-US" w:eastAsia="zh-CN"/>
              </w:rPr>
              <w:t>MBR一体化设备</w:t>
            </w:r>
            <w:r>
              <w:rPr>
                <w:rFonts w:hint="eastAsia" w:ascii="Times New Roman" w:hAnsi="Times New Roman" w:cs="Times New Roman"/>
                <w:color w:val="auto"/>
                <w:sz w:val="21"/>
                <w:szCs w:val="21"/>
                <w:u w:val="single"/>
                <w:lang w:eastAsia="zh-CN"/>
              </w:rPr>
              <w:t>→紫外消毒→清水池</w:t>
            </w:r>
          </w:p>
        </w:tc>
        <w:tc>
          <w:tcPr>
            <w:tcW w:w="1665"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COD</w:t>
            </w:r>
            <w:r>
              <w:rPr>
                <w:rFonts w:ascii="Times New Roman" w:hAnsi="Times New Roman" w:cs="Times New Roman"/>
                <w:color w:val="auto"/>
                <w:sz w:val="21"/>
                <w:szCs w:val="21"/>
                <w:u w:val="single"/>
                <w:vertAlign w:val="subscript"/>
                <w:lang w:eastAsia="zh-CN"/>
              </w:rPr>
              <w:t>cr</w:t>
            </w:r>
            <w:r>
              <w:rPr>
                <w:rFonts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50</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BOD：10mg/L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NH</w:t>
            </w:r>
            <w:r>
              <w:rPr>
                <w:rFonts w:ascii="Times New Roman" w:hAnsi="Times New Roman" w:cs="Times New Roman"/>
                <w:color w:val="auto"/>
                <w:sz w:val="21"/>
                <w:szCs w:val="21"/>
                <w:u w:val="single"/>
                <w:vertAlign w:val="subscript"/>
                <w:lang w:eastAsia="zh-CN"/>
              </w:rPr>
              <w:t>3</w:t>
            </w:r>
            <w:r>
              <w:rPr>
                <w:rFonts w:ascii="Times New Roman" w:hAnsi="Times New Roman" w:cs="Times New Roman"/>
                <w:color w:val="auto"/>
                <w:sz w:val="21"/>
                <w:szCs w:val="21"/>
                <w:u w:val="single"/>
                <w:lang w:eastAsia="zh-CN"/>
              </w:rPr>
              <w:t>-N：</w:t>
            </w:r>
            <w:r>
              <w:rPr>
                <w:rFonts w:hint="eastAsia" w:ascii="Times New Roman" w:hAnsi="Times New Roman" w:cs="Times New Roman"/>
                <w:color w:val="auto"/>
                <w:sz w:val="21"/>
                <w:szCs w:val="21"/>
                <w:u w:val="single"/>
                <w:lang w:val="en-US" w:eastAsia="zh-CN"/>
              </w:rPr>
              <w:t>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SS：10mg/L</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TP</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0.5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eastAsia="zh-CN"/>
              </w:rPr>
              <w:t>TN：</w:t>
            </w:r>
            <w:r>
              <w:rPr>
                <w:rFonts w:hint="eastAsia" w:ascii="Times New Roman" w:hAnsi="Times New Roman" w:cs="Times New Roman"/>
                <w:color w:val="auto"/>
                <w:sz w:val="21"/>
                <w:szCs w:val="21"/>
                <w:u w:val="single"/>
                <w:lang w:val="en-US" w:eastAsia="zh-CN"/>
              </w:rPr>
              <w:t>15</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石油类：1</w:t>
            </w:r>
            <w:r>
              <w:rPr>
                <w:rFonts w:ascii="Times New Roman" w:hAnsi="Times New Roman" w:cs="Times New Roman"/>
                <w:color w:val="auto"/>
                <w:sz w:val="21"/>
                <w:szCs w:val="21"/>
                <w:u w:val="single"/>
                <w:lang w:eastAsia="zh-CN"/>
              </w:rPr>
              <w:t>mg/L</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动植物油：</w:t>
            </w:r>
            <w:r>
              <w:rPr>
                <w:rFonts w:hint="eastAsia" w:ascii="Times New Roman" w:hAnsi="Times New Roman" w:cs="Times New Roman"/>
                <w:color w:val="auto"/>
                <w:sz w:val="21"/>
                <w:szCs w:val="21"/>
                <w:u w:val="single"/>
                <w:lang w:val="en-US" w:eastAsia="zh-CN"/>
              </w:rPr>
              <w:t>1</w:t>
            </w:r>
            <w:r>
              <w:rPr>
                <w:rFonts w:ascii="Times New Roman" w:hAnsi="Times New Roman" w:cs="Times New Roman"/>
                <w:color w:val="auto"/>
                <w:sz w:val="21"/>
                <w:szCs w:val="21"/>
                <w:u w:val="single"/>
                <w:lang w:eastAsia="zh-CN"/>
              </w:rPr>
              <w:t>mg/L</w:t>
            </w:r>
          </w:p>
        </w:tc>
        <w:tc>
          <w:tcPr>
            <w:tcW w:w="1657"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COD</w:t>
            </w:r>
            <w:r>
              <w:rPr>
                <w:rFonts w:ascii="Times New Roman" w:hAnsi="Times New Roman" w:cs="Times New Roman"/>
                <w:color w:val="auto"/>
                <w:sz w:val="21"/>
                <w:szCs w:val="21"/>
                <w:u w:val="single"/>
                <w:vertAlign w:val="subscript"/>
                <w:lang w:eastAsia="zh-CN"/>
              </w:rPr>
              <w:t>cr</w:t>
            </w:r>
            <w:r>
              <w:rPr>
                <w:rFonts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164.25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BOD：</w:t>
            </w:r>
            <w:r>
              <w:rPr>
                <w:rFonts w:hint="eastAsia" w:ascii="Times New Roman" w:hAnsi="Times New Roman" w:cs="Times New Roman"/>
                <w:color w:val="auto"/>
                <w:sz w:val="21"/>
                <w:szCs w:val="21"/>
                <w:u w:val="single"/>
                <w:lang w:val="en-US" w:eastAsia="zh-CN"/>
              </w:rPr>
              <w:t>105.85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NH</w:t>
            </w:r>
            <w:r>
              <w:rPr>
                <w:rFonts w:ascii="Times New Roman" w:hAnsi="Times New Roman" w:cs="Times New Roman"/>
                <w:color w:val="auto"/>
                <w:sz w:val="21"/>
                <w:szCs w:val="21"/>
                <w:u w:val="single"/>
                <w:vertAlign w:val="subscript"/>
                <w:lang w:eastAsia="zh-CN"/>
              </w:rPr>
              <w:t>3</w:t>
            </w:r>
            <w:r>
              <w:rPr>
                <w:rFonts w:ascii="Times New Roman" w:hAnsi="Times New Roman" w:cs="Times New Roman"/>
                <w:color w:val="auto"/>
                <w:sz w:val="21"/>
                <w:szCs w:val="21"/>
                <w:u w:val="single"/>
                <w:lang w:eastAsia="zh-CN"/>
              </w:rPr>
              <w:t>-N：</w:t>
            </w:r>
            <w:r>
              <w:rPr>
                <w:rFonts w:hint="eastAsia" w:ascii="Times New Roman" w:hAnsi="Times New Roman" w:cs="Times New Roman"/>
                <w:color w:val="auto"/>
                <w:sz w:val="21"/>
                <w:szCs w:val="21"/>
                <w:u w:val="single"/>
                <w:lang w:val="en-US" w:eastAsia="zh-CN"/>
              </w:rPr>
              <w:t>7.3</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SS：</w:t>
            </w:r>
            <w:r>
              <w:rPr>
                <w:rFonts w:hint="eastAsia" w:ascii="Times New Roman" w:hAnsi="Times New Roman" w:cs="Times New Roman"/>
                <w:color w:val="auto"/>
                <w:sz w:val="21"/>
                <w:szCs w:val="21"/>
                <w:u w:val="single"/>
                <w:lang w:val="en-US" w:eastAsia="zh-CN"/>
              </w:rPr>
              <w:t>54.75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TP</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1.6425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eastAsia="zh-CN"/>
              </w:rPr>
              <w:t>TN：</w:t>
            </w:r>
            <w:r>
              <w:rPr>
                <w:rFonts w:hint="eastAsia" w:ascii="Times New Roman" w:hAnsi="Times New Roman" w:cs="Times New Roman"/>
                <w:color w:val="auto"/>
                <w:sz w:val="21"/>
                <w:szCs w:val="21"/>
                <w:u w:val="single"/>
                <w:lang w:val="en-US" w:eastAsia="zh-CN"/>
              </w:rPr>
              <w:t>10.95</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石油类：6.935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动植物油：</w:t>
            </w:r>
            <w:r>
              <w:rPr>
                <w:rFonts w:hint="eastAsia" w:ascii="Times New Roman" w:hAnsi="Times New Roman" w:cs="Times New Roman"/>
                <w:color w:val="auto"/>
                <w:sz w:val="21"/>
                <w:szCs w:val="21"/>
                <w:u w:val="single"/>
                <w:lang w:val="en-US" w:eastAsia="zh-CN"/>
              </w:rPr>
              <w:t>36.135</w:t>
            </w:r>
            <w:r>
              <w:rPr>
                <w:rFonts w:ascii="Times New Roman" w:hAnsi="Times New Roman" w:cs="Times New Roman"/>
                <w:color w:val="auto"/>
                <w:sz w:val="21"/>
                <w:szCs w:val="21"/>
                <w:u w:val="single"/>
                <w:lang w:eastAsia="zh-CN"/>
              </w:rPr>
              <w:t>t/a</w:t>
            </w:r>
          </w:p>
        </w:tc>
        <w:tc>
          <w:tcPr>
            <w:tcW w:w="1765"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COD</w:t>
            </w:r>
            <w:r>
              <w:rPr>
                <w:rFonts w:ascii="Times New Roman" w:hAnsi="Times New Roman" w:cs="Times New Roman"/>
                <w:color w:val="auto"/>
                <w:sz w:val="21"/>
                <w:szCs w:val="21"/>
                <w:u w:val="single"/>
                <w:vertAlign w:val="subscript"/>
                <w:lang w:eastAsia="zh-CN"/>
              </w:rPr>
              <w:t>cr</w:t>
            </w:r>
            <w:r>
              <w:rPr>
                <w:rFonts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18.25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BOD：</w:t>
            </w:r>
            <w:r>
              <w:rPr>
                <w:rFonts w:hint="eastAsia" w:ascii="Times New Roman" w:hAnsi="Times New Roman" w:cs="Times New Roman"/>
                <w:color w:val="auto"/>
                <w:sz w:val="21"/>
                <w:szCs w:val="21"/>
                <w:u w:val="single"/>
                <w:lang w:val="en-US" w:eastAsia="zh-CN"/>
              </w:rPr>
              <w:t>3.65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NH</w:t>
            </w:r>
            <w:r>
              <w:rPr>
                <w:rFonts w:ascii="Times New Roman" w:hAnsi="Times New Roman" w:cs="Times New Roman"/>
                <w:color w:val="auto"/>
                <w:sz w:val="21"/>
                <w:szCs w:val="21"/>
                <w:u w:val="single"/>
                <w:vertAlign w:val="subscript"/>
                <w:lang w:eastAsia="zh-CN"/>
              </w:rPr>
              <w:t>3</w:t>
            </w:r>
            <w:r>
              <w:rPr>
                <w:rFonts w:ascii="Times New Roman" w:hAnsi="Times New Roman" w:cs="Times New Roman"/>
                <w:color w:val="auto"/>
                <w:sz w:val="21"/>
                <w:szCs w:val="21"/>
                <w:u w:val="single"/>
                <w:lang w:eastAsia="zh-CN"/>
              </w:rPr>
              <w:t>-N：</w:t>
            </w:r>
            <w:r>
              <w:rPr>
                <w:rFonts w:hint="eastAsia" w:ascii="Times New Roman" w:hAnsi="Times New Roman" w:cs="Times New Roman"/>
                <w:color w:val="auto"/>
                <w:sz w:val="21"/>
                <w:szCs w:val="21"/>
                <w:u w:val="single"/>
                <w:lang w:val="en-US" w:eastAsia="zh-CN"/>
              </w:rPr>
              <w:t>1.825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SS：</w:t>
            </w:r>
            <w:r>
              <w:rPr>
                <w:rFonts w:hint="eastAsia" w:ascii="Times New Roman" w:hAnsi="Times New Roman" w:cs="Times New Roman"/>
                <w:color w:val="auto"/>
                <w:sz w:val="21"/>
                <w:szCs w:val="21"/>
                <w:u w:val="single"/>
                <w:lang w:val="en-US" w:eastAsia="zh-CN"/>
              </w:rPr>
              <w:t>3.65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ascii="Times New Roman" w:hAnsi="Times New Roman" w:cs="Times New Roman"/>
                <w:color w:val="auto"/>
                <w:sz w:val="21"/>
                <w:szCs w:val="21"/>
                <w:u w:val="single"/>
                <w:lang w:eastAsia="zh-CN"/>
              </w:rPr>
              <w:t>TP</w:t>
            </w:r>
            <w:r>
              <w:rPr>
                <w:rFonts w:hint="eastAsia"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val="en-US" w:eastAsia="zh-CN"/>
              </w:rPr>
              <w:t>0.1825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eastAsia="zh-CN"/>
              </w:rPr>
              <w:t>TN：</w:t>
            </w:r>
            <w:r>
              <w:rPr>
                <w:rFonts w:hint="eastAsia" w:ascii="Times New Roman" w:hAnsi="Times New Roman" w:cs="Times New Roman"/>
                <w:color w:val="auto"/>
                <w:sz w:val="21"/>
                <w:szCs w:val="21"/>
                <w:u w:val="single"/>
                <w:lang w:val="en-US" w:eastAsia="zh-CN"/>
              </w:rPr>
              <w:t>5.475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石油类：0.365</w:t>
            </w:r>
            <w:r>
              <w:rPr>
                <w:rFonts w:ascii="Times New Roman" w:hAnsi="Times New Roman" w:cs="Times New Roman"/>
                <w:color w:val="auto"/>
                <w:sz w:val="21"/>
                <w:szCs w:val="21"/>
                <w:u w:val="single"/>
                <w:lang w:eastAsia="zh-CN"/>
              </w:rPr>
              <w:t>t/a</w:t>
            </w:r>
          </w:p>
          <w:p>
            <w:pPr>
              <w:pStyle w:val="3"/>
              <w:wordWrap w:val="0"/>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动植物油：</w:t>
            </w:r>
            <w:r>
              <w:rPr>
                <w:rFonts w:hint="eastAsia" w:ascii="Times New Roman" w:hAnsi="Times New Roman" w:cs="Times New Roman"/>
                <w:color w:val="auto"/>
                <w:sz w:val="21"/>
                <w:szCs w:val="21"/>
                <w:u w:val="single"/>
                <w:lang w:val="en-US" w:eastAsia="zh-CN"/>
              </w:rPr>
              <w:t>0.365</w:t>
            </w:r>
            <w:r>
              <w:rPr>
                <w:rFonts w:ascii="Times New Roman" w:hAnsi="Times New Roman" w:cs="Times New Roman"/>
                <w:color w:val="auto"/>
                <w:sz w:val="21"/>
                <w:szCs w:val="21"/>
                <w:u w:val="single"/>
                <w:lang w:eastAsia="zh-CN"/>
              </w:rPr>
              <w:t>t/a</w:t>
            </w:r>
          </w:p>
        </w:tc>
        <w:tc>
          <w:tcPr>
            <w:tcW w:w="1453" w:type="dxa"/>
            <w:noWrap w:val="0"/>
            <w:vAlign w:val="center"/>
          </w:tcPr>
          <w:p>
            <w:pPr>
              <w:pStyle w:val="3"/>
              <w:wordWrap w:val="0"/>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达标排放至</w:t>
            </w:r>
            <w:r>
              <w:rPr>
                <w:rFonts w:hint="eastAsia" w:ascii="Times New Roman" w:hAnsi="Times New Roman" w:cs="Times New Roman"/>
                <w:color w:val="auto"/>
                <w:sz w:val="21"/>
                <w:szCs w:val="21"/>
                <w:u w:val="single"/>
                <w:lang w:eastAsia="zh-CN"/>
              </w:rPr>
              <w:t>猛洞河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75"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大气污染源</w:t>
            </w:r>
          </w:p>
        </w:tc>
        <w:tc>
          <w:tcPr>
            <w:tcW w:w="1586"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格栅渠</w:t>
            </w:r>
            <w:r>
              <w:rPr>
                <w:rFonts w:ascii="Times New Roman" w:hAnsi="Times New Roman" w:cs="Times New Roman"/>
                <w:color w:val="auto"/>
                <w:sz w:val="21"/>
                <w:szCs w:val="21"/>
                <w:u w:val="single"/>
                <w:lang w:eastAsia="zh-CN"/>
              </w:rPr>
              <w:t>、沉砂池、</w:t>
            </w:r>
            <w:r>
              <w:rPr>
                <w:rFonts w:hint="eastAsia" w:ascii="Times New Roman" w:hAnsi="Times New Roman" w:cs="Times New Roman"/>
                <w:color w:val="auto"/>
                <w:sz w:val="21"/>
                <w:szCs w:val="21"/>
                <w:u w:val="single"/>
                <w:lang w:val="en-US" w:eastAsia="zh-CN"/>
              </w:rPr>
              <w:t>MBR设备</w:t>
            </w:r>
            <w:r>
              <w:rPr>
                <w:rFonts w:ascii="Times New Roman" w:hAnsi="Times New Roman" w:cs="Times New Roman"/>
                <w:color w:val="auto"/>
                <w:sz w:val="21"/>
                <w:szCs w:val="21"/>
                <w:u w:val="single"/>
                <w:lang w:eastAsia="zh-CN"/>
              </w:rPr>
              <w:t>、</w:t>
            </w:r>
            <w:r>
              <w:rPr>
                <w:rFonts w:hint="eastAsia" w:ascii="Times New Roman" w:hAnsi="Times New Roman" w:cs="Times New Roman"/>
                <w:color w:val="auto"/>
                <w:sz w:val="21"/>
                <w:szCs w:val="21"/>
                <w:u w:val="single"/>
                <w:lang w:eastAsia="zh-CN"/>
              </w:rPr>
              <w:t>污泥</w:t>
            </w:r>
            <w:r>
              <w:rPr>
                <w:rFonts w:ascii="Times New Roman" w:hAnsi="Times New Roman" w:cs="Times New Roman"/>
                <w:color w:val="auto"/>
                <w:sz w:val="21"/>
                <w:szCs w:val="21"/>
                <w:u w:val="single"/>
                <w:lang w:eastAsia="zh-CN"/>
              </w:rPr>
              <w:t>池、污泥脱水间</w:t>
            </w:r>
          </w:p>
        </w:tc>
        <w:tc>
          <w:tcPr>
            <w:tcW w:w="217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氨</w:t>
            </w:r>
          </w:p>
        </w:tc>
        <w:tc>
          <w:tcPr>
            <w:tcW w:w="1704"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0.328135</w:t>
            </w:r>
            <w:r>
              <w:rPr>
                <w:rFonts w:ascii="Times New Roman" w:hAnsi="Times New Roman" w:cs="Times New Roman"/>
                <w:color w:val="auto"/>
                <w:sz w:val="21"/>
                <w:szCs w:val="21"/>
                <w:u w:val="single"/>
                <w:lang w:eastAsia="zh-CN"/>
              </w:rPr>
              <w:t>t/a</w:t>
            </w:r>
          </w:p>
        </w:tc>
        <w:tc>
          <w:tcPr>
            <w:tcW w:w="1446"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加盖处理、喷洒植物除臭剂、</w:t>
            </w:r>
            <w:r>
              <w:rPr>
                <w:rFonts w:ascii="Times New Roman" w:hAnsi="Times New Roman" w:cs="Times New Roman"/>
                <w:color w:val="auto"/>
                <w:sz w:val="21"/>
                <w:szCs w:val="21"/>
                <w:u w:val="single"/>
                <w:lang w:eastAsia="zh-CN"/>
              </w:rPr>
              <w:t>建设绿化防护林、</w:t>
            </w:r>
            <w:r>
              <w:rPr>
                <w:rFonts w:hint="eastAsia" w:ascii="Times New Roman" w:hAnsi="Times New Roman" w:cs="Times New Roman"/>
                <w:color w:val="auto"/>
                <w:sz w:val="21"/>
                <w:szCs w:val="21"/>
                <w:u w:val="single"/>
                <w:lang w:eastAsia="zh-CN"/>
              </w:rPr>
              <w:t>活性炭吸附</w:t>
            </w: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氨</w:t>
            </w:r>
          </w:p>
        </w:tc>
        <w:tc>
          <w:tcPr>
            <w:tcW w:w="1657"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0.287118</w:t>
            </w:r>
            <w:r>
              <w:rPr>
                <w:rFonts w:ascii="Times New Roman" w:hAnsi="Times New Roman" w:cs="Times New Roman"/>
                <w:color w:val="auto"/>
                <w:sz w:val="21"/>
                <w:szCs w:val="21"/>
                <w:u w:val="single"/>
                <w:lang w:eastAsia="zh-CN"/>
              </w:rPr>
              <w:t>t/a</w:t>
            </w:r>
          </w:p>
        </w:tc>
        <w:tc>
          <w:tcPr>
            <w:tcW w:w="1765" w:type="dxa"/>
            <w:noWrap w:val="0"/>
            <w:vAlign w:val="center"/>
          </w:tcPr>
          <w:p>
            <w:pPr>
              <w:pStyle w:val="3"/>
              <w:spacing w:line="240" w:lineRule="auto"/>
              <w:ind w:left="0" w:leftChars="0" w:firstLine="0" w:firstLineChars="0"/>
              <w:jc w:val="center"/>
              <w:rPr>
                <w:rFonts w:hint="default" w:ascii="Times New Roman" w:hAnsi="Times New Roman" w:cs="Times New Roman"/>
                <w:color w:val="auto"/>
                <w:u w:val="single"/>
              </w:rPr>
            </w:pPr>
            <w:r>
              <w:rPr>
                <w:rFonts w:hint="eastAsia" w:ascii="Times New Roman" w:hAnsi="Times New Roman" w:cs="Times New Roman"/>
                <w:color w:val="auto"/>
                <w:sz w:val="21"/>
                <w:szCs w:val="21"/>
                <w:u w:val="single"/>
                <w:lang w:val="en-US" w:eastAsia="zh-CN"/>
              </w:rPr>
              <w:t>0.041017</w:t>
            </w:r>
            <w:r>
              <w:rPr>
                <w:rFonts w:ascii="Times New Roman" w:hAnsi="Times New Roman" w:cs="Times New Roman"/>
                <w:color w:val="auto"/>
                <w:sz w:val="21"/>
                <w:szCs w:val="21"/>
                <w:u w:val="single"/>
                <w:lang w:eastAsia="zh-CN"/>
              </w:rPr>
              <w:t>t/a</w:t>
            </w:r>
          </w:p>
        </w:tc>
        <w:tc>
          <w:tcPr>
            <w:tcW w:w="1453"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厂区及周围大气环境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p>
        </w:tc>
        <w:tc>
          <w:tcPr>
            <w:tcW w:w="1586" w:type="dxa"/>
            <w:vMerge w:val="continue"/>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p>
        </w:tc>
        <w:tc>
          <w:tcPr>
            <w:tcW w:w="217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硫化氢</w:t>
            </w:r>
          </w:p>
        </w:tc>
        <w:tc>
          <w:tcPr>
            <w:tcW w:w="1704"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0.012702</w:t>
            </w:r>
            <w:r>
              <w:rPr>
                <w:rFonts w:ascii="Times New Roman" w:hAnsi="Times New Roman" w:cs="Times New Roman"/>
                <w:color w:val="auto"/>
                <w:sz w:val="21"/>
                <w:szCs w:val="21"/>
                <w:u w:val="single"/>
                <w:lang w:eastAsia="zh-CN"/>
              </w:rPr>
              <w:t>t/a</w:t>
            </w:r>
          </w:p>
        </w:tc>
        <w:tc>
          <w:tcPr>
            <w:tcW w:w="1446" w:type="dxa"/>
            <w:vMerge w:val="continue"/>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硫化氢</w:t>
            </w:r>
          </w:p>
        </w:tc>
        <w:tc>
          <w:tcPr>
            <w:tcW w:w="1657"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0.011432</w:t>
            </w:r>
            <w:r>
              <w:rPr>
                <w:rFonts w:ascii="Times New Roman" w:hAnsi="Times New Roman" w:cs="Times New Roman"/>
                <w:color w:val="auto"/>
                <w:sz w:val="21"/>
                <w:szCs w:val="21"/>
                <w:u w:val="single"/>
                <w:lang w:eastAsia="zh-CN"/>
              </w:rPr>
              <w:t>t/a</w:t>
            </w:r>
          </w:p>
        </w:tc>
        <w:tc>
          <w:tcPr>
            <w:tcW w:w="1765" w:type="dxa"/>
            <w:noWrap w:val="0"/>
            <w:vAlign w:val="center"/>
          </w:tcPr>
          <w:p>
            <w:pPr>
              <w:pStyle w:val="3"/>
              <w:spacing w:line="240" w:lineRule="auto"/>
              <w:ind w:left="0" w:leftChars="0" w:firstLine="0" w:firstLineChars="0"/>
              <w:jc w:val="center"/>
              <w:rPr>
                <w:rFonts w:hint="default" w:ascii="Times New Roman" w:hAnsi="Times New Roman" w:cs="Times New Roman"/>
                <w:color w:val="auto"/>
                <w:u w:val="single"/>
              </w:rPr>
            </w:pPr>
            <w:r>
              <w:rPr>
                <w:rFonts w:hint="eastAsia" w:ascii="Times New Roman" w:hAnsi="Times New Roman" w:cs="Times New Roman"/>
                <w:color w:val="auto"/>
                <w:sz w:val="21"/>
                <w:szCs w:val="21"/>
                <w:u w:val="single"/>
                <w:lang w:val="en-US" w:eastAsia="zh-CN"/>
              </w:rPr>
              <w:t>0.001270</w:t>
            </w:r>
            <w:r>
              <w:rPr>
                <w:rFonts w:ascii="Times New Roman" w:hAnsi="Times New Roman" w:cs="Times New Roman"/>
                <w:color w:val="auto"/>
                <w:sz w:val="21"/>
                <w:szCs w:val="21"/>
                <w:u w:val="single"/>
                <w:lang w:eastAsia="zh-CN"/>
              </w:rPr>
              <w:t>t/a</w:t>
            </w:r>
          </w:p>
        </w:tc>
        <w:tc>
          <w:tcPr>
            <w:tcW w:w="1453" w:type="dxa"/>
            <w:vMerge w:val="continue"/>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675"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固废污染源</w:t>
            </w:r>
          </w:p>
        </w:tc>
        <w:tc>
          <w:tcPr>
            <w:tcW w:w="1586"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格栅渣</w:t>
            </w:r>
          </w:p>
        </w:tc>
        <w:tc>
          <w:tcPr>
            <w:tcW w:w="217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一般固废</w:t>
            </w:r>
          </w:p>
        </w:tc>
        <w:tc>
          <w:tcPr>
            <w:tcW w:w="1704"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18.25</w:t>
            </w:r>
            <w:r>
              <w:rPr>
                <w:rFonts w:hint="eastAsia" w:ascii="Times New Roman" w:hAnsi="Times New Roman" w:cs="Times New Roman"/>
                <w:color w:val="auto"/>
                <w:sz w:val="21"/>
                <w:szCs w:val="21"/>
                <w:u w:val="single"/>
                <w:lang w:eastAsia="zh-CN"/>
              </w:rPr>
              <w:t>t/a</w:t>
            </w:r>
          </w:p>
        </w:tc>
        <w:tc>
          <w:tcPr>
            <w:tcW w:w="1446"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定期处理</w:t>
            </w: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w:t>
            </w:r>
          </w:p>
        </w:tc>
        <w:tc>
          <w:tcPr>
            <w:tcW w:w="1657"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765"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18.25</w:t>
            </w:r>
            <w:r>
              <w:rPr>
                <w:rFonts w:hint="eastAsia" w:ascii="Times New Roman" w:hAnsi="Times New Roman" w:cs="Times New Roman"/>
                <w:color w:val="auto"/>
                <w:sz w:val="21"/>
                <w:szCs w:val="21"/>
                <w:u w:val="single"/>
                <w:lang w:eastAsia="zh-CN"/>
              </w:rPr>
              <w:t>t/a</w:t>
            </w:r>
          </w:p>
        </w:tc>
        <w:tc>
          <w:tcPr>
            <w:tcW w:w="1453" w:type="dxa"/>
            <w:vMerge w:val="restart"/>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格栅渣及沉砂定期运至永顺县生活垃圾填埋场，工艺污泥如为危险废物，运营单位应按照危险废物要求进行管理，并委托具有相应资质单位进行安全处置；如鉴别属于一般固废，</w:t>
            </w:r>
            <w:r>
              <w:rPr>
                <w:rFonts w:ascii="Times New Roman" w:hAnsi="Times New Roman" w:cs="Times New Roman"/>
                <w:color w:val="auto"/>
                <w:sz w:val="21"/>
                <w:szCs w:val="21"/>
                <w:u w:val="single"/>
                <w:lang w:eastAsia="zh-CN"/>
              </w:rPr>
              <w:t>外运至</w:t>
            </w:r>
            <w:r>
              <w:rPr>
                <w:rFonts w:hint="eastAsia" w:ascii="Times New Roman" w:hAnsi="Times New Roman" w:cs="Times New Roman"/>
                <w:color w:val="auto"/>
                <w:sz w:val="21"/>
                <w:szCs w:val="21"/>
                <w:u w:val="single"/>
                <w:lang w:eastAsia="zh-CN"/>
              </w:rPr>
              <w:t>永顺县生活垃圾填埋场。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675" w:type="dxa"/>
            <w:vMerge w:val="continue"/>
            <w:noWrap w:val="0"/>
            <w:vAlign w:val="center"/>
          </w:tcPr>
          <w:p>
            <w:pPr>
              <w:pStyle w:val="3"/>
              <w:spacing w:line="240" w:lineRule="auto"/>
              <w:ind w:left="0"/>
              <w:rPr>
                <w:rFonts w:ascii="Times New Roman" w:hAnsi="Times New Roman" w:cs="Times New Roman"/>
                <w:color w:val="auto"/>
                <w:sz w:val="21"/>
                <w:szCs w:val="21"/>
                <w:u w:val="single"/>
                <w:lang w:eastAsia="zh-CN"/>
              </w:rPr>
            </w:pPr>
          </w:p>
        </w:tc>
        <w:tc>
          <w:tcPr>
            <w:tcW w:w="1586"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沉砂池沉砂</w:t>
            </w:r>
          </w:p>
        </w:tc>
        <w:tc>
          <w:tcPr>
            <w:tcW w:w="217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一般固废</w:t>
            </w:r>
          </w:p>
        </w:tc>
        <w:tc>
          <w:tcPr>
            <w:tcW w:w="1704"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16.425</w:t>
            </w:r>
            <w:r>
              <w:rPr>
                <w:rFonts w:hint="eastAsia" w:ascii="Times New Roman" w:hAnsi="Times New Roman" w:cs="Times New Roman"/>
                <w:color w:val="auto"/>
                <w:sz w:val="21"/>
                <w:szCs w:val="21"/>
                <w:u w:val="single"/>
                <w:lang w:eastAsia="zh-CN"/>
              </w:rPr>
              <w:t>t/a</w:t>
            </w:r>
          </w:p>
        </w:tc>
        <w:tc>
          <w:tcPr>
            <w:tcW w:w="1446" w:type="dxa"/>
            <w:vMerge w:val="continue"/>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w:t>
            </w:r>
          </w:p>
        </w:tc>
        <w:tc>
          <w:tcPr>
            <w:tcW w:w="1657"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765"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16.425</w:t>
            </w:r>
            <w:r>
              <w:rPr>
                <w:rFonts w:hint="eastAsia" w:ascii="Times New Roman" w:hAnsi="Times New Roman" w:cs="Times New Roman"/>
                <w:color w:val="auto"/>
                <w:sz w:val="21"/>
                <w:szCs w:val="21"/>
                <w:u w:val="single"/>
                <w:lang w:eastAsia="zh-CN"/>
              </w:rPr>
              <w:t>t/a</w:t>
            </w:r>
          </w:p>
        </w:tc>
        <w:tc>
          <w:tcPr>
            <w:tcW w:w="1453" w:type="dxa"/>
            <w:vMerge w:val="continue"/>
            <w:noWrap w:val="0"/>
            <w:vAlign w:val="center"/>
          </w:tcPr>
          <w:p>
            <w:pPr>
              <w:pStyle w:val="3"/>
              <w:spacing w:line="240" w:lineRule="auto"/>
              <w:ind w:left="0"/>
              <w:rPr>
                <w:rFonts w:ascii="Times New Roman" w:hAnsi="Times New Roman" w:cs="Times New Roman"/>
                <w:color w:val="auto"/>
                <w:sz w:val="21"/>
                <w:szCs w:val="21"/>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75" w:type="dxa"/>
            <w:vMerge w:val="continue"/>
            <w:noWrap w:val="0"/>
            <w:vAlign w:val="center"/>
          </w:tcPr>
          <w:p>
            <w:pPr>
              <w:pStyle w:val="3"/>
              <w:spacing w:line="240" w:lineRule="auto"/>
              <w:ind w:left="0"/>
              <w:rPr>
                <w:rFonts w:ascii="Times New Roman" w:hAnsi="Times New Roman" w:cs="Times New Roman"/>
                <w:color w:val="auto"/>
                <w:sz w:val="21"/>
                <w:szCs w:val="21"/>
                <w:u w:val="single"/>
                <w:lang w:eastAsia="zh-CN"/>
              </w:rPr>
            </w:pPr>
          </w:p>
        </w:tc>
        <w:tc>
          <w:tcPr>
            <w:tcW w:w="1586" w:type="dxa"/>
            <w:noWrap w:val="0"/>
            <w:vAlign w:val="center"/>
          </w:tcPr>
          <w:p>
            <w:pPr>
              <w:pStyle w:val="3"/>
              <w:spacing w:line="240" w:lineRule="auto"/>
              <w:ind w:left="0"/>
              <w:jc w:val="center"/>
              <w:rPr>
                <w:u w:val="single"/>
                <w:lang w:eastAsia="zh-CN"/>
              </w:rPr>
            </w:pPr>
            <w:r>
              <w:rPr>
                <w:rFonts w:hint="eastAsia"/>
                <w:u w:val="single"/>
                <w:lang w:eastAsia="zh-CN"/>
              </w:rPr>
              <w:t>剩余污泥</w:t>
            </w:r>
          </w:p>
        </w:tc>
        <w:tc>
          <w:tcPr>
            <w:tcW w:w="2175" w:type="dxa"/>
            <w:noWrap w:val="0"/>
            <w:vAlign w:val="center"/>
          </w:tcPr>
          <w:p>
            <w:pPr>
              <w:pStyle w:val="3"/>
              <w:spacing w:line="240" w:lineRule="auto"/>
              <w:ind w:left="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待鉴定</w:t>
            </w:r>
          </w:p>
        </w:tc>
        <w:tc>
          <w:tcPr>
            <w:tcW w:w="1704"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6.5153</w:t>
            </w:r>
            <w:r>
              <w:rPr>
                <w:rFonts w:hint="eastAsia" w:ascii="Times New Roman" w:hAnsi="Times New Roman" w:cs="Times New Roman"/>
                <w:color w:val="auto"/>
                <w:sz w:val="21"/>
                <w:szCs w:val="21"/>
                <w:u w:val="single"/>
                <w:lang w:eastAsia="zh-CN"/>
              </w:rPr>
              <w:t>t/a</w:t>
            </w:r>
          </w:p>
        </w:tc>
        <w:tc>
          <w:tcPr>
            <w:tcW w:w="1446" w:type="dxa"/>
            <w:vMerge w:val="continue"/>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p>
        </w:tc>
        <w:tc>
          <w:tcPr>
            <w:tcW w:w="166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w:t>
            </w:r>
          </w:p>
        </w:tc>
        <w:tc>
          <w:tcPr>
            <w:tcW w:w="1657"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76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6.5153</w:t>
            </w:r>
            <w:r>
              <w:rPr>
                <w:rFonts w:hint="eastAsia" w:ascii="Times New Roman" w:hAnsi="Times New Roman" w:cs="Times New Roman"/>
                <w:color w:val="auto"/>
                <w:sz w:val="21"/>
                <w:szCs w:val="21"/>
                <w:u w:val="single"/>
                <w:lang w:eastAsia="zh-CN"/>
              </w:rPr>
              <w:t>t/a</w:t>
            </w:r>
          </w:p>
        </w:tc>
        <w:tc>
          <w:tcPr>
            <w:tcW w:w="1453" w:type="dxa"/>
            <w:vMerge w:val="continue"/>
            <w:noWrap w:val="0"/>
            <w:vAlign w:val="center"/>
          </w:tcPr>
          <w:p>
            <w:pPr>
              <w:pStyle w:val="3"/>
              <w:spacing w:line="240" w:lineRule="auto"/>
              <w:ind w:left="0"/>
              <w:rPr>
                <w:rFonts w:ascii="Times New Roman" w:hAnsi="Times New Roman" w:cs="Times New Roman"/>
                <w:color w:val="auto"/>
                <w:sz w:val="21"/>
                <w:szCs w:val="21"/>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3"/>
              <w:spacing w:line="240" w:lineRule="auto"/>
              <w:ind w:left="0"/>
              <w:rPr>
                <w:rFonts w:ascii="Times New Roman" w:hAnsi="Times New Roman" w:cs="Times New Roman"/>
                <w:color w:val="auto"/>
                <w:sz w:val="21"/>
                <w:szCs w:val="21"/>
                <w:u w:val="single"/>
                <w:lang w:eastAsia="zh-CN"/>
              </w:rPr>
            </w:pPr>
          </w:p>
        </w:tc>
        <w:tc>
          <w:tcPr>
            <w:tcW w:w="1586" w:type="dxa"/>
            <w:noWrap w:val="0"/>
            <w:vAlign w:val="center"/>
          </w:tcPr>
          <w:p>
            <w:pPr>
              <w:pStyle w:val="3"/>
              <w:spacing w:line="240" w:lineRule="auto"/>
              <w:ind w:left="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废弃紫外灯管</w:t>
            </w:r>
          </w:p>
        </w:tc>
        <w:tc>
          <w:tcPr>
            <w:tcW w:w="2175" w:type="dxa"/>
            <w:noWrap w:val="0"/>
            <w:vAlign w:val="center"/>
          </w:tcPr>
          <w:p>
            <w:pPr>
              <w:pStyle w:val="3"/>
              <w:spacing w:line="240" w:lineRule="auto"/>
              <w:ind w:left="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危险废物</w:t>
            </w:r>
          </w:p>
        </w:tc>
        <w:tc>
          <w:tcPr>
            <w:tcW w:w="1704" w:type="dxa"/>
            <w:noWrap w:val="0"/>
            <w:vAlign w:val="center"/>
          </w:tcPr>
          <w:p>
            <w:pPr>
              <w:pStyle w:val="3"/>
              <w:spacing w:line="240" w:lineRule="auto"/>
              <w:ind w:left="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0.04</w:t>
            </w:r>
            <w:r>
              <w:rPr>
                <w:rFonts w:hint="eastAsia" w:ascii="Times New Roman" w:hAnsi="Times New Roman" w:cs="Times New Roman"/>
                <w:color w:val="auto"/>
                <w:sz w:val="21"/>
                <w:szCs w:val="21"/>
                <w:u w:val="single"/>
                <w:lang w:eastAsia="zh-CN"/>
              </w:rPr>
              <w:t>t/a</w:t>
            </w:r>
          </w:p>
        </w:tc>
        <w:tc>
          <w:tcPr>
            <w:tcW w:w="1446"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厂家定期回收</w:t>
            </w:r>
          </w:p>
        </w:tc>
        <w:tc>
          <w:tcPr>
            <w:tcW w:w="1665" w:type="dxa"/>
            <w:noWrap w:val="0"/>
            <w:vAlign w:val="center"/>
          </w:tcPr>
          <w:p>
            <w:pPr>
              <w:pStyle w:val="3"/>
              <w:spacing w:line="240" w:lineRule="auto"/>
              <w:ind w:left="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w:t>
            </w:r>
          </w:p>
        </w:tc>
        <w:tc>
          <w:tcPr>
            <w:tcW w:w="1657" w:type="dxa"/>
            <w:noWrap w:val="0"/>
            <w:vAlign w:val="center"/>
          </w:tcPr>
          <w:p>
            <w:pPr>
              <w:pStyle w:val="3"/>
              <w:spacing w:line="240" w:lineRule="auto"/>
              <w:ind w:left="0" w:leftChars="0" w:firstLine="0" w:firstLineChars="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765"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val="en-US" w:eastAsia="zh-CN"/>
              </w:rPr>
              <w:t>0.04</w:t>
            </w:r>
            <w:r>
              <w:rPr>
                <w:rFonts w:hint="eastAsia" w:ascii="Times New Roman" w:hAnsi="Times New Roman" w:cs="Times New Roman"/>
                <w:color w:val="auto"/>
                <w:sz w:val="21"/>
                <w:szCs w:val="21"/>
                <w:u w:val="single"/>
                <w:lang w:eastAsia="zh-CN"/>
              </w:rPr>
              <w:t>t/a</w:t>
            </w:r>
          </w:p>
        </w:tc>
        <w:tc>
          <w:tcPr>
            <w:tcW w:w="1453" w:type="dxa"/>
            <w:noWrap w:val="0"/>
            <w:vAlign w:val="center"/>
          </w:tcPr>
          <w:p>
            <w:pPr>
              <w:pStyle w:val="3"/>
              <w:spacing w:line="240" w:lineRule="auto"/>
              <w:ind w:left="0"/>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不在厂内暂存，厂家定期回收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3"/>
              <w:spacing w:line="240" w:lineRule="auto"/>
              <w:ind w:left="0"/>
              <w:rPr>
                <w:rFonts w:ascii="Times New Roman" w:hAnsi="Times New Roman" w:cs="Times New Roman"/>
                <w:color w:val="auto"/>
                <w:sz w:val="21"/>
                <w:szCs w:val="21"/>
                <w:u w:val="single"/>
                <w:lang w:eastAsia="zh-CN"/>
              </w:rPr>
            </w:pPr>
          </w:p>
        </w:tc>
        <w:tc>
          <w:tcPr>
            <w:tcW w:w="1586" w:type="dxa"/>
            <w:noWrap w:val="0"/>
            <w:vAlign w:val="center"/>
          </w:tcPr>
          <w:p>
            <w:pPr>
              <w:pStyle w:val="3"/>
              <w:spacing w:line="240" w:lineRule="auto"/>
              <w:ind w:left="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废活性炭</w:t>
            </w:r>
          </w:p>
        </w:tc>
        <w:tc>
          <w:tcPr>
            <w:tcW w:w="2175" w:type="dxa"/>
            <w:noWrap w:val="0"/>
            <w:vAlign w:val="center"/>
          </w:tcPr>
          <w:p>
            <w:pPr>
              <w:pStyle w:val="3"/>
              <w:spacing w:line="240" w:lineRule="auto"/>
              <w:ind w:left="0" w:leftChars="0" w:firstLine="0" w:firstLineChars="0"/>
              <w:jc w:val="center"/>
              <w:rPr>
                <w:rFonts w:hint="eastAsia" w:ascii="Times New Roman" w:hAnsi="Times New Roman" w:cs="Times New Roman"/>
                <w:color w:val="auto"/>
                <w:kern w:val="0"/>
                <w:sz w:val="21"/>
                <w:szCs w:val="21"/>
                <w:u w:val="single"/>
                <w:lang w:val="en-US" w:eastAsia="zh-CN" w:bidi="ar-SA"/>
              </w:rPr>
            </w:pPr>
            <w:r>
              <w:rPr>
                <w:rFonts w:hint="eastAsia" w:ascii="Times New Roman" w:hAnsi="Times New Roman" w:cs="Times New Roman"/>
                <w:color w:val="auto"/>
                <w:sz w:val="21"/>
                <w:szCs w:val="21"/>
                <w:u w:val="single"/>
                <w:lang w:eastAsia="zh-CN"/>
              </w:rPr>
              <w:t>危险废物</w:t>
            </w:r>
          </w:p>
        </w:tc>
        <w:tc>
          <w:tcPr>
            <w:tcW w:w="1704" w:type="dxa"/>
            <w:noWrap w:val="0"/>
            <w:vAlign w:val="center"/>
          </w:tcPr>
          <w:p>
            <w:pPr>
              <w:pStyle w:val="3"/>
              <w:spacing w:line="240" w:lineRule="auto"/>
              <w:ind w:left="0" w:leftChars="0" w:firstLine="0" w:firstLineChars="0"/>
              <w:jc w:val="center"/>
              <w:rPr>
                <w:rFonts w:hint="eastAsia" w:ascii="Times New Roman" w:hAnsi="Times New Roman" w:cs="Times New Roman"/>
                <w:color w:val="auto"/>
                <w:kern w:val="0"/>
                <w:sz w:val="21"/>
                <w:szCs w:val="21"/>
                <w:u w:val="single"/>
                <w:lang w:val="en-US" w:eastAsia="zh-CN" w:bidi="ar-SA"/>
              </w:rPr>
            </w:pPr>
            <w:r>
              <w:rPr>
                <w:rFonts w:hint="eastAsia" w:ascii="Times New Roman" w:hAnsi="Times New Roman" w:cs="Times New Roman"/>
                <w:color w:val="auto"/>
                <w:sz w:val="21"/>
                <w:szCs w:val="21"/>
                <w:u w:val="single"/>
                <w:lang w:val="en-US" w:eastAsia="zh-CN"/>
              </w:rPr>
              <w:t>0.015</w:t>
            </w:r>
            <w:r>
              <w:rPr>
                <w:rFonts w:hint="eastAsia" w:ascii="Times New Roman" w:hAnsi="Times New Roman" w:cs="Times New Roman"/>
                <w:color w:val="auto"/>
                <w:sz w:val="21"/>
                <w:szCs w:val="21"/>
                <w:u w:val="single"/>
                <w:lang w:eastAsia="zh-CN"/>
              </w:rPr>
              <w:t>t/a</w:t>
            </w:r>
          </w:p>
        </w:tc>
        <w:tc>
          <w:tcPr>
            <w:tcW w:w="1446" w:type="dxa"/>
            <w:noWrap w:val="0"/>
            <w:vAlign w:val="center"/>
          </w:tcPr>
          <w:p>
            <w:pPr>
              <w:pStyle w:val="3"/>
              <w:spacing w:line="240" w:lineRule="auto"/>
              <w:ind w:left="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厂家定期回收</w:t>
            </w:r>
          </w:p>
        </w:tc>
        <w:tc>
          <w:tcPr>
            <w:tcW w:w="1665"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657"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765"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0.015</w:t>
            </w:r>
            <w:r>
              <w:rPr>
                <w:rFonts w:hint="eastAsia" w:ascii="Times New Roman" w:hAnsi="Times New Roman" w:cs="Times New Roman"/>
                <w:color w:val="auto"/>
                <w:sz w:val="21"/>
                <w:szCs w:val="21"/>
                <w:u w:val="single"/>
                <w:lang w:eastAsia="zh-CN"/>
              </w:rPr>
              <w:t>t/a</w:t>
            </w:r>
          </w:p>
        </w:tc>
        <w:tc>
          <w:tcPr>
            <w:tcW w:w="1453" w:type="dxa"/>
            <w:noWrap w:val="0"/>
            <w:vAlign w:val="center"/>
          </w:tcPr>
          <w:p>
            <w:pPr>
              <w:pStyle w:val="3"/>
              <w:spacing w:line="240" w:lineRule="auto"/>
              <w:ind w:left="0"/>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不在厂内暂存，厂家定期回收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3"/>
              <w:spacing w:line="240" w:lineRule="auto"/>
              <w:ind w:left="0"/>
              <w:rPr>
                <w:rFonts w:ascii="Times New Roman" w:hAnsi="Times New Roman" w:cs="Times New Roman"/>
                <w:color w:val="auto"/>
                <w:sz w:val="21"/>
                <w:szCs w:val="21"/>
                <w:u w:val="single"/>
                <w:lang w:eastAsia="zh-CN"/>
              </w:rPr>
            </w:pPr>
          </w:p>
        </w:tc>
        <w:tc>
          <w:tcPr>
            <w:tcW w:w="1586" w:type="dxa"/>
            <w:noWrap w:val="0"/>
            <w:vAlign w:val="center"/>
          </w:tcPr>
          <w:p>
            <w:pPr>
              <w:pStyle w:val="3"/>
              <w:spacing w:line="240" w:lineRule="auto"/>
              <w:ind w:left="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生活垃圾</w:t>
            </w:r>
          </w:p>
        </w:tc>
        <w:tc>
          <w:tcPr>
            <w:tcW w:w="2175"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生活垃圾</w:t>
            </w:r>
          </w:p>
        </w:tc>
        <w:tc>
          <w:tcPr>
            <w:tcW w:w="1704"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0.6935</w:t>
            </w:r>
            <w:r>
              <w:rPr>
                <w:rFonts w:ascii="Times New Roman" w:hAnsi="Times New Roman" w:cs="Times New Roman"/>
                <w:color w:val="auto"/>
                <w:sz w:val="21"/>
                <w:szCs w:val="21"/>
                <w:u w:val="single"/>
                <w:lang w:eastAsia="zh-CN"/>
              </w:rPr>
              <w:t>t/a</w:t>
            </w:r>
          </w:p>
        </w:tc>
        <w:tc>
          <w:tcPr>
            <w:tcW w:w="1446" w:type="dxa"/>
            <w:noWrap w:val="0"/>
            <w:vAlign w:val="center"/>
          </w:tcPr>
          <w:p>
            <w:pPr>
              <w:pStyle w:val="3"/>
              <w:spacing w:line="240" w:lineRule="auto"/>
              <w:ind w:left="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none"/>
                <w:lang w:eastAsia="zh-CN"/>
              </w:rPr>
              <w:t>定期处理</w:t>
            </w:r>
          </w:p>
        </w:tc>
        <w:tc>
          <w:tcPr>
            <w:tcW w:w="1665"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657"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765" w:type="dxa"/>
            <w:noWrap w:val="0"/>
            <w:vAlign w:val="center"/>
          </w:tcPr>
          <w:p>
            <w:pPr>
              <w:pStyle w:val="3"/>
              <w:spacing w:line="240" w:lineRule="auto"/>
              <w:ind w:left="0" w:leftChars="0" w:firstLine="0" w:firstLineChars="0"/>
              <w:jc w:val="center"/>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0.6935</w:t>
            </w:r>
            <w:r>
              <w:rPr>
                <w:rFonts w:ascii="Times New Roman" w:hAnsi="Times New Roman" w:cs="Times New Roman"/>
                <w:color w:val="auto"/>
                <w:sz w:val="21"/>
                <w:szCs w:val="21"/>
                <w:u w:val="single"/>
                <w:lang w:eastAsia="zh-CN"/>
              </w:rPr>
              <w:t>t/a</w:t>
            </w:r>
          </w:p>
        </w:tc>
        <w:tc>
          <w:tcPr>
            <w:tcW w:w="1453" w:type="dxa"/>
            <w:noWrap w:val="0"/>
            <w:vAlign w:val="center"/>
          </w:tcPr>
          <w:p>
            <w:pPr>
              <w:pStyle w:val="3"/>
              <w:spacing w:line="240" w:lineRule="auto"/>
              <w:ind w:left="0"/>
              <w:rPr>
                <w:rFonts w:hint="eastAsia"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外运至</w:t>
            </w:r>
            <w:r>
              <w:rPr>
                <w:rFonts w:hint="eastAsia" w:ascii="Times New Roman" w:hAnsi="Times New Roman" w:cs="Times New Roman"/>
                <w:color w:val="auto"/>
                <w:sz w:val="21"/>
                <w:szCs w:val="21"/>
                <w:u w:val="single"/>
                <w:lang w:eastAsia="zh-CN"/>
              </w:rPr>
              <w:t>永顺县生活垃圾填埋场。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75" w:type="dxa"/>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ascii="Times New Roman" w:hAnsi="Times New Roman" w:cs="Times New Roman"/>
                <w:color w:val="auto"/>
                <w:sz w:val="21"/>
                <w:szCs w:val="21"/>
                <w:u w:val="single"/>
                <w:lang w:eastAsia="zh-CN"/>
              </w:rPr>
              <w:t>噪声</w:t>
            </w:r>
          </w:p>
        </w:tc>
        <w:tc>
          <w:tcPr>
            <w:tcW w:w="13451" w:type="dxa"/>
            <w:gridSpan w:val="8"/>
            <w:noWrap w:val="0"/>
            <w:vAlign w:val="center"/>
          </w:tcPr>
          <w:p>
            <w:pPr>
              <w:pStyle w:val="3"/>
              <w:spacing w:line="240" w:lineRule="auto"/>
              <w:ind w:left="0"/>
              <w:jc w:val="center"/>
              <w:rPr>
                <w:rFonts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single"/>
                <w:lang w:eastAsia="zh-CN"/>
              </w:rPr>
              <w:t>二期工程新增噪声源为</w:t>
            </w:r>
            <w:r>
              <w:rPr>
                <w:rFonts w:hint="eastAsia" w:ascii="Times New Roman" w:hAnsi="Times New Roman" w:cs="Times New Roman"/>
                <w:color w:val="auto"/>
                <w:sz w:val="21"/>
                <w:szCs w:val="21"/>
                <w:u w:val="single"/>
                <w:lang w:val="en-US" w:eastAsia="zh-CN"/>
              </w:rPr>
              <w:t>MBR一体化设备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75" w:type="dxa"/>
            <w:noWrap w:val="0"/>
            <w:vAlign w:val="center"/>
          </w:tcPr>
          <w:p>
            <w:pPr>
              <w:pStyle w:val="3"/>
              <w:spacing w:line="240" w:lineRule="auto"/>
              <w:ind w:left="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备注</w:t>
            </w:r>
          </w:p>
        </w:tc>
        <w:tc>
          <w:tcPr>
            <w:tcW w:w="13451" w:type="dxa"/>
            <w:gridSpan w:val="8"/>
            <w:noWrap w:val="0"/>
            <w:vAlign w:val="center"/>
          </w:tcPr>
          <w:p>
            <w:pPr>
              <w:pStyle w:val="3"/>
              <w:spacing w:line="240" w:lineRule="auto"/>
              <w:ind w:left="0"/>
              <w:jc w:val="center"/>
              <w:rPr>
                <w:rFonts w:hint="eastAsia" w:ascii="Times New Roman" w:hAnsi="Times New Roman" w:cs="Times New Roman"/>
                <w:color w:val="auto"/>
                <w:sz w:val="21"/>
                <w:szCs w:val="21"/>
                <w:u w:val="single"/>
                <w:lang w:eastAsia="zh-CN"/>
              </w:rPr>
            </w:pPr>
            <w:r>
              <w:rPr>
                <w:rFonts w:hint="eastAsia" w:ascii="Times New Roman" w:hAnsi="Times New Roman" w:cs="Times New Roman"/>
                <w:color w:val="auto"/>
                <w:sz w:val="21"/>
                <w:szCs w:val="21"/>
                <w:u w:val="none"/>
                <w:lang w:eastAsia="zh-CN"/>
              </w:rPr>
              <w:t>括号外为水温大于12摄氏度时控制指标，括号内为水温小于等于12摄氏度时控制指标</w:t>
            </w:r>
          </w:p>
        </w:tc>
      </w:tr>
    </w:tbl>
    <w:p>
      <w:pPr>
        <w:pStyle w:val="60"/>
        <w:rPr>
          <w:rFonts w:hint="eastAsia" w:ascii="Times New Roman" w:hAnsi="Times New Roman" w:cs="Times New Roman"/>
          <w:b/>
          <w:color w:val="auto"/>
          <w:sz w:val="21"/>
          <w:szCs w:val="21"/>
          <w:u w:val="none"/>
          <w:lang w:eastAsia="zh-CN"/>
        </w:rPr>
      </w:pPr>
    </w:p>
    <w:p>
      <w:pPr>
        <w:pStyle w:val="60"/>
        <w:rPr>
          <w:rFonts w:hint="eastAsia" w:ascii="Times New Roman" w:hAnsi="Times New Roman" w:cs="Times New Roman"/>
          <w:b/>
          <w:color w:val="auto"/>
          <w:sz w:val="21"/>
          <w:szCs w:val="21"/>
          <w:u w:val="none"/>
          <w:lang w:eastAsia="zh-CN"/>
        </w:rPr>
        <w:sectPr>
          <w:pgSz w:w="16790" w:h="11850" w:orient="landscape"/>
          <w:pgMar w:top="1800" w:right="1440" w:bottom="1800" w:left="1440" w:header="720" w:footer="720" w:gutter="0"/>
          <w:pgBorders w:offsetFrom="page">
            <w:top w:val="none" w:sz="0" w:space="0"/>
            <w:left w:val="none" w:sz="0" w:space="0"/>
            <w:bottom w:val="none" w:sz="0" w:space="0"/>
            <w:right w:val="none" w:sz="0" w:space="0"/>
          </w:pgBorders>
          <w:cols w:space="720" w:num="1"/>
          <w:docGrid w:linePitch="326" w:charSpace="0"/>
        </w:sectPr>
      </w:pPr>
    </w:p>
    <w:p>
      <w:pPr>
        <w:pStyle w:val="4"/>
        <w:ind w:firstLine="643"/>
        <w:rPr>
          <w:rFonts w:hint="eastAsia"/>
          <w:color w:val="auto"/>
          <w:kern w:val="0"/>
          <w:u w:val="none"/>
        </w:rPr>
      </w:pPr>
      <w:bookmarkStart w:id="197" w:name="_Toc489349350"/>
      <w:bookmarkStart w:id="198" w:name="_Toc489350005"/>
      <w:bookmarkStart w:id="199" w:name="_Toc489350169"/>
      <w:bookmarkStart w:id="200" w:name="_Toc11817"/>
      <w:r>
        <w:rPr>
          <w:rFonts w:hint="eastAsia"/>
          <w:color w:val="auto"/>
          <w:kern w:val="0"/>
          <w:u w:val="none"/>
        </w:rPr>
        <w:t>第3章</w:t>
      </w:r>
      <w:bookmarkEnd w:id="197"/>
      <w:bookmarkEnd w:id="198"/>
      <w:bookmarkEnd w:id="199"/>
      <w:r>
        <w:rPr>
          <w:rFonts w:hint="eastAsia"/>
          <w:color w:val="auto"/>
          <w:kern w:val="0"/>
          <w:u w:val="none"/>
        </w:rPr>
        <w:t xml:space="preserve"> 环境现状调查与评价</w:t>
      </w:r>
      <w:bookmarkEnd w:id="200"/>
    </w:p>
    <w:p>
      <w:pPr>
        <w:pStyle w:val="76"/>
        <w:spacing w:before="163" w:after="163"/>
        <w:rPr>
          <w:rFonts w:hint="eastAsia"/>
          <w:color w:val="auto"/>
          <w:kern w:val="0"/>
          <w:u w:val="none"/>
        </w:rPr>
      </w:pPr>
      <w:bookmarkStart w:id="201" w:name="_Toc489349364"/>
      <w:bookmarkStart w:id="202" w:name="_Toc489350183"/>
      <w:bookmarkStart w:id="203" w:name="_Toc2236"/>
      <w:r>
        <w:rPr>
          <w:rFonts w:hint="eastAsia"/>
          <w:color w:val="auto"/>
          <w:kern w:val="0"/>
          <w:u w:val="none"/>
        </w:rPr>
        <w:t>3.1</w:t>
      </w:r>
      <w:bookmarkEnd w:id="201"/>
      <w:bookmarkEnd w:id="202"/>
      <w:r>
        <w:rPr>
          <w:color w:val="auto"/>
          <w:u w:val="none"/>
        </w:rPr>
        <w:t>自然环境</w:t>
      </w:r>
      <w:r>
        <w:rPr>
          <w:rFonts w:hint="eastAsia"/>
          <w:color w:val="auto"/>
          <w:u w:val="none"/>
        </w:rPr>
        <w:t>现状调查与评价</w:t>
      </w:r>
      <w:bookmarkEnd w:id="203"/>
    </w:p>
    <w:p>
      <w:pPr>
        <w:pStyle w:val="6"/>
        <w:bidi w:val="0"/>
      </w:pPr>
      <w:bookmarkStart w:id="204" w:name="_Toc489349365"/>
      <w:bookmarkStart w:id="205" w:name="_Toc489350184"/>
      <w:bookmarkStart w:id="206" w:name="_Toc489350285"/>
      <w:bookmarkStart w:id="207" w:name="_Toc489350017"/>
      <w:r>
        <w:rPr>
          <w:rFonts w:hint="eastAsia"/>
        </w:rPr>
        <w:t>3.1.1地理位置</w:t>
      </w:r>
      <w:bookmarkEnd w:id="204"/>
      <w:bookmarkEnd w:id="205"/>
      <w:bookmarkEnd w:id="206"/>
      <w:bookmarkEnd w:id="207"/>
    </w:p>
    <w:p>
      <w:pPr>
        <w:wordWrap w:val="0"/>
        <w:ind w:firstLine="480"/>
        <w:jc w:val="both"/>
        <w:rPr>
          <w:color w:val="auto"/>
          <w:szCs w:val="22"/>
          <w:u w:val="none"/>
        </w:rPr>
      </w:pPr>
      <w:bookmarkStart w:id="208" w:name="_Toc489350018"/>
      <w:bookmarkStart w:id="209" w:name="_Toc489349366"/>
      <w:bookmarkStart w:id="210" w:name="_Toc489350286"/>
      <w:bookmarkStart w:id="211" w:name="_Toc489350185"/>
      <w:r>
        <w:rPr>
          <w:rFonts w:hint="eastAsia"/>
          <w:color w:val="auto"/>
          <w:szCs w:val="22"/>
          <w:u w:val="none"/>
        </w:rPr>
        <w:t>永顺县位于湖南省西北部，湘西土家族苗族自治州北部，东邻张家界，南临古丈县境，接吉首，北临桑植，西毗龙山与保靖交界，东南同怀化地区沅陵县境毗连，县城距张家界市97km。地理坐标介于东经109</w:t>
      </w:r>
      <w:r>
        <w:rPr>
          <w:rFonts w:hint="eastAsia"/>
          <w:color w:val="auto"/>
          <w:szCs w:val="22"/>
          <w:u w:val="none"/>
          <w:lang w:val="zh-CN"/>
        </w:rPr>
        <w:t>°</w:t>
      </w:r>
      <w:r>
        <w:rPr>
          <w:rFonts w:hint="eastAsia"/>
          <w:color w:val="auto"/>
          <w:szCs w:val="22"/>
          <w:u w:val="none"/>
        </w:rPr>
        <w:t>36′48″</w:t>
      </w:r>
      <w:r>
        <w:rPr>
          <w:rFonts w:hint="default"/>
          <w:color w:val="auto"/>
          <w:szCs w:val="22"/>
          <w:u w:val="none"/>
        </w:rPr>
        <w:t xml:space="preserve">~ </w:t>
      </w:r>
      <w:r>
        <w:rPr>
          <w:rFonts w:hint="eastAsia"/>
          <w:color w:val="auto"/>
          <w:szCs w:val="22"/>
          <w:u w:val="none"/>
        </w:rPr>
        <w:t>110</w:t>
      </w:r>
      <w:r>
        <w:rPr>
          <w:rFonts w:hint="eastAsia"/>
          <w:color w:val="auto"/>
          <w:szCs w:val="22"/>
          <w:u w:val="none"/>
          <w:lang w:val="zh-CN"/>
        </w:rPr>
        <w:t>°</w:t>
      </w:r>
      <w:r>
        <w:rPr>
          <w:rFonts w:hint="eastAsia"/>
          <w:color w:val="auto"/>
          <w:szCs w:val="22"/>
          <w:u w:val="none"/>
        </w:rPr>
        <w:t>18′27″，北纬28</w:t>
      </w:r>
      <w:r>
        <w:rPr>
          <w:rFonts w:hint="eastAsia"/>
          <w:color w:val="auto"/>
          <w:szCs w:val="22"/>
          <w:u w:val="none"/>
          <w:lang w:val="zh-CN"/>
        </w:rPr>
        <w:t>°</w:t>
      </w:r>
      <w:r>
        <w:rPr>
          <w:rFonts w:hint="eastAsia"/>
          <w:color w:val="auto"/>
          <w:szCs w:val="22"/>
          <w:u w:val="none"/>
        </w:rPr>
        <w:t>42′52″</w:t>
      </w:r>
      <w:r>
        <w:rPr>
          <w:rFonts w:hint="default"/>
          <w:color w:val="auto"/>
          <w:szCs w:val="22"/>
          <w:u w:val="none"/>
        </w:rPr>
        <w:t>~</w:t>
      </w:r>
      <w:r>
        <w:rPr>
          <w:rFonts w:hint="eastAsia"/>
          <w:color w:val="auto"/>
          <w:szCs w:val="22"/>
          <w:u w:val="none"/>
        </w:rPr>
        <w:t>29</w:t>
      </w:r>
      <w:r>
        <w:rPr>
          <w:rFonts w:hint="eastAsia"/>
          <w:color w:val="auto"/>
          <w:szCs w:val="22"/>
          <w:u w:val="none"/>
          <w:lang w:val="zh-CN"/>
        </w:rPr>
        <w:t>°26</w:t>
      </w:r>
      <w:r>
        <w:rPr>
          <w:rFonts w:hint="eastAsia"/>
          <w:color w:val="auto"/>
          <w:szCs w:val="22"/>
          <w:u w:val="none"/>
        </w:rPr>
        <w:t>′39″之间。</w:t>
      </w:r>
    </w:p>
    <w:p>
      <w:pPr>
        <w:wordWrap w:val="0"/>
        <w:ind w:firstLine="480"/>
        <w:jc w:val="both"/>
        <w:rPr>
          <w:rFonts w:hint="eastAsia"/>
          <w:color w:val="auto"/>
          <w:szCs w:val="22"/>
          <w:u w:val="none"/>
        </w:rPr>
      </w:pPr>
      <w:r>
        <w:rPr>
          <w:color w:val="auto"/>
          <w:szCs w:val="22"/>
          <w:u w:val="none"/>
        </w:rPr>
        <w:t>本项目</w:t>
      </w:r>
      <w:r>
        <w:rPr>
          <w:rFonts w:hint="eastAsia"/>
          <w:color w:val="auto"/>
          <w:szCs w:val="22"/>
          <w:u w:val="none"/>
        </w:rPr>
        <w:t>位于</w:t>
      </w:r>
      <w:r>
        <w:rPr>
          <w:rFonts w:hint="eastAsia" w:ascii="宋体" w:hAnsi="宋体" w:eastAsia="宋体" w:cs="宋体"/>
          <w:color w:val="auto"/>
          <w:u w:val="none"/>
        </w:rPr>
        <w:t>湖南永顺经济开发区</w:t>
      </w:r>
      <w:r>
        <w:rPr>
          <w:rFonts w:hint="eastAsia" w:ascii="宋体" w:hAnsi="宋体" w:eastAsia="宋体" w:cs="宋体"/>
          <w:color w:val="auto"/>
          <w:u w:val="none"/>
          <w:lang w:eastAsia="zh-CN"/>
        </w:rPr>
        <w:t>调扩区</w:t>
      </w:r>
      <w:r>
        <w:rPr>
          <w:rFonts w:hint="eastAsia" w:ascii="宋体" w:hAnsi="宋体" w:eastAsia="宋体" w:cs="宋体"/>
          <w:color w:val="auto"/>
          <w:u w:val="none"/>
        </w:rPr>
        <w:t>猛洞河产业园</w:t>
      </w:r>
      <w:r>
        <w:rPr>
          <w:color w:val="auto"/>
          <w:szCs w:val="22"/>
          <w:u w:val="none"/>
        </w:rPr>
        <w:t>，项目地</w:t>
      </w:r>
      <w:r>
        <w:rPr>
          <w:rFonts w:hint="eastAsia"/>
          <w:color w:val="auto"/>
          <w:szCs w:val="22"/>
          <w:u w:val="none"/>
        </w:rPr>
        <w:t>位于</w:t>
      </w:r>
      <w:r>
        <w:rPr>
          <w:rFonts w:hint="eastAsia"/>
          <w:color w:val="auto"/>
          <w:szCs w:val="22"/>
          <w:u w:val="none"/>
          <w:lang w:eastAsia="zh-CN"/>
        </w:rPr>
        <w:t>规划道路岔那</w:t>
      </w:r>
      <w:r>
        <w:rPr>
          <w:rFonts w:hint="eastAsia"/>
          <w:color w:val="auto"/>
          <w:szCs w:val="22"/>
          <w:u w:val="none"/>
        </w:rPr>
        <w:t>大道</w:t>
      </w:r>
      <w:r>
        <w:rPr>
          <w:rFonts w:hint="eastAsia"/>
          <w:color w:val="auto"/>
          <w:szCs w:val="22"/>
          <w:u w:val="none"/>
          <w:lang w:eastAsia="zh-CN"/>
        </w:rPr>
        <w:t>与新城东路交叉口</w:t>
      </w:r>
      <w:r>
        <w:rPr>
          <w:rFonts w:hint="eastAsia"/>
          <w:color w:val="auto"/>
          <w:szCs w:val="22"/>
          <w:u w:val="none"/>
        </w:rPr>
        <w:t>东侧</w:t>
      </w:r>
      <w:r>
        <w:rPr>
          <w:color w:val="auto"/>
          <w:u w:val="none"/>
        </w:rPr>
        <w:t>。</w:t>
      </w:r>
      <w:r>
        <w:rPr>
          <w:rFonts w:hint="eastAsia"/>
          <w:color w:val="auto"/>
          <w:u w:val="none"/>
        </w:rPr>
        <w:t>项目所在地地理坐标为：</w:t>
      </w:r>
      <w:r>
        <w:rPr>
          <w:rFonts w:hint="eastAsia"/>
          <w:color w:val="auto"/>
          <w:u w:val="none"/>
          <w:lang w:val="en-US" w:eastAsia="zh-CN"/>
        </w:rPr>
        <w:t>E</w:t>
      </w:r>
      <w:r>
        <w:rPr>
          <w:rFonts w:hint="eastAsia"/>
          <w:color w:val="auto"/>
          <w:u w:val="none"/>
          <w:lang w:eastAsia="zh-CN"/>
        </w:rPr>
        <w:t>109°49′39.09602″,</w:t>
      </w:r>
      <w:r>
        <w:rPr>
          <w:rFonts w:hint="eastAsia"/>
          <w:color w:val="auto"/>
          <w:u w:val="none"/>
          <w:lang w:val="en-US" w:eastAsia="zh-CN"/>
        </w:rPr>
        <w:t>N</w:t>
      </w:r>
      <w:r>
        <w:rPr>
          <w:rFonts w:hint="eastAsia"/>
          <w:color w:val="auto"/>
          <w:u w:val="none"/>
          <w:lang w:eastAsia="zh-CN"/>
        </w:rPr>
        <w:t>28°58′8.94166″</w:t>
      </w:r>
      <w:r>
        <w:rPr>
          <w:rFonts w:hint="eastAsia"/>
          <w:color w:val="auto"/>
          <w:szCs w:val="22"/>
          <w:u w:val="none"/>
        </w:rPr>
        <w:t>，具体</w:t>
      </w:r>
      <w:r>
        <w:rPr>
          <w:color w:val="auto"/>
          <w:szCs w:val="22"/>
          <w:u w:val="none"/>
        </w:rPr>
        <w:t>详见附图1</w:t>
      </w:r>
      <w:r>
        <w:rPr>
          <w:rFonts w:hint="eastAsia"/>
          <w:color w:val="auto"/>
          <w:szCs w:val="22"/>
          <w:u w:val="none"/>
        </w:rPr>
        <w:t>。</w:t>
      </w:r>
    </w:p>
    <w:p>
      <w:pPr>
        <w:pStyle w:val="6"/>
        <w:bidi w:val="0"/>
      </w:pPr>
      <w:r>
        <w:rPr>
          <w:rFonts w:hint="eastAsia"/>
        </w:rPr>
        <w:t>3.1.2地形、地貌</w:t>
      </w:r>
      <w:bookmarkEnd w:id="208"/>
      <w:bookmarkEnd w:id="209"/>
      <w:bookmarkEnd w:id="210"/>
      <w:bookmarkEnd w:id="211"/>
      <w:r>
        <w:rPr>
          <w:rFonts w:hint="eastAsia"/>
        </w:rPr>
        <w:t>、地质</w:t>
      </w:r>
    </w:p>
    <w:p>
      <w:pPr>
        <w:pStyle w:val="2"/>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auto"/>
          <w:kern w:val="2"/>
          <w:sz w:val="24"/>
          <w:szCs w:val="22"/>
          <w:u w:val="none"/>
          <w:lang w:val="en-US" w:eastAsia="zh-CN" w:bidi="ar-SA"/>
        </w:rPr>
      </w:pPr>
      <w:r>
        <w:rPr>
          <w:rFonts w:hint="eastAsia" w:ascii="Times New Roman" w:hAnsi="Times New Roman" w:eastAsia="宋体" w:cs="Times New Roman"/>
          <w:color w:val="auto"/>
          <w:kern w:val="2"/>
          <w:sz w:val="24"/>
          <w:szCs w:val="22"/>
          <w:u w:val="none"/>
          <w:lang w:val="en-US" w:eastAsia="zh-CN" w:bidi="ar-SA"/>
        </w:rPr>
        <w:t>永顺县地处湘西山地西北部，位于云贵高原东侧武陵山西北与鄂西山地交界处，境内山峦叠嶂，溪谷纵横，最高羊峰山海拔为1437.9米，最大高差1275.3米。境内海拔200米以下地面占3.5%；400-600米占39.1%；600-1100米占38.9%；1100以上占18.5%。以中低山地貌为主，兼有山地、丘陵、岗地、平原多种类型交错分布。</w:t>
      </w:r>
    </w:p>
    <w:p>
      <w:pPr>
        <w:pStyle w:val="2"/>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auto"/>
          <w:kern w:val="2"/>
          <w:sz w:val="24"/>
          <w:szCs w:val="22"/>
          <w:u w:val="none"/>
          <w:lang w:val="en-US" w:eastAsia="zh-CN" w:bidi="ar-SA"/>
        </w:rPr>
      </w:pPr>
      <w:r>
        <w:rPr>
          <w:rFonts w:hint="eastAsia" w:ascii="Times New Roman" w:hAnsi="Times New Roman" w:eastAsia="宋体" w:cs="Times New Roman"/>
          <w:color w:val="auto"/>
          <w:kern w:val="2"/>
          <w:sz w:val="24"/>
          <w:szCs w:val="22"/>
          <w:u w:val="none"/>
          <w:lang w:val="en-US" w:eastAsia="zh-CN" w:bidi="ar-SA"/>
        </w:rPr>
        <w:t>该区属弱地震区，根据国家标准GB18306-2001《中国地震动参数区划图》附录标定，该规划区地震动峰值加速度为＜0.05g，地震动反应谱特征周期为0.35s，根据峰值加速度对比，该区地震基本烈度小于Ⅵ度。</w:t>
      </w:r>
    </w:p>
    <w:p>
      <w:pPr>
        <w:pStyle w:val="2"/>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auto"/>
          <w:kern w:val="2"/>
          <w:sz w:val="24"/>
          <w:szCs w:val="22"/>
          <w:u w:val="none"/>
          <w:lang w:val="en-US" w:eastAsia="zh-CN" w:bidi="ar-SA"/>
        </w:rPr>
      </w:pPr>
      <w:r>
        <w:rPr>
          <w:rFonts w:hint="eastAsia" w:ascii="Times New Roman" w:hAnsi="Times New Roman" w:eastAsia="宋体" w:cs="Times New Roman"/>
          <w:color w:val="auto"/>
          <w:kern w:val="2"/>
          <w:sz w:val="24"/>
          <w:szCs w:val="22"/>
          <w:u w:val="none"/>
          <w:lang w:val="en-US" w:eastAsia="zh-CN" w:bidi="ar-SA"/>
        </w:rPr>
        <w:t>永顺县经济开发区以低山丘陵地貌为特征，石灰岩岩溶地貌发育，山坡、河谷处有相对较为平坦的农田分布，耕地多呈耕性差、有机质含量低、土层浅溥、质地粘重、中至微碱性反应的鸡窝土。开发区拟开发用地海拔高度约在300~340m之间。</w:t>
      </w:r>
    </w:p>
    <w:p>
      <w:pPr>
        <w:ind w:firstLine="480"/>
        <w:jc w:val="both"/>
        <w:rPr>
          <w:rFonts w:hint="eastAsia" w:ascii="Times New Roman" w:hAnsi="Times New Roman" w:eastAsia="宋体" w:cs="Times New Roman"/>
          <w:color w:val="auto"/>
          <w:kern w:val="2"/>
          <w:sz w:val="24"/>
          <w:szCs w:val="22"/>
          <w:u w:val="none"/>
          <w:lang w:val="en-US" w:eastAsia="zh-CN" w:bidi="ar-SA"/>
        </w:rPr>
      </w:pPr>
      <w:r>
        <w:rPr>
          <w:rFonts w:hint="eastAsia" w:ascii="Times New Roman" w:hAnsi="Times New Roman" w:eastAsia="宋体" w:cs="Times New Roman"/>
          <w:color w:val="auto"/>
          <w:kern w:val="2"/>
          <w:sz w:val="24"/>
          <w:szCs w:val="22"/>
          <w:u w:val="none"/>
          <w:lang w:val="en-US" w:eastAsia="zh-CN" w:bidi="ar-SA"/>
        </w:rPr>
        <w:t>区域出露地层主要为早古生界寒武系、奥陶系、志留系地层，东南部出露有新元古界青白口系、南华系、震旦系地层，西部有少量中生界白垩系地层，缺失晚古生界、中生界侏罗系、三叠系及新生界古近系、新近系地层。区内第四纪沉积不发育，多被剥蚀，保存不全，全新统（Qh）：主要为河漫滩相沉积，其岩性下部：砂砾层、砾石层。厚小于 10m。上部为褐色砂土、粉砂土，多被人工改造成种植土，厚 1 至数米。更新统（Qp）：分布于酉水、猛洞河、施河水系两侧二、三级阶地，多被剥蚀，保存甚少，成零星分布。主要岩性：下部：砾石层、砂砾层；上部：土黄色粘土、砂质粘土、粉质粘土。</w:t>
      </w:r>
    </w:p>
    <w:p>
      <w:pPr>
        <w:pStyle w:val="6"/>
        <w:bidi w:val="0"/>
        <w:rPr>
          <w:rFonts w:hint="eastAsia"/>
        </w:rPr>
      </w:pPr>
      <w:r>
        <w:rPr>
          <w:rFonts w:hint="eastAsia"/>
        </w:rPr>
        <w:t>3.1.</w:t>
      </w:r>
      <w:r>
        <w:t>3</w:t>
      </w:r>
      <w:r>
        <w:rPr>
          <w:rFonts w:hint="eastAsia"/>
        </w:rPr>
        <w:t>气候气候</w:t>
      </w:r>
    </w:p>
    <w:p>
      <w:pPr>
        <w:wordWrap w:val="0"/>
        <w:ind w:firstLine="480"/>
        <w:jc w:val="both"/>
        <w:rPr>
          <w:rFonts w:hint="eastAsia"/>
          <w:color w:val="auto"/>
          <w:szCs w:val="22"/>
          <w:u w:val="none"/>
        </w:rPr>
      </w:pPr>
      <w:bookmarkStart w:id="212" w:name="_Toc489350186"/>
      <w:bookmarkStart w:id="213" w:name="_Toc489350019"/>
      <w:bookmarkStart w:id="214" w:name="_Toc489350287"/>
      <w:bookmarkStart w:id="215" w:name="_Toc489349367"/>
      <w:r>
        <w:rPr>
          <w:rFonts w:hint="eastAsia"/>
          <w:color w:val="auto"/>
          <w:szCs w:val="22"/>
          <w:u w:val="none"/>
        </w:rPr>
        <w:t>该区属亚热带季风湿润气候。春暖多雨、夏季干热，秋高气爽，冬季寒冷，四季分明。但因地势差异，气候差异明显。据永顺县</w:t>
      </w:r>
      <w:r>
        <w:rPr>
          <w:rFonts w:hint="eastAsia"/>
          <w:color w:val="auto"/>
          <w:szCs w:val="22"/>
          <w:u w:val="none"/>
          <w:lang w:val="en-US" w:eastAsia="zh-CN"/>
        </w:rPr>
        <w:t>2000</w:t>
      </w:r>
      <w:r>
        <w:rPr>
          <w:rFonts w:hint="eastAsia"/>
          <w:color w:val="auto"/>
          <w:szCs w:val="22"/>
          <w:u w:val="none"/>
        </w:rPr>
        <w:t>～201</w:t>
      </w:r>
      <w:r>
        <w:rPr>
          <w:rFonts w:hint="eastAsia"/>
          <w:color w:val="auto"/>
          <w:szCs w:val="22"/>
          <w:u w:val="none"/>
          <w:lang w:val="en-US" w:eastAsia="zh-CN"/>
        </w:rPr>
        <w:t>9</w:t>
      </w:r>
      <w:r>
        <w:rPr>
          <w:rFonts w:hint="eastAsia"/>
          <w:color w:val="auto"/>
          <w:szCs w:val="22"/>
          <w:u w:val="none"/>
        </w:rPr>
        <w:t>年2</w:t>
      </w:r>
      <w:r>
        <w:rPr>
          <w:rFonts w:hint="eastAsia"/>
          <w:color w:val="auto"/>
          <w:szCs w:val="22"/>
          <w:u w:val="none"/>
          <w:lang w:val="en-US" w:eastAsia="zh-CN"/>
        </w:rPr>
        <w:t>0</w:t>
      </w:r>
      <w:r>
        <w:rPr>
          <w:rFonts w:hint="eastAsia"/>
          <w:color w:val="auto"/>
          <w:szCs w:val="22"/>
          <w:u w:val="none"/>
        </w:rPr>
        <w:t>年气象观测资料统计，该地区主要气象特征如下：</w:t>
      </w:r>
    </w:p>
    <w:p>
      <w:pPr>
        <w:wordWrap w:val="0"/>
        <w:ind w:firstLine="480"/>
        <w:jc w:val="both"/>
        <w:rPr>
          <w:rFonts w:hint="eastAsia"/>
          <w:color w:val="auto"/>
          <w:szCs w:val="22"/>
          <w:u w:val="none"/>
        </w:rPr>
      </w:pPr>
      <w:r>
        <w:rPr>
          <w:rFonts w:hint="eastAsia"/>
          <w:color w:val="auto"/>
          <w:szCs w:val="22"/>
          <w:u w:val="none"/>
        </w:rPr>
        <w:t>年平均气温         16.</w:t>
      </w:r>
      <w:r>
        <w:rPr>
          <w:rFonts w:hint="eastAsia"/>
          <w:color w:val="auto"/>
          <w:szCs w:val="22"/>
          <w:u w:val="none"/>
          <w:lang w:val="en-US" w:eastAsia="zh-CN"/>
        </w:rPr>
        <w:t>8</w:t>
      </w:r>
      <w:r>
        <w:rPr>
          <w:rFonts w:hint="eastAsia"/>
          <w:color w:val="auto"/>
          <w:szCs w:val="22"/>
          <w:u w:val="none"/>
        </w:rPr>
        <w:t>℃</w:t>
      </w:r>
    </w:p>
    <w:p>
      <w:pPr>
        <w:wordWrap w:val="0"/>
        <w:ind w:firstLine="480"/>
        <w:jc w:val="both"/>
        <w:rPr>
          <w:rFonts w:hint="eastAsia"/>
          <w:color w:val="auto"/>
          <w:szCs w:val="22"/>
          <w:u w:val="none"/>
        </w:rPr>
      </w:pPr>
      <w:r>
        <w:rPr>
          <w:rFonts w:hint="eastAsia"/>
          <w:color w:val="auto"/>
          <w:szCs w:val="22"/>
          <w:u w:val="none"/>
        </w:rPr>
        <w:t xml:space="preserve">极端最高气温       </w:t>
      </w:r>
      <w:r>
        <w:rPr>
          <w:rFonts w:hint="eastAsia"/>
          <w:color w:val="auto"/>
          <w:szCs w:val="22"/>
          <w:u w:val="none"/>
          <w:lang w:val="en-US" w:eastAsia="zh-CN"/>
        </w:rPr>
        <w:t>38.9</w:t>
      </w:r>
      <w:r>
        <w:rPr>
          <w:rFonts w:hint="eastAsia"/>
          <w:color w:val="auto"/>
          <w:szCs w:val="22"/>
          <w:u w:val="none"/>
        </w:rPr>
        <w:t>℃</w:t>
      </w:r>
    </w:p>
    <w:p>
      <w:pPr>
        <w:wordWrap w:val="0"/>
        <w:ind w:firstLine="480"/>
        <w:jc w:val="both"/>
        <w:rPr>
          <w:rFonts w:hint="eastAsia"/>
          <w:color w:val="auto"/>
          <w:szCs w:val="22"/>
          <w:u w:val="none"/>
        </w:rPr>
      </w:pPr>
      <w:r>
        <w:rPr>
          <w:rFonts w:hint="eastAsia"/>
          <w:color w:val="auto"/>
          <w:szCs w:val="22"/>
          <w:u w:val="none"/>
        </w:rPr>
        <w:t>极端最低气温       -</w:t>
      </w:r>
      <w:r>
        <w:rPr>
          <w:rFonts w:hint="eastAsia"/>
          <w:color w:val="auto"/>
          <w:szCs w:val="22"/>
          <w:u w:val="none"/>
          <w:lang w:val="en-US" w:eastAsia="zh-CN"/>
        </w:rPr>
        <w:t>3.2</w:t>
      </w:r>
      <w:r>
        <w:rPr>
          <w:rFonts w:hint="eastAsia"/>
          <w:color w:val="auto"/>
          <w:szCs w:val="22"/>
          <w:u w:val="none"/>
        </w:rPr>
        <w:t>℃</w:t>
      </w:r>
    </w:p>
    <w:p>
      <w:pPr>
        <w:wordWrap w:val="0"/>
        <w:ind w:firstLine="480"/>
        <w:jc w:val="both"/>
        <w:rPr>
          <w:rFonts w:hint="eastAsia"/>
          <w:color w:val="auto"/>
          <w:szCs w:val="22"/>
          <w:u w:val="none"/>
        </w:rPr>
      </w:pPr>
      <w:r>
        <w:rPr>
          <w:rFonts w:hint="eastAsia"/>
          <w:color w:val="auto"/>
          <w:szCs w:val="22"/>
          <w:u w:val="none"/>
        </w:rPr>
        <w:t>年平均降水量       13</w:t>
      </w:r>
      <w:r>
        <w:rPr>
          <w:rFonts w:hint="eastAsia"/>
          <w:color w:val="auto"/>
          <w:szCs w:val="22"/>
          <w:u w:val="none"/>
          <w:lang w:val="en-US" w:eastAsia="zh-CN"/>
        </w:rPr>
        <w:t>3</w:t>
      </w:r>
      <w:r>
        <w:rPr>
          <w:rFonts w:hint="eastAsia"/>
          <w:color w:val="auto"/>
          <w:szCs w:val="22"/>
          <w:u w:val="none"/>
        </w:rPr>
        <w:t>7.</w:t>
      </w:r>
      <w:r>
        <w:rPr>
          <w:rFonts w:hint="eastAsia"/>
          <w:color w:val="auto"/>
          <w:szCs w:val="22"/>
          <w:u w:val="none"/>
          <w:lang w:val="en-US" w:eastAsia="zh-CN"/>
        </w:rPr>
        <w:t>9</w:t>
      </w:r>
      <w:r>
        <w:rPr>
          <w:rFonts w:hint="eastAsia"/>
          <w:color w:val="auto"/>
          <w:szCs w:val="22"/>
          <w:u w:val="none"/>
        </w:rPr>
        <w:t>mm</w:t>
      </w:r>
    </w:p>
    <w:p>
      <w:pPr>
        <w:wordWrap w:val="0"/>
        <w:ind w:firstLine="480"/>
        <w:jc w:val="both"/>
        <w:rPr>
          <w:rFonts w:hint="eastAsia"/>
          <w:color w:val="auto"/>
          <w:szCs w:val="22"/>
          <w:u w:val="none"/>
        </w:rPr>
      </w:pPr>
      <w:r>
        <w:rPr>
          <w:rFonts w:hint="eastAsia"/>
          <w:color w:val="auto"/>
          <w:szCs w:val="22"/>
          <w:u w:val="none"/>
        </w:rPr>
        <w:t>年平均蒸发量       1102.0mm</w:t>
      </w:r>
    </w:p>
    <w:p>
      <w:pPr>
        <w:wordWrap w:val="0"/>
        <w:ind w:firstLine="480"/>
        <w:jc w:val="both"/>
        <w:rPr>
          <w:rFonts w:hint="eastAsia"/>
          <w:color w:val="auto"/>
          <w:szCs w:val="22"/>
          <w:u w:val="none"/>
        </w:rPr>
      </w:pPr>
      <w:r>
        <w:rPr>
          <w:rFonts w:hint="eastAsia"/>
          <w:color w:val="auto"/>
          <w:szCs w:val="22"/>
          <w:u w:val="none"/>
        </w:rPr>
        <w:t>月最大降雨量       642.8mm</w:t>
      </w:r>
    </w:p>
    <w:p>
      <w:pPr>
        <w:wordWrap w:val="0"/>
        <w:ind w:firstLine="480"/>
        <w:jc w:val="both"/>
        <w:rPr>
          <w:rFonts w:hint="eastAsia"/>
          <w:color w:val="auto"/>
          <w:szCs w:val="22"/>
          <w:u w:val="none"/>
        </w:rPr>
      </w:pPr>
      <w:r>
        <w:rPr>
          <w:rFonts w:hint="eastAsia"/>
          <w:color w:val="auto"/>
          <w:szCs w:val="22"/>
          <w:u w:val="none"/>
        </w:rPr>
        <w:t>最大日降雨量       340.1mm</w:t>
      </w:r>
    </w:p>
    <w:p>
      <w:pPr>
        <w:wordWrap w:val="0"/>
        <w:ind w:firstLine="480"/>
        <w:jc w:val="both"/>
        <w:rPr>
          <w:rFonts w:hint="eastAsia"/>
          <w:color w:val="auto"/>
          <w:szCs w:val="22"/>
          <w:u w:val="none"/>
        </w:rPr>
      </w:pPr>
      <w:r>
        <w:rPr>
          <w:rFonts w:hint="eastAsia"/>
          <w:color w:val="auto"/>
          <w:szCs w:val="22"/>
          <w:u w:val="none"/>
        </w:rPr>
        <w:t>小时最大降雨量     88.0mm</w:t>
      </w:r>
    </w:p>
    <w:p>
      <w:pPr>
        <w:wordWrap w:val="0"/>
        <w:ind w:firstLine="480"/>
        <w:jc w:val="both"/>
        <w:rPr>
          <w:rFonts w:hint="eastAsia"/>
          <w:color w:val="auto"/>
          <w:szCs w:val="22"/>
          <w:u w:val="none"/>
        </w:rPr>
      </w:pPr>
      <w:r>
        <w:rPr>
          <w:rFonts w:hint="eastAsia"/>
          <w:color w:val="auto"/>
          <w:szCs w:val="22"/>
          <w:u w:val="none"/>
        </w:rPr>
        <w:t>多年平均降雨日     171.7天</w:t>
      </w:r>
    </w:p>
    <w:p>
      <w:pPr>
        <w:wordWrap w:val="0"/>
        <w:ind w:firstLine="480"/>
        <w:jc w:val="both"/>
        <w:rPr>
          <w:rFonts w:hint="eastAsia"/>
          <w:color w:val="auto"/>
          <w:szCs w:val="22"/>
          <w:u w:val="none"/>
        </w:rPr>
      </w:pPr>
      <w:r>
        <w:rPr>
          <w:rFonts w:hint="eastAsia"/>
          <w:color w:val="auto"/>
          <w:szCs w:val="22"/>
          <w:u w:val="none"/>
        </w:rPr>
        <w:t>年平均相对湿度     78</w:t>
      </w:r>
      <w:r>
        <w:rPr>
          <w:rFonts w:hint="eastAsia"/>
          <w:color w:val="auto"/>
          <w:szCs w:val="22"/>
          <w:u w:val="none"/>
          <w:lang w:val="en-US" w:eastAsia="zh-CN"/>
        </w:rPr>
        <w:t>.3</w:t>
      </w:r>
      <w:r>
        <w:rPr>
          <w:rFonts w:hint="eastAsia"/>
          <w:color w:val="auto"/>
          <w:szCs w:val="22"/>
          <w:u w:val="none"/>
        </w:rPr>
        <w:t>%</w:t>
      </w:r>
    </w:p>
    <w:p>
      <w:pPr>
        <w:wordWrap w:val="0"/>
        <w:ind w:firstLine="480"/>
        <w:jc w:val="both"/>
        <w:rPr>
          <w:rFonts w:hint="eastAsia"/>
          <w:color w:val="auto"/>
          <w:szCs w:val="22"/>
          <w:u w:val="none"/>
        </w:rPr>
      </w:pPr>
      <w:r>
        <w:rPr>
          <w:rFonts w:hint="eastAsia"/>
          <w:color w:val="auto"/>
          <w:szCs w:val="22"/>
          <w:u w:val="none"/>
        </w:rPr>
        <w:t>年平均日照         1237.6小时</w:t>
      </w:r>
    </w:p>
    <w:p>
      <w:pPr>
        <w:wordWrap w:val="0"/>
        <w:ind w:firstLine="480"/>
        <w:jc w:val="both"/>
        <w:rPr>
          <w:rFonts w:hint="eastAsia"/>
          <w:color w:val="auto"/>
          <w:szCs w:val="22"/>
          <w:u w:val="none"/>
        </w:rPr>
      </w:pPr>
      <w:r>
        <w:rPr>
          <w:rFonts w:hint="eastAsia"/>
          <w:color w:val="auto"/>
          <w:szCs w:val="22"/>
          <w:u w:val="none"/>
        </w:rPr>
        <w:t>年均无霜期         286天</w:t>
      </w:r>
    </w:p>
    <w:p>
      <w:pPr>
        <w:wordWrap w:val="0"/>
        <w:ind w:firstLine="480"/>
        <w:jc w:val="both"/>
        <w:rPr>
          <w:rFonts w:hint="eastAsia"/>
          <w:color w:val="auto"/>
          <w:szCs w:val="22"/>
          <w:u w:val="none"/>
        </w:rPr>
      </w:pPr>
      <w:r>
        <w:rPr>
          <w:rFonts w:hint="eastAsia"/>
          <w:color w:val="auto"/>
          <w:szCs w:val="22"/>
          <w:u w:val="none"/>
        </w:rPr>
        <w:t>年平均风速         0.9m/s</w:t>
      </w:r>
    </w:p>
    <w:p>
      <w:pPr>
        <w:wordWrap w:val="0"/>
        <w:ind w:firstLine="480"/>
        <w:jc w:val="both"/>
        <w:rPr>
          <w:rFonts w:hint="eastAsia"/>
          <w:color w:val="auto"/>
          <w:szCs w:val="22"/>
          <w:u w:val="none"/>
        </w:rPr>
      </w:pPr>
      <w:r>
        <w:rPr>
          <w:rFonts w:hint="eastAsia"/>
          <w:color w:val="auto"/>
          <w:szCs w:val="22"/>
          <w:u w:val="none"/>
          <w:lang w:eastAsia="zh-CN"/>
        </w:rPr>
        <w:t>极</w:t>
      </w:r>
      <w:r>
        <w:rPr>
          <w:rFonts w:hint="eastAsia"/>
          <w:color w:val="auto"/>
          <w:szCs w:val="22"/>
          <w:u w:val="none"/>
        </w:rPr>
        <w:t xml:space="preserve">大风速           </w:t>
      </w:r>
      <w:r>
        <w:rPr>
          <w:rFonts w:hint="eastAsia"/>
          <w:color w:val="auto"/>
          <w:szCs w:val="22"/>
          <w:u w:val="none"/>
          <w:lang w:val="en-US" w:eastAsia="zh-CN"/>
        </w:rPr>
        <w:t>16</w:t>
      </w:r>
      <w:r>
        <w:rPr>
          <w:rFonts w:hint="eastAsia"/>
          <w:color w:val="auto"/>
          <w:szCs w:val="22"/>
          <w:u w:val="none"/>
        </w:rPr>
        <w:t>.</w:t>
      </w:r>
      <w:r>
        <w:rPr>
          <w:rFonts w:hint="eastAsia"/>
          <w:color w:val="auto"/>
          <w:szCs w:val="22"/>
          <w:u w:val="none"/>
          <w:lang w:val="en-US" w:eastAsia="zh-CN"/>
        </w:rPr>
        <w:t>4</w:t>
      </w:r>
      <w:r>
        <w:rPr>
          <w:rFonts w:hint="eastAsia"/>
          <w:color w:val="auto"/>
          <w:szCs w:val="22"/>
          <w:u w:val="none"/>
        </w:rPr>
        <w:t>m/s</w:t>
      </w:r>
    </w:p>
    <w:p>
      <w:pPr>
        <w:wordWrap w:val="0"/>
        <w:ind w:firstLine="480"/>
        <w:jc w:val="both"/>
        <w:rPr>
          <w:color w:val="auto"/>
          <w:szCs w:val="22"/>
          <w:u w:val="none"/>
        </w:rPr>
      </w:pPr>
      <w:r>
        <w:rPr>
          <w:rFonts w:hint="eastAsia"/>
          <w:color w:val="auto"/>
          <w:szCs w:val="22"/>
          <w:u w:val="none"/>
        </w:rPr>
        <w:t>常年主导风向       WSW，频率</w:t>
      </w:r>
      <w:r>
        <w:rPr>
          <w:rFonts w:hint="eastAsia"/>
          <w:color w:val="auto"/>
          <w:szCs w:val="22"/>
          <w:u w:val="none"/>
          <w:lang w:val="en-US" w:eastAsia="zh-CN"/>
        </w:rPr>
        <w:t>16.8</w:t>
      </w:r>
      <w:r>
        <w:rPr>
          <w:rFonts w:hint="eastAsia"/>
          <w:color w:val="auto"/>
          <w:szCs w:val="22"/>
          <w:u w:val="none"/>
        </w:rPr>
        <w:t>%</w:t>
      </w:r>
    </w:p>
    <w:p>
      <w:pPr>
        <w:pStyle w:val="6"/>
        <w:bidi w:val="0"/>
        <w:rPr>
          <w:rFonts w:hint="eastAsia"/>
        </w:rPr>
      </w:pPr>
      <w:r>
        <w:rPr>
          <w:rFonts w:hint="eastAsia"/>
        </w:rPr>
        <w:t>3.1.</w:t>
      </w:r>
      <w:r>
        <w:t>4</w:t>
      </w:r>
      <w:r>
        <w:rPr>
          <w:rFonts w:hint="eastAsia"/>
        </w:rPr>
        <w:t>水文</w:t>
      </w:r>
      <w:bookmarkEnd w:id="212"/>
      <w:bookmarkEnd w:id="213"/>
      <w:bookmarkEnd w:id="214"/>
      <w:bookmarkEnd w:id="215"/>
    </w:p>
    <w:p>
      <w:pPr>
        <w:wordWrap w:val="0"/>
        <w:ind w:firstLine="480"/>
        <w:rPr>
          <w:rFonts w:hint="eastAsia"/>
          <w:color w:val="auto"/>
          <w:szCs w:val="22"/>
          <w:u w:val="single"/>
          <w:lang w:eastAsia="zh-CN"/>
        </w:rPr>
      </w:pPr>
      <w:bookmarkStart w:id="216" w:name="_Toc489350188"/>
      <w:bookmarkStart w:id="217" w:name="_Toc489349369"/>
      <w:bookmarkStart w:id="218" w:name="_Toc489350289"/>
      <w:bookmarkStart w:id="219" w:name="_Toc489350021"/>
      <w:r>
        <w:rPr>
          <w:rFonts w:hint="eastAsia"/>
          <w:color w:val="auto"/>
          <w:szCs w:val="22"/>
          <w:u w:val="single"/>
        </w:rPr>
        <w:t>评价区域地表水系较发育，地表水主要为猛洞河。</w:t>
      </w:r>
      <w:r>
        <w:rPr>
          <w:rFonts w:hint="eastAsia"/>
          <w:color w:val="auto"/>
          <w:szCs w:val="22"/>
          <w:u w:val="single"/>
          <w:lang w:eastAsia="zh-CN"/>
        </w:rPr>
        <w:t>评价区极少有山冲、山谷型山塘、水库分布。</w:t>
      </w:r>
    </w:p>
    <w:p>
      <w:pPr>
        <w:wordWrap w:val="0"/>
        <w:ind w:firstLine="480"/>
        <w:jc w:val="both"/>
        <w:rPr>
          <w:rFonts w:hint="default" w:eastAsia="宋体"/>
          <w:color w:val="auto"/>
          <w:szCs w:val="22"/>
          <w:u w:val="single"/>
          <w:lang w:val="en-US" w:eastAsia="zh-CN"/>
        </w:rPr>
      </w:pPr>
      <w:r>
        <w:rPr>
          <w:rFonts w:hint="eastAsia"/>
          <w:color w:val="auto"/>
          <w:szCs w:val="22"/>
          <w:u w:val="single"/>
        </w:rPr>
        <w:t>猛洞河为酉水最大的一级支流，自猛洞河产业园东侧流过，向南于永顺县列夕新镇码头处注入酉水。猛洞河全长158公里，经永顺县境112.1公里，流域面积1732.4平方公里，河宽30-80米，多年平均流量28.73秒立方米，落差98米。</w:t>
      </w:r>
      <w:r>
        <w:rPr>
          <w:rFonts w:hint="eastAsia"/>
          <w:color w:val="auto"/>
          <w:szCs w:val="22"/>
          <w:u w:val="single"/>
          <w:lang w:eastAsia="zh-CN"/>
        </w:rPr>
        <w:t>枯水期流速</w:t>
      </w:r>
      <w:r>
        <w:rPr>
          <w:rFonts w:hint="eastAsia"/>
          <w:color w:val="auto"/>
          <w:szCs w:val="22"/>
          <w:u w:val="single"/>
          <w:lang w:val="en-US" w:eastAsia="zh-CN"/>
        </w:rPr>
        <w:t>0.134m/s，流量14.7m</w:t>
      </w:r>
      <w:r>
        <w:rPr>
          <w:rFonts w:hint="eastAsia"/>
          <w:color w:val="auto"/>
          <w:szCs w:val="22"/>
          <w:u w:val="single"/>
          <w:vertAlign w:val="superscript"/>
          <w:lang w:val="en-US" w:eastAsia="zh-CN"/>
        </w:rPr>
        <w:t>3</w:t>
      </w:r>
      <w:r>
        <w:rPr>
          <w:rFonts w:hint="eastAsia"/>
          <w:color w:val="auto"/>
          <w:szCs w:val="22"/>
          <w:u w:val="single"/>
          <w:lang w:val="en-US" w:eastAsia="zh-CN"/>
        </w:rPr>
        <w:t>/s，河宽50m，水深2.2m。</w:t>
      </w:r>
      <w:r>
        <w:rPr>
          <w:rFonts w:hint="eastAsia"/>
          <w:u w:val="single"/>
          <w:lang w:val="en-US" w:eastAsia="zh-CN"/>
        </w:rPr>
        <w:t>永顺经济开发区猛洞河产业园污水处理厂尾水经排水管道排入猛洞河，根据现状调查，纳污段主要功能为生活用水，无取水口和饮用水源保护区。排污口不涉及到饮用水源保护区。</w:t>
      </w:r>
    </w:p>
    <w:p>
      <w:pPr>
        <w:wordWrap w:val="0"/>
        <w:ind w:firstLine="480"/>
        <w:jc w:val="both"/>
        <w:rPr>
          <w:rFonts w:hint="eastAsia"/>
          <w:color w:val="auto"/>
          <w:szCs w:val="22"/>
          <w:u w:val="none"/>
        </w:rPr>
      </w:pPr>
      <w:r>
        <w:rPr>
          <w:rFonts w:hint="eastAsia"/>
          <w:color w:val="auto"/>
          <w:szCs w:val="22"/>
          <w:u w:val="none"/>
        </w:rPr>
        <w:t>区域地下水类型主要为第四系孔隙潜水、基岩裂隙水及岩溶裂隙、孔隙水三类。孔隙潜水主要赋存于丘陵地带的地势低洼谷地，靠大气降水补给，随季节变化明显，且地表水与地下水呈互补关系，以下降泉形式排泄，水量较丰富；基岩裂隙水：主要赋存于基岩裂隙中，水量较小，水位受大气降水和地形起伏影响变化较大；岩溶裂隙、孔隙水：主要赋存于土层、岩层裂隙，或可溶性岩层的溶蚀空隙中，与地表水联系密切和具有较大的动态变化幅度。</w:t>
      </w:r>
    </w:p>
    <w:p>
      <w:pPr>
        <w:pStyle w:val="6"/>
        <w:bidi w:val="0"/>
        <w:rPr>
          <w:rFonts w:hint="eastAsia"/>
        </w:rPr>
      </w:pPr>
      <w:r>
        <w:rPr>
          <w:rFonts w:hint="eastAsia"/>
        </w:rPr>
        <w:t>3.1.5自然资源</w:t>
      </w:r>
      <w:bookmarkEnd w:id="216"/>
      <w:bookmarkEnd w:id="217"/>
      <w:bookmarkEnd w:id="218"/>
      <w:bookmarkEnd w:id="219"/>
    </w:p>
    <w:p>
      <w:pPr>
        <w:wordWrap w:val="0"/>
        <w:ind w:firstLine="480"/>
        <w:jc w:val="both"/>
        <w:rPr>
          <w:rFonts w:hint="eastAsia"/>
          <w:color w:val="auto"/>
          <w:szCs w:val="22"/>
          <w:u w:val="none"/>
        </w:rPr>
      </w:pPr>
      <w:bookmarkStart w:id="220" w:name="_Toc489349372"/>
      <w:bookmarkStart w:id="221" w:name="_Toc489350191"/>
      <w:r>
        <w:rPr>
          <w:rFonts w:hint="eastAsia"/>
          <w:color w:val="auto"/>
          <w:szCs w:val="22"/>
          <w:u w:val="none"/>
        </w:rPr>
        <w:t>评价区以山地为主，土层通常较薄，植被不甚发育，类型较单一。</w:t>
      </w:r>
      <w:r>
        <w:rPr>
          <w:rFonts w:hint="eastAsia"/>
          <w:color w:val="auto"/>
          <w:szCs w:val="22"/>
          <w:u w:val="none"/>
          <w:lang w:eastAsia="zh-CN"/>
        </w:rPr>
        <w:t>项目区域内以</w:t>
      </w:r>
      <w:r>
        <w:rPr>
          <w:rFonts w:hint="eastAsia"/>
          <w:color w:val="auto"/>
          <w:szCs w:val="22"/>
          <w:u w:val="none"/>
        </w:rPr>
        <w:t>马尾松林</w:t>
      </w:r>
      <w:r>
        <w:rPr>
          <w:rFonts w:hint="eastAsia"/>
          <w:color w:val="auto"/>
          <w:szCs w:val="22"/>
          <w:u w:val="none"/>
          <w:lang w:eastAsia="zh-CN"/>
        </w:rPr>
        <w:t>为主，</w:t>
      </w:r>
      <w:r>
        <w:rPr>
          <w:rFonts w:hint="eastAsia"/>
          <w:color w:val="auto"/>
          <w:szCs w:val="22"/>
          <w:u w:val="none"/>
        </w:rPr>
        <w:t>兼有</w:t>
      </w:r>
      <w:r>
        <w:rPr>
          <w:rFonts w:hint="eastAsia"/>
          <w:color w:val="auto"/>
          <w:szCs w:val="22"/>
          <w:u w:val="none"/>
          <w:lang w:eastAsia="zh-CN"/>
        </w:rPr>
        <w:t>部分</w:t>
      </w:r>
      <w:r>
        <w:rPr>
          <w:rFonts w:hint="eastAsia"/>
          <w:color w:val="auto"/>
          <w:szCs w:val="22"/>
          <w:u w:val="none"/>
        </w:rPr>
        <w:t>油茶林、杂木灌丛和桔园与农作物植被，林木多低矮、稀疏，山地植被覆盖多在60%左右。</w:t>
      </w:r>
    </w:p>
    <w:p>
      <w:pPr>
        <w:wordWrap w:val="0"/>
        <w:ind w:firstLine="480"/>
        <w:jc w:val="both"/>
        <w:rPr>
          <w:rFonts w:hint="eastAsia"/>
          <w:color w:val="auto"/>
          <w:szCs w:val="22"/>
          <w:u w:val="none"/>
        </w:rPr>
      </w:pPr>
      <w:r>
        <w:rPr>
          <w:rFonts w:hint="eastAsia"/>
          <w:color w:val="auto"/>
          <w:szCs w:val="22"/>
          <w:u w:val="none"/>
        </w:rPr>
        <w:t>该区土壤类型主要有水稻土、菜园土、黄红壤、石灰类土。耕作土熟化度不高，多肥力较低；菜园土多分布于村落房前屋后，耕作层较为深厚，有机质含量高，以生产蔬菜为主，利用率较高；黄红壤多分布于丘陵坡脚，土体呈微酸反映，宜于发展粮食、麻类及经济林、用材林，现多利用发展桔园；石灰土类发育于石灰岩，在评价区分布地广泛，母岩裸露，土层较薄，土体中钙镁含量高，有明显的石灰反映，该土类宜于营造喜钙树种，如柏木、榆树、刺槐、枣树等，旱土亦宜发展玉米、红薯、豆类、麦类等粮食作物。</w:t>
      </w:r>
    </w:p>
    <w:p>
      <w:pPr>
        <w:pStyle w:val="76"/>
        <w:spacing w:before="163" w:after="163"/>
        <w:rPr>
          <w:rFonts w:hint="eastAsia"/>
          <w:color w:val="auto"/>
          <w:kern w:val="0"/>
          <w:u w:val="none"/>
        </w:rPr>
      </w:pPr>
      <w:bookmarkStart w:id="222" w:name="_Toc23647"/>
      <w:r>
        <w:rPr>
          <w:rFonts w:hint="eastAsia"/>
          <w:color w:val="auto"/>
          <w:kern w:val="0"/>
          <w:u w:val="none"/>
        </w:rPr>
        <w:t>3.2区域相关规划</w:t>
      </w:r>
      <w:bookmarkEnd w:id="220"/>
      <w:bookmarkEnd w:id="221"/>
      <w:bookmarkEnd w:id="222"/>
    </w:p>
    <w:p>
      <w:pPr>
        <w:pStyle w:val="6"/>
        <w:bidi w:val="0"/>
        <w:rPr>
          <w:rFonts w:hint="eastAsia"/>
        </w:rPr>
      </w:pPr>
      <w:bookmarkStart w:id="223" w:name="_Toc489350192"/>
      <w:bookmarkStart w:id="224" w:name="_Toc489349373"/>
      <w:bookmarkStart w:id="225" w:name="_Toc489350293"/>
      <w:bookmarkStart w:id="226" w:name="_Toc489350024"/>
      <w:r>
        <w:rPr>
          <w:rFonts w:hint="eastAsia"/>
        </w:rPr>
        <w:t>3.2.1</w:t>
      </w:r>
      <w:bookmarkEnd w:id="223"/>
      <w:bookmarkEnd w:id="224"/>
      <w:bookmarkEnd w:id="225"/>
      <w:bookmarkEnd w:id="226"/>
      <w:r>
        <w:rPr>
          <w:rFonts w:hint="eastAsia"/>
        </w:rPr>
        <w:t xml:space="preserve"> 永顺县城市总体规划概况</w:t>
      </w:r>
    </w:p>
    <w:p>
      <w:pPr>
        <w:pageBreakBefore w:val="0"/>
        <w:widowControl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color w:val="auto"/>
          <w:szCs w:val="28"/>
          <w:u w:val="none"/>
        </w:rPr>
      </w:pPr>
      <w:r>
        <w:rPr>
          <w:rFonts w:hint="eastAsia" w:ascii="宋体" w:hAnsi="宋体" w:eastAsia="宋体" w:cs="宋体"/>
          <w:color w:val="auto"/>
          <w:szCs w:val="28"/>
          <w:u w:val="none"/>
        </w:rPr>
        <w:t>根据《永顺县城市总体规划（2010-2020）》，主要规划内容如下：</w:t>
      </w:r>
    </w:p>
    <w:p>
      <w:pPr>
        <w:bidi w:val="0"/>
        <w:jc w:val="both"/>
        <w:rPr>
          <w:rFonts w:hint="eastAsia" w:ascii="宋体" w:hAnsi="宋体" w:eastAsia="宋体" w:cs="宋体"/>
          <w:color w:val="auto"/>
          <w:u w:val="none"/>
        </w:rPr>
      </w:pPr>
      <w:r>
        <w:rPr>
          <w:rFonts w:hint="eastAsia" w:ascii="宋体" w:hAnsi="宋体" w:eastAsia="宋体" w:cs="宋体"/>
          <w:b/>
          <w:color w:val="auto"/>
          <w:u w:val="none"/>
        </w:rPr>
        <w:t>规划区范围：</w:t>
      </w:r>
      <w:r>
        <w:rPr>
          <w:rFonts w:hint="eastAsia" w:ascii="宋体" w:hAnsi="宋体" w:eastAsia="宋体" w:cs="宋体"/>
          <w:color w:val="auto"/>
          <w:u w:val="none"/>
        </w:rPr>
        <w:t>本规划确定的规划区范围为永顺县的行政管辖范围,规划区东至灵溪镇上河、西至灵溪镇儒家、北至灵溪镇上虎落、南至大坝乡统坪，总面积</w:t>
      </w:r>
      <w:r>
        <w:rPr>
          <w:rFonts w:hint="default" w:ascii="Times New Roman" w:hAnsi="Times New Roman" w:eastAsia="宋体" w:cs="Times New Roman"/>
          <w:color w:val="auto"/>
          <w:u w:val="none"/>
        </w:rPr>
        <w:t>约238</w:t>
      </w:r>
      <w:r>
        <w:rPr>
          <w:rFonts w:hint="eastAsia" w:ascii="宋体" w:hAnsi="宋体" w:eastAsia="宋体" w:cs="宋体"/>
          <w:color w:val="auto"/>
          <w:u w:val="none"/>
        </w:rPr>
        <w:t>平方公里。具体包括灵溪镇镇域范围，吊井乡的联合村，大坝乡的溶里村、埃溪村、那岔村、桶坪村、利布村，勺哈乡的勺哈村、浦口村。</w:t>
      </w:r>
    </w:p>
    <w:p>
      <w:pPr>
        <w:pStyle w:val="2"/>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u w:val="none"/>
        </w:rPr>
      </w:pPr>
      <w:r>
        <w:rPr>
          <w:rFonts w:hint="eastAsia" w:ascii="宋体" w:hAnsi="宋体" w:eastAsia="宋体" w:cs="宋体"/>
          <w:color w:val="auto"/>
          <w:u w:val="none"/>
        </w:rPr>
        <w:t>城市性质：永顺县县城是以文化旅游业为主导的生态宜居山城。</w:t>
      </w:r>
    </w:p>
    <w:p>
      <w:pPr>
        <w:pStyle w:val="2"/>
        <w:pageBreakBefore w:val="0"/>
        <w:widowControl w:val="0"/>
        <w:kinsoku/>
        <w:wordWrap/>
        <w:overflowPunct/>
        <w:topLinePunct w:val="0"/>
        <w:autoSpaceDE/>
        <w:autoSpaceDN/>
        <w:bidi w:val="0"/>
        <w:adjustRightInd w:val="0"/>
        <w:snapToGrid w:val="0"/>
        <w:spacing w:after="0" w:line="360" w:lineRule="auto"/>
        <w:ind w:firstLine="482" w:firstLineChars="200"/>
        <w:jc w:val="both"/>
        <w:textAlignment w:val="auto"/>
        <w:rPr>
          <w:rFonts w:hint="default" w:ascii="Times New Roman" w:hAnsi="Times New Roman" w:eastAsia="宋体" w:cs="Times New Roman"/>
          <w:color w:val="auto"/>
          <w:u w:val="none"/>
        </w:rPr>
      </w:pPr>
      <w:r>
        <w:rPr>
          <w:rFonts w:hint="default" w:ascii="Times New Roman" w:hAnsi="Times New Roman" w:eastAsia="宋体" w:cs="Times New Roman"/>
          <w:b/>
          <w:color w:val="auto"/>
          <w:u w:val="none"/>
        </w:rPr>
        <w:t>城市规模：</w:t>
      </w:r>
      <w:r>
        <w:rPr>
          <w:rFonts w:hint="default" w:ascii="Times New Roman" w:hAnsi="Times New Roman" w:eastAsia="宋体" w:cs="Times New Roman"/>
          <w:color w:val="auto"/>
          <w:u w:val="none"/>
        </w:rPr>
        <w:t>远期（2016-2020）：人口规模16万人、用地规模17.60km</w:t>
      </w:r>
      <w:r>
        <w:rPr>
          <w:rFonts w:hint="default" w:ascii="Times New Roman" w:hAnsi="Times New Roman" w:eastAsia="宋体" w:cs="Times New Roman"/>
          <w:color w:val="auto"/>
          <w:u w:val="none"/>
          <w:vertAlign w:val="superscript"/>
        </w:rPr>
        <w:t>2</w:t>
      </w:r>
      <w:r>
        <w:rPr>
          <w:rFonts w:hint="default" w:ascii="Times New Roman" w:hAnsi="Times New Roman" w:eastAsia="宋体" w:cs="Times New Roman"/>
          <w:color w:val="auto"/>
          <w:u w:val="none"/>
        </w:rPr>
        <w:t>。</w:t>
      </w:r>
    </w:p>
    <w:p>
      <w:pPr>
        <w:pStyle w:val="2"/>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color w:val="auto"/>
          <w:u w:val="none"/>
        </w:rPr>
      </w:pPr>
      <w:r>
        <w:rPr>
          <w:rFonts w:hint="default" w:ascii="Times New Roman" w:hAnsi="Times New Roman" w:eastAsia="宋体" w:cs="Times New Roman"/>
          <w:color w:val="auto"/>
          <w:u w:val="none"/>
        </w:rPr>
        <w:t xml:space="preserve">          远景（2020-2030）：人口规模30万人、用地规模30km</w:t>
      </w:r>
      <w:r>
        <w:rPr>
          <w:rFonts w:hint="default" w:ascii="Times New Roman" w:hAnsi="Times New Roman" w:eastAsia="宋体" w:cs="Times New Roman"/>
          <w:color w:val="auto"/>
          <w:u w:val="none"/>
          <w:vertAlign w:val="superscript"/>
        </w:rPr>
        <w:t>2</w:t>
      </w:r>
      <w:r>
        <w:rPr>
          <w:rFonts w:hint="default" w:ascii="Times New Roman" w:hAnsi="Times New Roman" w:eastAsia="宋体" w:cs="Times New Roman"/>
          <w:color w:val="auto"/>
          <w:u w:val="none"/>
        </w:rPr>
        <w:t>。</w:t>
      </w:r>
    </w:p>
    <w:p>
      <w:pPr>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color w:val="auto"/>
          <w:szCs w:val="28"/>
          <w:u w:val="none"/>
        </w:rPr>
      </w:pPr>
      <w:r>
        <w:rPr>
          <w:rFonts w:hint="eastAsia" w:ascii="宋体" w:hAnsi="宋体" w:eastAsia="宋体" w:cs="宋体"/>
          <w:b/>
          <w:color w:val="auto"/>
          <w:u w:val="none"/>
        </w:rPr>
        <w:t>城市建设发展方向：</w:t>
      </w:r>
      <w:r>
        <w:rPr>
          <w:rFonts w:hint="eastAsia" w:ascii="宋体" w:hAnsi="宋体" w:eastAsia="宋体" w:cs="宋体"/>
          <w:color w:val="auto"/>
          <w:u w:val="none"/>
        </w:rPr>
        <w:t>城市用地的发展方向主要是向西发展，适当南部、向东发展，控制向北部发展。</w:t>
      </w:r>
    </w:p>
    <w:p>
      <w:pPr>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color w:val="auto"/>
          <w:szCs w:val="28"/>
          <w:u w:val="none"/>
        </w:rPr>
      </w:pPr>
      <w:r>
        <w:rPr>
          <w:rFonts w:hint="eastAsia" w:ascii="宋体" w:hAnsi="宋体" w:eastAsia="宋体" w:cs="宋体"/>
          <w:b/>
          <w:bCs/>
          <w:color w:val="auto"/>
          <w:szCs w:val="28"/>
          <w:u w:val="none"/>
        </w:rPr>
        <w:t>空间结构规划：</w:t>
      </w:r>
      <w:r>
        <w:rPr>
          <w:rFonts w:hint="eastAsia" w:ascii="宋体" w:hAnsi="宋体" w:eastAsia="宋体" w:cs="宋体"/>
          <w:color w:val="auto"/>
          <w:szCs w:val="28"/>
          <w:u w:val="none"/>
        </w:rPr>
        <w:t>永顺县县城结构受猛洞河、连洞河分割，城市总体结构呈现出为“两心一带三轴六组团”的集约型组团式布局结构。</w:t>
      </w:r>
    </w:p>
    <w:p>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Cs w:val="28"/>
          <w:u w:val="none"/>
        </w:rPr>
      </w:pPr>
      <w:r>
        <w:rPr>
          <w:rFonts w:hint="eastAsia" w:ascii="宋体" w:hAnsi="宋体" w:eastAsia="宋体" w:cs="宋体"/>
          <w:color w:val="auto"/>
          <w:szCs w:val="28"/>
          <w:u w:val="none"/>
        </w:rPr>
        <w:t>“两心”：老城中心和新城中心；</w:t>
      </w:r>
    </w:p>
    <w:p>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Cs w:val="28"/>
          <w:u w:val="none"/>
        </w:rPr>
      </w:pPr>
      <w:r>
        <w:rPr>
          <w:rFonts w:hint="eastAsia" w:ascii="宋体" w:hAnsi="宋体" w:eastAsia="宋体" w:cs="宋体"/>
          <w:color w:val="auto"/>
          <w:szCs w:val="28"/>
          <w:u w:val="none"/>
        </w:rPr>
        <w:t>“一带”：猛洞河风光带；</w:t>
      </w:r>
    </w:p>
    <w:p>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Cs w:val="28"/>
          <w:u w:val="none"/>
        </w:rPr>
      </w:pPr>
      <w:r>
        <w:rPr>
          <w:rFonts w:hint="eastAsia" w:ascii="宋体" w:hAnsi="宋体" w:eastAsia="宋体" w:cs="宋体"/>
          <w:color w:val="auto"/>
          <w:szCs w:val="28"/>
          <w:u w:val="none"/>
        </w:rPr>
        <w:t>“三轴”：指司城路—永顺大道发展轴、国道209发展轴和湘潭路发展轴；</w:t>
      </w:r>
    </w:p>
    <w:p>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Cs w:val="28"/>
          <w:u w:val="none"/>
        </w:rPr>
      </w:pPr>
      <w:r>
        <w:rPr>
          <w:rFonts w:hint="eastAsia" w:ascii="宋体" w:hAnsi="宋体" w:eastAsia="宋体" w:cs="宋体"/>
          <w:color w:val="auto"/>
          <w:szCs w:val="28"/>
          <w:u w:val="none"/>
        </w:rPr>
        <w:t>“六组团”：指老城组团、新区组团、南区组团、富坪组团、岔那组团和连洞组团。</w:t>
      </w:r>
    </w:p>
    <w:p>
      <w:pPr>
        <w:pageBreakBefore w:val="0"/>
        <w:widowControl w:val="0"/>
        <w:kinsoku/>
        <w:wordWrap/>
        <w:overflowPunct/>
        <w:topLinePunct w:val="0"/>
        <w:autoSpaceDE/>
        <w:autoSpaceDN/>
        <w:bidi w:val="0"/>
        <w:spacing w:line="360" w:lineRule="auto"/>
        <w:ind w:firstLine="482"/>
        <w:jc w:val="both"/>
        <w:textAlignment w:val="auto"/>
        <w:rPr>
          <w:rFonts w:hint="default" w:ascii="Times New Roman" w:hAnsi="Times New Roman" w:eastAsia="宋体" w:cs="Times New Roman"/>
          <w:color w:val="auto"/>
          <w:szCs w:val="28"/>
          <w:u w:val="none"/>
        </w:rPr>
      </w:pPr>
      <w:r>
        <w:rPr>
          <w:rFonts w:hint="default" w:ascii="Times New Roman" w:hAnsi="Times New Roman" w:eastAsia="宋体" w:cs="Times New Roman"/>
          <w:b/>
          <w:bCs/>
          <w:color w:val="auto"/>
          <w:szCs w:val="28"/>
          <w:u w:val="none"/>
        </w:rPr>
        <w:t>工业区规划</w:t>
      </w:r>
      <w:r>
        <w:rPr>
          <w:rFonts w:hint="default" w:ascii="Times New Roman" w:hAnsi="Times New Roman" w:eastAsia="宋体" w:cs="Times New Roman"/>
          <w:color w:val="auto"/>
          <w:szCs w:val="28"/>
          <w:u w:val="none"/>
        </w:rPr>
        <w:t>：工业发展对策为</w:t>
      </w:r>
      <w:r>
        <w:rPr>
          <w:rFonts w:hint="default" w:ascii="Times New Roman" w:hAnsi="Times New Roman" w:eastAsia="宋体" w:cs="Times New Roman"/>
          <w:color w:val="auto"/>
          <w:u w:val="none"/>
        </w:rPr>
        <w:t>冶金工业向产品的下游延伸进行深度开发加工，提高科技含量，增加附加值；适度发展汞矿、钒矿、铅锌矿、石煤等矿产品的综合利用，同时提高精加工程度，最大限度减少废弃物的产生；加大利用高新技术改造棉织（毛纺、编织印染等）、造纸、食品、印刷、机械等的力度，使其向环保、旅游产品方向开发，尤其食品行业要向绿色食品、肉食品加工方向发展。工业布局将工业用地逐步向岔那工业园集中，使其更好地带动周围地区的经济发展，更好地发挥其组团的工业凝聚辐射作用。岔</w:t>
      </w:r>
      <w:r>
        <w:rPr>
          <w:rFonts w:hint="default" w:ascii="Times New Roman" w:hAnsi="Times New Roman" w:eastAsia="宋体" w:cs="Times New Roman"/>
          <w:color w:val="auto"/>
          <w:u w:val="none"/>
          <w:lang w:eastAsia="zh-CN"/>
        </w:rPr>
        <w:t>那</w:t>
      </w:r>
      <w:r>
        <w:rPr>
          <w:rFonts w:hint="default" w:ascii="Times New Roman" w:hAnsi="Times New Roman" w:eastAsia="宋体" w:cs="Times New Roman"/>
          <w:color w:val="auto"/>
          <w:u w:val="none"/>
        </w:rPr>
        <w:t>工业区是一类工业用地。重点发展绿色能源、生物医药和传统制造业，应注重生态环境的建设，严禁发展污染企业。规划工业用地总面积481.56公顷，占总建设用地总面积的16.05%。</w:t>
      </w:r>
    </w:p>
    <w:p>
      <w:pPr>
        <w:pStyle w:val="2"/>
        <w:pageBreakBefore w:val="0"/>
        <w:widowControl w:val="0"/>
        <w:kinsoku/>
        <w:wordWrap/>
        <w:overflowPunct/>
        <w:topLinePunct w:val="0"/>
        <w:autoSpaceDE/>
        <w:autoSpaceDN/>
        <w:bidi w:val="0"/>
        <w:adjustRightInd w:val="0"/>
        <w:snapToGrid w:val="0"/>
        <w:spacing w:after="0" w:line="360" w:lineRule="auto"/>
        <w:ind w:firstLine="482" w:firstLineChars="200"/>
        <w:jc w:val="both"/>
        <w:textAlignment w:val="auto"/>
        <w:rPr>
          <w:rFonts w:hint="eastAsia" w:ascii="宋体" w:hAnsi="宋体" w:eastAsia="宋体" w:cs="宋体"/>
          <w:color w:val="auto"/>
          <w:u w:val="none"/>
        </w:rPr>
      </w:pPr>
      <w:r>
        <w:rPr>
          <w:rFonts w:hint="default" w:ascii="Times New Roman" w:hAnsi="Times New Roman" w:eastAsia="宋体" w:cs="Times New Roman"/>
          <w:b/>
          <w:bCs/>
          <w:color w:val="auto"/>
          <w:szCs w:val="28"/>
          <w:u w:val="none"/>
        </w:rPr>
        <w:t>供水规划</w:t>
      </w:r>
      <w:r>
        <w:rPr>
          <w:rFonts w:hint="default" w:ascii="Times New Roman" w:hAnsi="Times New Roman" w:eastAsia="宋体" w:cs="Times New Roman"/>
          <w:color w:val="auto"/>
          <w:szCs w:val="28"/>
          <w:u w:val="none"/>
        </w:rPr>
        <w:t>：规划到2020</w:t>
      </w:r>
      <w:r>
        <w:rPr>
          <w:rFonts w:hint="default" w:ascii="Times New Roman" w:hAnsi="Times New Roman" w:eastAsia="宋体" w:cs="Times New Roman"/>
          <w:color w:val="auto"/>
          <w:u w:val="none"/>
        </w:rPr>
        <w:t>年用水量为8万m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/d，</w:t>
      </w:r>
      <w:r>
        <w:rPr>
          <w:rFonts w:hint="default" w:ascii="Times New Roman" w:hAnsi="Times New Roman" w:eastAsia="宋体" w:cs="Times New Roman"/>
          <w:color w:val="auto"/>
          <w:szCs w:val="28"/>
          <w:u w:val="none"/>
        </w:rPr>
        <w:t>共规划3个自来水厂：保留老城自来水厂，日供水量为2.5万吨；规划近期建设南区自来水厂，日供水量为6万吨，远期在富坪设自来水厂，日供水量2万吨；</w:t>
      </w:r>
      <w:r>
        <w:rPr>
          <w:rFonts w:hint="default" w:ascii="Times New Roman" w:hAnsi="Times New Roman" w:eastAsia="宋体" w:cs="Times New Roman"/>
          <w:color w:val="auto"/>
          <w:u w:val="none"/>
        </w:rPr>
        <w:t>水厂取水点统一设在马鞍山水电站附近，以保证水质水量稳定。供水在现状管网的基础之上，沿规划道路铺设供水管道，各供水组团之间均通过管道连通，形成环状管网。</w:t>
      </w:r>
    </w:p>
    <w:p>
      <w:pPr>
        <w:pageBreakBefore w:val="0"/>
        <w:widowControl w:val="0"/>
        <w:kinsoku/>
        <w:wordWrap/>
        <w:overflowPunct/>
        <w:topLinePunct w:val="0"/>
        <w:autoSpaceDE/>
        <w:autoSpaceDN/>
        <w:bidi w:val="0"/>
        <w:spacing w:line="360" w:lineRule="auto"/>
        <w:ind w:firstLine="482" w:firstLineChars="200"/>
        <w:jc w:val="both"/>
        <w:textAlignment w:val="auto"/>
        <w:rPr>
          <w:rFonts w:hint="eastAsia" w:ascii="宋体" w:hAnsi="宋体" w:eastAsia="宋体" w:cs="宋体"/>
          <w:color w:val="auto"/>
          <w:szCs w:val="28"/>
          <w:u w:val="none"/>
        </w:rPr>
      </w:pPr>
      <w:r>
        <w:rPr>
          <w:rFonts w:hint="default" w:ascii="Times New Roman" w:hAnsi="Times New Roman" w:eastAsia="宋体" w:cs="Times New Roman"/>
          <w:b/>
          <w:bCs/>
          <w:color w:val="auto"/>
          <w:szCs w:val="28"/>
          <w:u w:val="none"/>
        </w:rPr>
        <w:t>排水规划</w:t>
      </w:r>
      <w:r>
        <w:rPr>
          <w:rFonts w:hint="default" w:ascii="Times New Roman" w:hAnsi="Times New Roman" w:eastAsia="宋体" w:cs="Times New Roman"/>
          <w:color w:val="auto"/>
          <w:szCs w:val="28"/>
          <w:u w:val="none"/>
        </w:rPr>
        <w:t>：规划两座一级污水处理厂，一座选址在灵溪镇宝塔村葫芦堡（岔那污处理厂），占地面积约1.44公顷，规划规模</w:t>
      </w:r>
      <w:r>
        <w:rPr>
          <w:rFonts w:hint="default" w:ascii="Times New Roman" w:hAnsi="Times New Roman" w:eastAsia="宋体" w:cs="Times New Roman"/>
          <w:color w:val="auto"/>
          <w:u w:val="none"/>
        </w:rPr>
        <w:t>4万m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/d（近期和远期各2万m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/d）</w:t>
      </w:r>
      <w:r>
        <w:rPr>
          <w:rFonts w:hint="default" w:ascii="Times New Roman" w:hAnsi="Times New Roman" w:eastAsia="宋体" w:cs="Times New Roman"/>
          <w:color w:val="auto"/>
          <w:szCs w:val="28"/>
          <w:u w:val="none"/>
        </w:rPr>
        <w:t>；一座位于富坪组团东侧（溪州新城污水处理厂），占地面积1.63公顷，规划规模</w:t>
      </w:r>
      <w:r>
        <w:rPr>
          <w:rFonts w:hint="default" w:ascii="Times New Roman" w:hAnsi="Times New Roman" w:eastAsia="宋体" w:cs="Times New Roman"/>
          <w:color w:val="auto"/>
          <w:u w:val="none"/>
        </w:rPr>
        <w:t>5万m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/d（一期2万m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/d、二期3万m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/d）</w:t>
      </w:r>
      <w:r>
        <w:rPr>
          <w:rFonts w:hint="default" w:ascii="Times New Roman" w:hAnsi="Times New Roman" w:eastAsia="宋体" w:cs="Times New Roman"/>
          <w:color w:val="auto"/>
          <w:szCs w:val="28"/>
          <w:u w:val="none"/>
        </w:rPr>
        <w:t>。规划管径从DN400-DN1200，永顺县县城区污水经干管收集后，汇入猛洞河沿岸敷设的截流主管，送至葫芦堡（岔那）污水处理厂，新区和富坪组团污水送至富坪（溪州新城）污水处理厂。</w:t>
      </w:r>
    </w:p>
    <w:p>
      <w:pPr>
        <w:bidi w:val="0"/>
        <w:jc w:val="both"/>
        <w:rPr>
          <w:rFonts w:hint="eastAsia"/>
          <w:color w:val="auto"/>
          <w:szCs w:val="21"/>
          <w:u w:val="none"/>
        </w:rPr>
      </w:pPr>
      <w:r>
        <w:rPr>
          <w:rFonts w:hint="eastAsia"/>
          <w:color w:val="auto"/>
        </w:rPr>
        <w:t>燃气规划：大力发展管道燃气供气方式，管道供气气源近期采用LPG混空气，保留瓶装液化石油气的供气方式，在连洞组团和南区组团之间设一燃气储备站，以方便燃气供应。远期从张家界通过长输管线将天然气引入永顺，改造燃气储备站为天然气门站，作为城市天然气气源。</w:t>
      </w:r>
    </w:p>
    <w:p>
      <w:pPr>
        <w:pStyle w:val="6"/>
        <w:bidi w:val="0"/>
        <w:rPr>
          <w:rFonts w:hint="eastAsia"/>
          <w:lang w:eastAsia="zh-CN"/>
        </w:rPr>
      </w:pPr>
      <w:r>
        <w:rPr>
          <w:rFonts w:hint="eastAsia"/>
          <w:lang w:val="en-US" w:eastAsia="zh-CN"/>
        </w:rPr>
        <w:t>3.2.2</w:t>
      </w:r>
      <w:r>
        <w:rPr>
          <w:rFonts w:hint="eastAsia"/>
          <w:lang w:eastAsia="zh-CN"/>
        </w:rPr>
        <w:t>永顺县经济开发区</w:t>
      </w:r>
    </w:p>
    <w:p>
      <w:pPr>
        <w:wordWrap w:val="0"/>
        <w:ind w:firstLine="480"/>
        <w:jc w:val="both"/>
        <w:rPr>
          <w:rFonts w:hint="eastAsia" w:ascii="宋体" w:hAnsi="宋体" w:eastAsia="宋体" w:cs="宋体"/>
          <w:iCs/>
          <w:color w:val="auto"/>
          <w:szCs w:val="24"/>
          <w:u w:val="none"/>
        </w:rPr>
      </w:pPr>
      <w:r>
        <w:rPr>
          <w:rFonts w:hint="eastAsia" w:ascii="宋体" w:hAnsi="宋体" w:eastAsia="宋体" w:cs="宋体"/>
          <w:iCs/>
          <w:color w:val="auto"/>
          <w:szCs w:val="24"/>
          <w:u w:val="none"/>
          <w:lang w:eastAsia="zh-CN"/>
        </w:rPr>
        <w:t>永顺县经济</w:t>
      </w:r>
      <w:r>
        <w:rPr>
          <w:rFonts w:hint="eastAsia" w:ascii="宋体" w:hAnsi="宋体" w:eastAsia="宋体" w:cs="宋体"/>
          <w:iCs/>
          <w:color w:val="auto"/>
          <w:szCs w:val="24"/>
          <w:u w:val="none"/>
        </w:rPr>
        <w:t>开发区</w:t>
      </w:r>
      <w:r>
        <w:rPr>
          <w:rFonts w:hint="eastAsia" w:ascii="宋体" w:hAnsi="宋体" w:eastAsia="宋体" w:cs="宋体"/>
          <w:iCs/>
          <w:color w:val="auto"/>
          <w:szCs w:val="24"/>
          <w:u w:val="none"/>
          <w:lang w:eastAsia="zh-CN"/>
        </w:rPr>
        <w:t>包括芙蓉镇工业园和猛洞河产业园，芙蓉镇工业园位于</w:t>
      </w:r>
      <w:r>
        <w:rPr>
          <w:rFonts w:hint="eastAsia" w:ascii="宋体" w:hAnsi="宋体" w:eastAsia="宋体" w:cs="宋体"/>
          <w:color w:val="auto"/>
          <w:szCs w:val="24"/>
          <w:u w:val="none"/>
        </w:rPr>
        <w:t>永顺县芙蓉镇</w:t>
      </w:r>
      <w:r>
        <w:rPr>
          <w:rFonts w:hint="eastAsia" w:ascii="宋体" w:hAnsi="宋体" w:eastAsia="宋体" w:cs="宋体"/>
          <w:color w:val="auto"/>
          <w:szCs w:val="24"/>
          <w:u w:val="none"/>
          <w:lang w:eastAsia="zh-CN"/>
        </w:rPr>
        <w:t>，猛洞河产业园位于</w:t>
      </w:r>
      <w:r>
        <w:rPr>
          <w:rFonts w:hint="eastAsia" w:ascii="宋体" w:hAnsi="宋体" w:eastAsia="宋体" w:cs="宋体"/>
          <w:bCs/>
          <w:color w:val="auto"/>
          <w:kern w:val="44"/>
          <w:u w:val="none"/>
        </w:rPr>
        <w:t>永顺县灵溪镇西南侧</w:t>
      </w:r>
      <w:r>
        <w:rPr>
          <w:rFonts w:hint="eastAsia" w:ascii="宋体" w:hAnsi="宋体" w:eastAsia="宋体" w:cs="宋体"/>
          <w:bCs/>
          <w:color w:val="auto"/>
          <w:kern w:val="44"/>
          <w:u w:val="none"/>
          <w:lang w:eastAsia="zh-CN"/>
        </w:rPr>
        <w:t>，</w:t>
      </w:r>
      <w:r>
        <w:rPr>
          <w:rFonts w:hint="eastAsia" w:ascii="宋体" w:hAnsi="宋体" w:eastAsia="宋体" w:cs="宋体"/>
          <w:bCs/>
          <w:color w:val="auto"/>
          <w:kern w:val="44"/>
          <w:u w:val="none"/>
        </w:rPr>
        <w:t>形成</w:t>
      </w:r>
      <w:r>
        <w:rPr>
          <w:rFonts w:hint="eastAsia" w:ascii="宋体" w:hAnsi="宋体" w:eastAsia="宋体" w:cs="宋体"/>
          <w:color w:val="auto"/>
          <w:szCs w:val="24"/>
          <w:u w:val="none"/>
        </w:rPr>
        <w:t>“一区两园”的格局</w:t>
      </w:r>
      <w:r>
        <w:rPr>
          <w:rFonts w:hint="eastAsia" w:ascii="宋体" w:hAnsi="宋体" w:eastAsia="宋体" w:cs="宋体"/>
          <w:color w:val="auto"/>
          <w:szCs w:val="24"/>
          <w:u w:val="none"/>
          <w:lang w:eastAsia="zh-CN"/>
        </w:rPr>
        <w:t>。本项目位于永顺经济开发区猛洞河产业园</w:t>
      </w:r>
      <w:r>
        <w:rPr>
          <w:rFonts w:hint="eastAsia" w:ascii="宋体" w:hAnsi="宋体" w:eastAsia="宋体" w:cs="宋体"/>
          <w:color w:val="auto"/>
          <w:szCs w:val="24"/>
          <w:u w:val="none"/>
        </w:rPr>
        <w:t>。</w:t>
      </w:r>
    </w:p>
    <w:p>
      <w:pPr>
        <w:wordWrap w:val="0"/>
        <w:ind w:firstLine="480"/>
        <w:jc w:val="both"/>
        <w:rPr>
          <w:rFonts w:hint="eastAsia" w:ascii="宋体" w:hAnsi="宋体" w:eastAsia="宋体" w:cs="宋体"/>
          <w:iCs/>
          <w:color w:val="auto"/>
          <w:szCs w:val="24"/>
          <w:u w:val="none"/>
        </w:rPr>
      </w:pPr>
      <w:r>
        <w:rPr>
          <w:rFonts w:hint="eastAsia" w:ascii="宋体" w:hAnsi="宋体" w:eastAsia="宋体" w:cs="宋体"/>
          <w:iCs/>
          <w:color w:val="auto"/>
          <w:szCs w:val="24"/>
          <w:u w:val="none"/>
          <w:lang w:eastAsia="zh-CN"/>
        </w:rPr>
        <w:t>猛洞河产业园</w:t>
      </w:r>
      <w:r>
        <w:rPr>
          <w:rFonts w:hint="eastAsia" w:ascii="宋体" w:hAnsi="宋体" w:eastAsia="宋体" w:cs="宋体"/>
          <w:iCs/>
          <w:color w:val="auto"/>
          <w:szCs w:val="24"/>
          <w:u w:val="none"/>
        </w:rPr>
        <w:t>选址于永顺县</w:t>
      </w:r>
      <w:r>
        <w:rPr>
          <w:rFonts w:hint="eastAsia" w:ascii="宋体" w:hAnsi="宋体" w:eastAsia="宋体" w:cs="宋体"/>
          <w:iCs/>
          <w:color w:val="auto"/>
          <w:szCs w:val="24"/>
          <w:u w:val="none"/>
          <w:lang w:eastAsia="zh-CN"/>
        </w:rPr>
        <w:t>城</w:t>
      </w:r>
      <w:r>
        <w:rPr>
          <w:rFonts w:hint="eastAsia" w:ascii="宋体" w:hAnsi="宋体" w:eastAsia="宋体" w:cs="宋体"/>
          <w:iCs/>
          <w:color w:val="auto"/>
          <w:szCs w:val="24"/>
          <w:u w:val="none"/>
        </w:rPr>
        <w:t>南</w:t>
      </w:r>
      <w:r>
        <w:rPr>
          <w:rFonts w:hint="eastAsia" w:ascii="宋体" w:hAnsi="宋体" w:eastAsia="宋体" w:cs="宋体"/>
          <w:iCs/>
          <w:color w:val="auto"/>
          <w:szCs w:val="24"/>
          <w:u w:val="none"/>
          <w:lang w:eastAsia="zh-CN"/>
        </w:rPr>
        <w:t>的</w:t>
      </w:r>
      <w:r>
        <w:rPr>
          <w:rFonts w:hint="eastAsia" w:ascii="宋体" w:hAnsi="宋体" w:eastAsia="宋体" w:cs="宋体"/>
          <w:iCs/>
          <w:color w:val="auto"/>
          <w:szCs w:val="24"/>
          <w:u w:val="none"/>
        </w:rPr>
        <w:t>岔那村，规划</w:t>
      </w:r>
      <w:r>
        <w:rPr>
          <w:rFonts w:hint="default" w:ascii="Times New Roman" w:hAnsi="Times New Roman" w:eastAsia="宋体" w:cs="Times New Roman"/>
          <w:iCs/>
          <w:color w:val="auto"/>
          <w:szCs w:val="24"/>
          <w:u w:val="none"/>
        </w:rPr>
        <w:t>占地面积</w:t>
      </w:r>
      <w:r>
        <w:rPr>
          <w:rFonts w:hint="default" w:ascii="Times New Roman" w:hAnsi="Times New Roman" w:eastAsia="宋体" w:cs="Times New Roman"/>
          <w:iCs/>
          <w:color w:val="auto"/>
          <w:szCs w:val="24"/>
          <w:u w:val="none"/>
          <w:lang w:val="en-US" w:eastAsia="zh-CN"/>
        </w:rPr>
        <w:t>187</w:t>
      </w:r>
      <w:r>
        <w:rPr>
          <w:rFonts w:hint="default" w:ascii="Times New Roman" w:hAnsi="Times New Roman" w:eastAsia="宋体" w:cs="Times New Roman"/>
          <w:iCs/>
          <w:color w:val="auto"/>
          <w:szCs w:val="24"/>
          <w:u w:val="none"/>
        </w:rPr>
        <w:t>.</w:t>
      </w:r>
      <w:r>
        <w:rPr>
          <w:rFonts w:hint="default" w:ascii="Times New Roman" w:hAnsi="Times New Roman" w:eastAsia="宋体" w:cs="Times New Roman"/>
          <w:iCs/>
          <w:color w:val="auto"/>
          <w:szCs w:val="24"/>
          <w:u w:val="none"/>
          <w:lang w:val="en-US" w:eastAsia="zh-CN"/>
        </w:rPr>
        <w:t>83</w:t>
      </w:r>
      <w:r>
        <w:rPr>
          <w:rFonts w:hint="default" w:ascii="Times New Roman" w:hAnsi="Times New Roman" w:eastAsia="宋体" w:cs="Times New Roman"/>
          <w:iCs/>
          <w:color w:val="auto"/>
          <w:szCs w:val="24"/>
          <w:u w:val="none"/>
        </w:rPr>
        <w:t>公顷，</w:t>
      </w:r>
      <w:r>
        <w:rPr>
          <w:rFonts w:hint="default" w:ascii="Times New Roman" w:hAnsi="Times New Roman" w:eastAsia="宋体" w:cs="Times New Roman"/>
          <w:iCs/>
          <w:color w:val="auto"/>
          <w:szCs w:val="24"/>
          <w:u w:val="none"/>
          <w:lang w:eastAsia="zh-CN"/>
        </w:rPr>
        <w:t>发展</w:t>
      </w:r>
      <w:r>
        <w:rPr>
          <w:rFonts w:hint="default" w:ascii="Times New Roman" w:hAnsi="Times New Roman" w:eastAsia="宋体" w:cs="Times New Roman"/>
          <w:iCs/>
          <w:color w:val="auto"/>
          <w:szCs w:val="24"/>
          <w:u w:val="none"/>
        </w:rPr>
        <w:t>特色食品加工、电子信息、新型材料产业，配套发展电子商务、物流等其他综合产业。调扩区后永顺经济开发区总面积为4</w:t>
      </w:r>
      <w:r>
        <w:rPr>
          <w:rFonts w:hint="default" w:ascii="Times New Roman" w:hAnsi="Times New Roman" w:eastAsia="宋体" w:cs="Times New Roman"/>
          <w:iCs/>
          <w:color w:val="auto"/>
          <w:szCs w:val="24"/>
          <w:u w:val="none"/>
          <w:lang w:val="en-US" w:eastAsia="zh-CN"/>
        </w:rPr>
        <w:t>08</w:t>
      </w:r>
      <w:r>
        <w:rPr>
          <w:rFonts w:hint="default" w:ascii="Times New Roman" w:hAnsi="Times New Roman" w:eastAsia="宋体" w:cs="Times New Roman"/>
          <w:iCs/>
          <w:color w:val="auto"/>
          <w:szCs w:val="24"/>
          <w:u w:val="none"/>
        </w:rPr>
        <w:t>.</w:t>
      </w:r>
      <w:r>
        <w:rPr>
          <w:rFonts w:hint="default" w:ascii="Times New Roman" w:hAnsi="Times New Roman" w:eastAsia="宋体" w:cs="Times New Roman"/>
          <w:iCs/>
          <w:color w:val="auto"/>
          <w:szCs w:val="24"/>
          <w:u w:val="none"/>
          <w:lang w:val="en-US" w:eastAsia="zh-CN"/>
        </w:rPr>
        <w:t>38</w:t>
      </w:r>
      <w:r>
        <w:rPr>
          <w:rFonts w:hint="default" w:ascii="Times New Roman" w:hAnsi="Times New Roman" w:eastAsia="宋体" w:cs="Times New Roman"/>
          <w:iCs/>
          <w:color w:val="auto"/>
          <w:szCs w:val="24"/>
          <w:u w:val="none"/>
        </w:rPr>
        <w:t>公顷。</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bCs/>
          <w:color w:val="auto"/>
          <w:kern w:val="44"/>
          <w:u w:val="none"/>
        </w:rPr>
      </w:pPr>
      <w:r>
        <w:rPr>
          <w:rFonts w:hint="eastAsia" w:cs="宋体"/>
          <w:bCs/>
          <w:color w:val="auto"/>
          <w:kern w:val="44"/>
          <w:u w:val="none"/>
          <w:lang w:eastAsia="zh-CN"/>
        </w:rPr>
        <w:t>猛洞河产业园规划产业布局：</w:t>
      </w:r>
      <w:r>
        <w:rPr>
          <w:rFonts w:hint="eastAsia" w:ascii="宋体" w:hAnsi="宋体" w:eastAsia="宋体" w:cs="宋体"/>
          <w:bCs/>
          <w:color w:val="auto"/>
          <w:kern w:val="44"/>
          <w:u w:val="none"/>
        </w:rPr>
        <w:t>电子商务和现代物流业布置地片区的北部、特色农产品加工业布置在片区的中部、电子信息业布置在片区的中东北角部、南部布置为新型材料加工业。</w:t>
      </w:r>
    </w:p>
    <w:p>
      <w:pPr>
        <w:pStyle w:val="2"/>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eastAsia" w:ascii="宋体" w:hAnsi="宋体" w:eastAsia="宋体" w:cs="宋体"/>
          <w:bCs/>
          <w:color w:val="auto"/>
          <w:kern w:val="44"/>
          <w:sz w:val="21"/>
          <w:szCs w:val="21"/>
          <w:u w:val="none"/>
        </w:rPr>
      </w:pPr>
      <w:r>
        <w:rPr>
          <w:rFonts w:hint="eastAsia" w:ascii="宋体" w:hAnsi="宋体" w:eastAsia="宋体" w:cs="宋体"/>
          <w:b/>
          <w:color w:val="auto"/>
          <w:kern w:val="44"/>
          <w:sz w:val="21"/>
          <w:szCs w:val="21"/>
          <w:u w:val="none"/>
        </w:rPr>
        <w:t>表</w:t>
      </w:r>
      <w:r>
        <w:rPr>
          <w:rFonts w:hint="eastAsia" w:cs="宋体"/>
          <w:b/>
          <w:color w:val="auto"/>
          <w:kern w:val="44"/>
          <w:sz w:val="21"/>
          <w:szCs w:val="21"/>
          <w:u w:val="none"/>
          <w:lang w:val="en-US" w:eastAsia="zh-CN"/>
        </w:rPr>
        <w:t xml:space="preserve">3.2-1 </w:t>
      </w:r>
      <w:r>
        <w:rPr>
          <w:rFonts w:hint="eastAsia" w:ascii="宋体" w:hAnsi="宋体" w:eastAsia="宋体" w:cs="宋体"/>
          <w:b/>
          <w:color w:val="auto"/>
          <w:kern w:val="44"/>
          <w:sz w:val="21"/>
          <w:szCs w:val="21"/>
          <w:u w:val="none"/>
        </w:rPr>
        <w:t xml:space="preserve"> 开发区主要产业发展方向</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
        <w:gridCol w:w="1001"/>
        <w:gridCol w:w="3428"/>
        <w:gridCol w:w="31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3" w:hRule="atLeast"/>
        </w:trPr>
        <w:tc>
          <w:tcPr>
            <w:tcW w:w="924" w:type="dxa"/>
            <w:noWrap w:val="0"/>
            <w:vAlign w:val="center"/>
          </w:tcPr>
          <w:p>
            <w:pPr>
              <w:pStyle w:val="120"/>
              <w:bidi w:val="0"/>
              <w:jc w:val="center"/>
              <w:rPr>
                <w:rFonts w:hint="eastAsia"/>
                <w:color w:val="auto"/>
              </w:rPr>
            </w:pPr>
            <w:r>
              <w:rPr>
                <w:rFonts w:hint="eastAsia"/>
                <w:color w:val="auto"/>
              </w:rPr>
              <w:t>园区</w:t>
            </w:r>
          </w:p>
        </w:tc>
        <w:tc>
          <w:tcPr>
            <w:tcW w:w="1001" w:type="dxa"/>
            <w:noWrap w:val="0"/>
            <w:tcMar>
              <w:top w:w="0" w:type="dxa"/>
              <w:left w:w="0" w:type="dxa"/>
              <w:bottom w:w="0" w:type="dxa"/>
              <w:right w:w="0" w:type="dxa"/>
            </w:tcMar>
            <w:vAlign w:val="center"/>
          </w:tcPr>
          <w:p>
            <w:pPr>
              <w:pStyle w:val="120"/>
              <w:bidi w:val="0"/>
              <w:jc w:val="center"/>
              <w:rPr>
                <w:rFonts w:hint="eastAsia"/>
                <w:color w:val="auto"/>
              </w:rPr>
            </w:pPr>
            <w:r>
              <w:rPr>
                <w:rFonts w:hint="eastAsia"/>
                <w:color w:val="auto"/>
              </w:rPr>
              <w:t>行业类别</w:t>
            </w:r>
          </w:p>
        </w:tc>
        <w:tc>
          <w:tcPr>
            <w:tcW w:w="3428" w:type="dxa"/>
            <w:noWrap w:val="0"/>
            <w:vAlign w:val="center"/>
          </w:tcPr>
          <w:p>
            <w:pPr>
              <w:pStyle w:val="120"/>
              <w:bidi w:val="0"/>
              <w:jc w:val="center"/>
              <w:rPr>
                <w:rFonts w:hint="eastAsia"/>
                <w:color w:val="auto"/>
              </w:rPr>
            </w:pPr>
            <w:r>
              <w:rPr>
                <w:rFonts w:hint="eastAsia"/>
                <w:color w:val="auto"/>
              </w:rPr>
              <w:t>产品类别</w:t>
            </w:r>
          </w:p>
        </w:tc>
        <w:tc>
          <w:tcPr>
            <w:tcW w:w="3169" w:type="dxa"/>
            <w:noWrap w:val="0"/>
            <w:vAlign w:val="center"/>
          </w:tcPr>
          <w:p>
            <w:pPr>
              <w:pStyle w:val="120"/>
              <w:bidi w:val="0"/>
              <w:jc w:val="center"/>
              <w:rPr>
                <w:rFonts w:hint="eastAsia"/>
                <w:color w:val="auto"/>
              </w:rPr>
            </w:pPr>
            <w:r>
              <w:rPr>
                <w:rFonts w:hint="eastAsia"/>
                <w:color w:val="auto"/>
              </w:rPr>
              <w:t>生产工艺要求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4" w:type="dxa"/>
            <w:vMerge w:val="restart"/>
            <w:noWrap w:val="0"/>
            <w:vAlign w:val="center"/>
          </w:tcPr>
          <w:p>
            <w:pPr>
              <w:pStyle w:val="120"/>
              <w:bidi w:val="0"/>
              <w:jc w:val="both"/>
              <w:rPr>
                <w:rFonts w:hint="eastAsia" w:eastAsia="宋体"/>
                <w:color w:val="auto"/>
                <w:lang w:eastAsia="zh-CN"/>
              </w:rPr>
            </w:pPr>
            <w:r>
              <w:rPr>
                <w:rFonts w:hint="eastAsia"/>
                <w:color w:val="auto"/>
                <w:lang w:eastAsia="zh-CN"/>
              </w:rPr>
              <w:t>猛洞河产业园</w:t>
            </w:r>
          </w:p>
        </w:tc>
        <w:tc>
          <w:tcPr>
            <w:tcW w:w="1001" w:type="dxa"/>
            <w:noWrap w:val="0"/>
            <w:vAlign w:val="center"/>
          </w:tcPr>
          <w:p>
            <w:pPr>
              <w:pStyle w:val="120"/>
              <w:bidi w:val="0"/>
              <w:jc w:val="both"/>
              <w:rPr>
                <w:rFonts w:hint="eastAsia"/>
                <w:color w:val="auto"/>
              </w:rPr>
            </w:pPr>
            <w:r>
              <w:rPr>
                <w:rFonts w:hint="eastAsia"/>
                <w:color w:val="auto"/>
              </w:rPr>
              <w:t>特色食品加工</w:t>
            </w:r>
          </w:p>
        </w:tc>
        <w:tc>
          <w:tcPr>
            <w:tcW w:w="3428" w:type="dxa"/>
            <w:noWrap w:val="0"/>
            <w:vAlign w:val="center"/>
          </w:tcPr>
          <w:p>
            <w:pPr>
              <w:pStyle w:val="120"/>
              <w:bidi w:val="0"/>
              <w:jc w:val="both"/>
              <w:rPr>
                <w:rFonts w:hint="eastAsia"/>
                <w:color w:val="auto"/>
              </w:rPr>
            </w:pPr>
            <w:r>
              <w:rPr>
                <w:rFonts w:hint="eastAsia"/>
                <w:color w:val="auto"/>
              </w:rPr>
              <w:t>①以水果加工为主：水果王素、猕猴桃祛斑油、果汁、果脯、果籽饼干</w:t>
            </w:r>
            <w:r>
              <w:rPr>
                <w:rFonts w:hint="eastAsia"/>
                <w:color w:val="auto"/>
                <w:lang w:eastAsia="zh-CN"/>
              </w:rPr>
              <w:t>；</w:t>
            </w:r>
            <w:r>
              <w:rPr>
                <w:rFonts w:hint="eastAsia"/>
                <w:color w:val="auto"/>
              </w:rPr>
              <w:t>②粮食加工：以玉米、稻谷和谷子、豆类、薯类加工为主</w:t>
            </w:r>
            <w:r>
              <w:rPr>
                <w:rFonts w:hint="eastAsia"/>
                <w:color w:val="auto"/>
                <w:lang w:eastAsia="zh-CN"/>
              </w:rPr>
              <w:t>；</w:t>
            </w:r>
            <w:r>
              <w:rPr>
                <w:rFonts w:hint="eastAsia"/>
                <w:color w:val="auto"/>
              </w:rPr>
              <w:t>③食用油加工；④蔬菜、菌类、水果和坚果加工：蔬菜加工、 食用菌加工、水果和坚果加工；⑤其他农副食品加工：豆制品制造、蛋品加工、肉制品加工、茶叶加工、蜂蜜、山野菜</w:t>
            </w:r>
            <w:r>
              <w:rPr>
                <w:rFonts w:hint="eastAsia"/>
                <w:color w:val="auto"/>
                <w:lang w:eastAsia="zh-CN"/>
              </w:rPr>
              <w:t>，营养食品、保健食品</w:t>
            </w:r>
            <w:r>
              <w:rPr>
                <w:rFonts w:hint="eastAsia"/>
                <w:color w:val="auto"/>
              </w:rPr>
              <w:t>。</w:t>
            </w:r>
          </w:p>
        </w:tc>
        <w:tc>
          <w:tcPr>
            <w:tcW w:w="3169" w:type="dxa"/>
            <w:noWrap w:val="0"/>
            <w:vAlign w:val="center"/>
          </w:tcPr>
          <w:p>
            <w:pPr>
              <w:pStyle w:val="120"/>
              <w:bidi w:val="0"/>
              <w:jc w:val="both"/>
              <w:rPr>
                <w:rFonts w:hint="eastAsia"/>
                <w:color w:val="auto"/>
              </w:rPr>
            </w:pPr>
            <w:r>
              <w:rPr>
                <w:rFonts w:hint="eastAsia"/>
                <w:color w:val="auto"/>
              </w:rPr>
              <w:fldChar w:fldCharType="begin"/>
            </w:r>
            <w:r>
              <w:rPr>
                <w:rFonts w:hint="eastAsia"/>
                <w:color w:val="auto"/>
              </w:rPr>
              <w:instrText xml:space="preserve"> = 1 \* GB3 \* MERGEFORMAT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用脱水、干制、冷藏、冷冻、腌制等方法，对蔬菜、菌类、水果、坚果的加工工艺；</w:t>
            </w:r>
            <w:r>
              <w:rPr>
                <w:rFonts w:hint="eastAsia"/>
                <w:color w:val="auto"/>
              </w:rPr>
              <w:fldChar w:fldCharType="begin"/>
            </w:r>
            <w:r>
              <w:rPr>
                <w:rFonts w:hint="eastAsia"/>
                <w:color w:val="auto"/>
              </w:rPr>
              <w:instrText xml:space="preserve"> = 2 \* GB3 \* MERGEFORMAT </w:instrText>
            </w:r>
            <w:r>
              <w:rPr>
                <w:rFonts w:hint="eastAsia"/>
                <w:color w:val="auto"/>
              </w:rPr>
              <w:fldChar w:fldCharType="separate"/>
            </w:r>
            <w:r>
              <w:rPr>
                <w:rFonts w:hint="eastAsia"/>
                <w:color w:val="auto"/>
              </w:rPr>
              <w:t>②</w:t>
            </w:r>
            <w:r>
              <w:rPr>
                <w:rFonts w:hint="eastAsia"/>
                <w:color w:val="auto"/>
              </w:rPr>
              <w:fldChar w:fldCharType="end"/>
            </w:r>
            <w:r>
              <w:rPr>
                <w:rFonts w:hint="eastAsia"/>
                <w:color w:val="auto"/>
              </w:rPr>
              <w:t>将稻谷、玉米、谷子、绿豆、红小豆等谷物去壳、碾磨，生产成品粮或特色产品加工工艺；</w:t>
            </w:r>
            <w:r>
              <w:rPr>
                <w:rFonts w:hint="eastAsia"/>
                <w:color w:val="auto"/>
              </w:rPr>
              <w:fldChar w:fldCharType="begin"/>
            </w:r>
            <w:r>
              <w:rPr>
                <w:rFonts w:hint="eastAsia"/>
                <w:color w:val="auto"/>
              </w:rPr>
              <w:instrText xml:space="preserve"> = 3 \* GB3 \* MERGEFORMAT </w:instrText>
            </w:r>
            <w:r>
              <w:rPr>
                <w:rFonts w:hint="eastAsia"/>
                <w:color w:val="auto"/>
              </w:rPr>
              <w:fldChar w:fldCharType="separate"/>
            </w:r>
            <w:r>
              <w:rPr>
                <w:rFonts w:hint="eastAsia"/>
                <w:color w:val="auto"/>
              </w:rPr>
              <w:t>③</w:t>
            </w:r>
            <w:r>
              <w:rPr>
                <w:rFonts w:hint="eastAsia"/>
                <w:color w:val="auto"/>
              </w:rPr>
              <w:fldChar w:fldCharType="end"/>
            </w:r>
            <w:r>
              <w:rPr>
                <w:rFonts w:hint="eastAsia"/>
                <w:color w:val="auto"/>
              </w:rPr>
              <w:t>用各种食用植物油料生产油脂，以及精制食用油的加工工艺；</w:t>
            </w:r>
            <w:r>
              <w:rPr>
                <w:rFonts w:hint="eastAsia"/>
                <w:color w:val="auto"/>
              </w:rPr>
              <w:fldChar w:fldCharType="begin"/>
            </w:r>
            <w:r>
              <w:rPr>
                <w:rFonts w:hint="eastAsia"/>
                <w:color w:val="auto"/>
              </w:rPr>
              <w:instrText xml:space="preserve"> = 4 \* GB3 \* MERGEFORMAT </w:instrText>
            </w:r>
            <w:r>
              <w:rPr>
                <w:rFonts w:hint="eastAsia"/>
                <w:color w:val="auto"/>
              </w:rPr>
              <w:fldChar w:fldCharType="separate"/>
            </w:r>
            <w:r>
              <w:rPr>
                <w:rFonts w:hint="eastAsia"/>
                <w:color w:val="auto"/>
              </w:rPr>
              <w:t>④</w:t>
            </w:r>
            <w:r>
              <w:rPr>
                <w:rFonts w:hint="eastAsia"/>
                <w:color w:val="auto"/>
              </w:rPr>
              <w:fldChar w:fldCharType="end"/>
            </w:r>
            <w:r>
              <w:rPr>
                <w:rFonts w:hint="eastAsia"/>
                <w:color w:val="auto"/>
              </w:rPr>
              <w:t>以各种畜、禽肉及畜、禽副产品为原料生产成熟肉制品加工工艺。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4" w:type="dxa"/>
            <w:vMerge w:val="continue"/>
            <w:noWrap w:val="0"/>
            <w:vAlign w:val="center"/>
          </w:tcPr>
          <w:p>
            <w:pPr>
              <w:pStyle w:val="120"/>
              <w:bidi w:val="0"/>
              <w:jc w:val="both"/>
              <w:rPr>
                <w:rFonts w:hint="eastAsia"/>
                <w:color w:val="auto"/>
              </w:rPr>
            </w:pPr>
          </w:p>
        </w:tc>
        <w:tc>
          <w:tcPr>
            <w:tcW w:w="1001" w:type="dxa"/>
            <w:noWrap w:val="0"/>
            <w:vAlign w:val="center"/>
          </w:tcPr>
          <w:p>
            <w:pPr>
              <w:pStyle w:val="120"/>
              <w:bidi w:val="0"/>
              <w:jc w:val="both"/>
              <w:rPr>
                <w:rFonts w:hint="eastAsia"/>
                <w:color w:val="auto"/>
              </w:rPr>
            </w:pPr>
            <w:r>
              <w:rPr>
                <w:rFonts w:hint="eastAsia"/>
                <w:color w:val="auto"/>
              </w:rPr>
              <w:t>电子信息产业</w:t>
            </w:r>
          </w:p>
        </w:tc>
        <w:tc>
          <w:tcPr>
            <w:tcW w:w="3428" w:type="dxa"/>
            <w:noWrap w:val="0"/>
            <w:vAlign w:val="center"/>
          </w:tcPr>
          <w:p>
            <w:pPr>
              <w:pStyle w:val="120"/>
              <w:bidi w:val="0"/>
              <w:jc w:val="both"/>
              <w:rPr>
                <w:rFonts w:hint="eastAsia"/>
                <w:color w:val="auto"/>
              </w:rPr>
            </w:pPr>
            <w:r>
              <w:rPr>
                <w:rFonts w:hint="eastAsia"/>
                <w:color w:val="auto"/>
              </w:rPr>
              <w:fldChar w:fldCharType="begin"/>
            </w:r>
            <w:r>
              <w:rPr>
                <w:rFonts w:hint="eastAsia"/>
                <w:color w:val="auto"/>
              </w:rPr>
              <w:instrText xml:space="preserve"> = 1 \* GB3 \* MERGEFORMAT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计算机、通讯和其他电子设备制造，仪器仪表制造；②软件和信息技术服务；</w:t>
            </w:r>
          </w:p>
          <w:p>
            <w:pPr>
              <w:pStyle w:val="120"/>
              <w:bidi w:val="0"/>
              <w:jc w:val="both"/>
              <w:rPr>
                <w:rFonts w:hint="eastAsia"/>
                <w:color w:val="auto"/>
                <w:lang w:eastAsia="zh-CN"/>
              </w:rPr>
            </w:pPr>
            <w:r>
              <w:rPr>
                <w:rFonts w:hint="eastAsia"/>
                <w:color w:val="auto"/>
              </w:rPr>
              <w:t>③半导体器件专用设备制造、通信电源、电子元器件与设备制造</w:t>
            </w:r>
            <w:r>
              <w:rPr>
                <w:rFonts w:hint="eastAsia"/>
                <w:color w:val="auto"/>
                <w:lang w:eastAsia="zh-CN"/>
              </w:rPr>
              <w:t>；</w:t>
            </w:r>
            <w:r>
              <w:rPr>
                <w:rFonts w:hint="eastAsia"/>
                <w:color w:val="auto"/>
              </w:rPr>
              <w:t>④电子和电工机械专用设备制造</w:t>
            </w:r>
            <w:r>
              <w:rPr>
                <w:rFonts w:hint="eastAsia"/>
                <w:color w:val="auto"/>
                <w:lang w:eastAsia="zh-CN"/>
              </w:rPr>
              <w:t>。</w:t>
            </w:r>
          </w:p>
        </w:tc>
        <w:tc>
          <w:tcPr>
            <w:tcW w:w="3169" w:type="dxa"/>
            <w:noWrap w:val="0"/>
            <w:vAlign w:val="center"/>
          </w:tcPr>
          <w:p>
            <w:pPr>
              <w:pStyle w:val="120"/>
              <w:bidi w:val="0"/>
              <w:jc w:val="both"/>
              <w:rPr>
                <w:rFonts w:hint="eastAsia"/>
                <w:color w:val="auto"/>
              </w:rPr>
            </w:pPr>
            <w:r>
              <w:rPr>
                <w:rFonts w:hint="eastAsia"/>
                <w:color w:val="auto"/>
              </w:rPr>
              <w:t>不涉及电氧化、化学镀、酸洗、磷化、蚀刻、钝化、电泳、电镀、线路板等表面处理工艺排放废水的工艺。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0" w:hRule="atLeast"/>
        </w:trPr>
        <w:tc>
          <w:tcPr>
            <w:tcW w:w="924" w:type="dxa"/>
            <w:vMerge w:val="continue"/>
            <w:noWrap w:val="0"/>
            <w:vAlign w:val="center"/>
          </w:tcPr>
          <w:p>
            <w:pPr>
              <w:pStyle w:val="120"/>
              <w:bidi w:val="0"/>
              <w:jc w:val="both"/>
              <w:rPr>
                <w:rFonts w:hint="eastAsia"/>
                <w:color w:val="auto"/>
              </w:rPr>
            </w:pPr>
          </w:p>
        </w:tc>
        <w:tc>
          <w:tcPr>
            <w:tcW w:w="1001" w:type="dxa"/>
            <w:noWrap w:val="0"/>
            <w:vAlign w:val="center"/>
          </w:tcPr>
          <w:p>
            <w:pPr>
              <w:pStyle w:val="120"/>
              <w:bidi w:val="0"/>
              <w:jc w:val="both"/>
              <w:rPr>
                <w:rFonts w:hint="eastAsia"/>
                <w:color w:val="auto"/>
              </w:rPr>
            </w:pPr>
            <w:r>
              <w:rPr>
                <w:rFonts w:hint="eastAsia"/>
                <w:color w:val="auto"/>
              </w:rPr>
              <w:t>新型材料加工</w:t>
            </w:r>
          </w:p>
        </w:tc>
        <w:tc>
          <w:tcPr>
            <w:tcW w:w="3428" w:type="dxa"/>
            <w:noWrap w:val="0"/>
            <w:vAlign w:val="center"/>
          </w:tcPr>
          <w:p>
            <w:pPr>
              <w:pStyle w:val="120"/>
              <w:bidi w:val="0"/>
              <w:jc w:val="both"/>
              <w:rPr>
                <w:rFonts w:hint="eastAsia"/>
                <w:color w:val="auto"/>
                <w:lang w:eastAsia="zh-CN"/>
              </w:rPr>
            </w:pPr>
            <w:r>
              <w:rPr>
                <w:rFonts w:hint="eastAsia"/>
                <w:color w:val="auto"/>
              </w:rPr>
              <w:t>钢材、铝合金等型材与结构件加工、</w:t>
            </w:r>
            <w:r>
              <w:rPr>
                <w:rFonts w:hint="eastAsia"/>
                <w:color w:val="auto"/>
                <w:lang w:eastAsia="zh-CN"/>
              </w:rPr>
              <w:t>与当地资源密切的矿产品深加工和型材加工、与当地资源密切的电子、生物材料制造。</w:t>
            </w:r>
          </w:p>
        </w:tc>
        <w:tc>
          <w:tcPr>
            <w:tcW w:w="3169" w:type="dxa"/>
            <w:noWrap w:val="0"/>
            <w:vAlign w:val="center"/>
          </w:tcPr>
          <w:p>
            <w:pPr>
              <w:pStyle w:val="120"/>
              <w:bidi w:val="0"/>
              <w:jc w:val="both"/>
              <w:rPr>
                <w:rFonts w:hint="eastAsia"/>
                <w:color w:val="auto"/>
              </w:rPr>
            </w:pPr>
            <w:r>
              <w:rPr>
                <w:rFonts w:hint="eastAsia"/>
                <w:color w:val="auto"/>
              </w:rPr>
              <w:t>不涉及有色金属矿物和废旧矿物分离、冶炼，低能耗、污染少、满足清洁生产要求的生产工艺。</w:t>
            </w:r>
          </w:p>
        </w:tc>
      </w:tr>
    </w:tbl>
    <w:p>
      <w:pPr>
        <w:wordWrap w:val="0"/>
        <w:ind w:firstLine="480"/>
        <w:jc w:val="both"/>
        <w:rPr>
          <w:rFonts w:hint="eastAsia" w:eastAsia="宋体"/>
          <w:color w:val="auto"/>
          <w:szCs w:val="22"/>
          <w:u w:val="none"/>
          <w:lang w:eastAsia="zh-CN"/>
        </w:rPr>
      </w:pPr>
      <w:r>
        <w:rPr>
          <w:rFonts w:hint="eastAsia"/>
          <w:color w:val="auto"/>
          <w:szCs w:val="22"/>
          <w:u w:val="none"/>
          <w:lang w:eastAsia="zh-CN"/>
        </w:rPr>
        <w:t>永顺经济开发区猛洞河产业园用地规划：</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Cs w:val="24"/>
          <w:u w:val="none"/>
        </w:rPr>
      </w:pPr>
      <w:r>
        <w:rPr>
          <w:rFonts w:hint="default" w:ascii="Times New Roman" w:hAnsi="Times New Roman" w:eastAsia="宋体" w:cs="Times New Roman"/>
          <w:b/>
          <w:color w:val="auto"/>
          <w:szCs w:val="24"/>
          <w:u w:val="none"/>
        </w:rPr>
        <w:t>（1）居住用地规划</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居住用地规划均为二类居住用地。主要为村民安置及部分就业居住用地，主要布置在环境较好，交通便利的区域。其中猛洞河产业园居住用地布置在永顺大道以北，中小学及部分居住用地等配套设施依托北部县城及溪州新区，居住用地总面积为</w:t>
      </w:r>
      <w:r>
        <w:rPr>
          <w:rFonts w:hint="default" w:ascii="Times New Roman" w:hAnsi="Times New Roman" w:eastAsia="宋体" w:cs="Times New Roman"/>
          <w:color w:val="auto"/>
          <w:szCs w:val="24"/>
          <w:u w:val="none"/>
          <w:lang w:val="en-US" w:eastAsia="zh-CN"/>
        </w:rPr>
        <w:t>16.09</w:t>
      </w:r>
      <w:r>
        <w:rPr>
          <w:rFonts w:hint="default" w:ascii="Times New Roman" w:hAnsi="Times New Roman" w:eastAsia="宋体" w:cs="Times New Roman"/>
          <w:color w:val="auto"/>
          <w:szCs w:val="24"/>
          <w:u w:val="none"/>
        </w:rPr>
        <w:t>公顷。</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Cs w:val="24"/>
          <w:u w:val="none"/>
        </w:rPr>
      </w:pPr>
      <w:r>
        <w:rPr>
          <w:rFonts w:hint="default" w:ascii="Times New Roman" w:hAnsi="Times New Roman" w:eastAsia="宋体" w:cs="Times New Roman"/>
          <w:b/>
          <w:color w:val="auto"/>
          <w:szCs w:val="24"/>
          <w:u w:val="none"/>
        </w:rPr>
        <w:t>（2）公共管理与公共服务用地规划</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猛洞河产业园区2.41公顷</w:t>
      </w:r>
      <w:r>
        <w:rPr>
          <w:rFonts w:hint="default" w:ascii="Times New Roman" w:hAnsi="Times New Roman" w:eastAsia="宋体" w:cs="Times New Roman"/>
          <w:color w:val="auto"/>
          <w:szCs w:val="24"/>
          <w:u w:val="none"/>
          <w:lang w:eastAsia="zh-CN"/>
        </w:rPr>
        <w:t>，</w:t>
      </w:r>
      <w:r>
        <w:rPr>
          <w:rFonts w:hint="default" w:ascii="Times New Roman" w:hAnsi="Times New Roman" w:eastAsia="宋体" w:cs="Times New Roman"/>
          <w:color w:val="auto"/>
          <w:szCs w:val="24"/>
          <w:u w:val="none"/>
        </w:rPr>
        <w:t>主要为管委会用地，猛洞河产业园区布置在永顺大道以南。另两园区布置了部分文化设施用地及加油加气站用地，其它配套管理服务设施两园区分别依托永顺县城区和芙蓉镇区。</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Cs w:val="24"/>
          <w:u w:val="none"/>
        </w:rPr>
      </w:pPr>
      <w:r>
        <w:rPr>
          <w:rFonts w:hint="default" w:ascii="Times New Roman" w:hAnsi="Times New Roman" w:eastAsia="宋体" w:cs="Times New Roman"/>
          <w:b/>
          <w:color w:val="auto"/>
          <w:szCs w:val="24"/>
          <w:u w:val="none"/>
        </w:rPr>
        <w:t>（3）商业服务业设施用地规划</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猛洞河产业园区14.20公顷，分别布置在猛洞河产业园永顺大道两侧</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Cs w:val="24"/>
          <w:u w:val="none"/>
        </w:rPr>
      </w:pPr>
      <w:r>
        <w:rPr>
          <w:rFonts w:hint="default" w:ascii="Times New Roman" w:hAnsi="Times New Roman" w:eastAsia="宋体" w:cs="Times New Roman"/>
          <w:b/>
          <w:color w:val="auto"/>
          <w:szCs w:val="24"/>
          <w:u w:val="none"/>
        </w:rPr>
        <w:t>（4）工业用地</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一类工业用地</w:t>
      </w:r>
      <w:r>
        <w:rPr>
          <w:rFonts w:hint="default" w:ascii="Times New Roman" w:hAnsi="Times New Roman" w:eastAsia="宋体" w:cs="Times New Roman"/>
          <w:color w:val="auto"/>
          <w:szCs w:val="24"/>
          <w:u w:val="none"/>
          <w:lang w:val="en-US" w:eastAsia="zh-CN"/>
        </w:rPr>
        <w:t>164.40</w:t>
      </w:r>
      <w:r>
        <w:rPr>
          <w:rFonts w:hint="default" w:ascii="Times New Roman" w:hAnsi="Times New Roman" w:eastAsia="宋体" w:cs="Times New Roman"/>
          <w:color w:val="auto"/>
          <w:szCs w:val="24"/>
          <w:u w:val="none"/>
        </w:rPr>
        <w:t>公顷，其中猛洞河产业园区</w:t>
      </w:r>
      <w:r>
        <w:rPr>
          <w:rFonts w:hint="default" w:ascii="Times New Roman" w:hAnsi="Times New Roman" w:eastAsia="宋体" w:cs="Times New Roman"/>
          <w:color w:val="auto"/>
          <w:szCs w:val="24"/>
          <w:u w:val="none"/>
          <w:lang w:val="en-US" w:eastAsia="zh-CN"/>
        </w:rPr>
        <w:t>78.85</w:t>
      </w:r>
      <w:r>
        <w:rPr>
          <w:rFonts w:hint="default" w:ascii="Times New Roman" w:hAnsi="Times New Roman" w:eastAsia="宋体" w:cs="Times New Roman"/>
          <w:color w:val="auto"/>
          <w:szCs w:val="24"/>
          <w:u w:val="none"/>
        </w:rPr>
        <w:t>公顷，规划设置在</w:t>
      </w:r>
      <w:r>
        <w:rPr>
          <w:rFonts w:hint="default" w:ascii="Times New Roman" w:hAnsi="Times New Roman" w:eastAsia="宋体" w:cs="Times New Roman"/>
          <w:color w:val="auto"/>
          <w:szCs w:val="24"/>
          <w:u w:val="none"/>
          <w:lang w:eastAsia="zh-CN"/>
        </w:rPr>
        <w:t>猛洞河产业园</w:t>
      </w:r>
      <w:r>
        <w:rPr>
          <w:rFonts w:hint="default" w:ascii="Times New Roman" w:hAnsi="Times New Roman" w:eastAsia="宋体" w:cs="Times New Roman"/>
          <w:color w:val="auto"/>
          <w:szCs w:val="24"/>
          <w:u w:val="none"/>
        </w:rPr>
        <w:t>中南部；二类工业用地</w:t>
      </w:r>
      <w:r>
        <w:rPr>
          <w:rFonts w:hint="default" w:ascii="Times New Roman" w:hAnsi="Times New Roman" w:eastAsia="宋体" w:cs="Times New Roman"/>
          <w:color w:val="auto"/>
          <w:szCs w:val="24"/>
          <w:u w:val="none"/>
          <w:lang w:val="en-US" w:eastAsia="zh-CN"/>
        </w:rPr>
        <w:t>57.16</w:t>
      </w:r>
      <w:r>
        <w:rPr>
          <w:rFonts w:hint="default" w:ascii="Times New Roman" w:hAnsi="Times New Roman" w:eastAsia="宋体" w:cs="Times New Roman"/>
          <w:color w:val="auto"/>
          <w:szCs w:val="24"/>
          <w:u w:val="none"/>
        </w:rPr>
        <w:t>公顷，其中猛洞河产业园区</w:t>
      </w:r>
      <w:r>
        <w:rPr>
          <w:rFonts w:hint="default" w:ascii="Times New Roman" w:hAnsi="Times New Roman" w:eastAsia="宋体" w:cs="Times New Roman"/>
          <w:color w:val="auto"/>
          <w:szCs w:val="24"/>
          <w:u w:val="none"/>
          <w:lang w:val="en-US" w:eastAsia="zh-CN"/>
        </w:rPr>
        <w:t>20</w:t>
      </w:r>
      <w:r>
        <w:rPr>
          <w:rFonts w:hint="default" w:ascii="Times New Roman" w:hAnsi="Times New Roman" w:eastAsia="宋体" w:cs="Times New Roman"/>
          <w:color w:val="auto"/>
          <w:szCs w:val="24"/>
          <w:u w:val="none"/>
        </w:rPr>
        <w:t>.</w:t>
      </w:r>
      <w:r>
        <w:rPr>
          <w:rFonts w:hint="default" w:ascii="Times New Roman" w:hAnsi="Times New Roman" w:eastAsia="宋体" w:cs="Times New Roman"/>
          <w:color w:val="auto"/>
          <w:szCs w:val="24"/>
          <w:u w:val="none"/>
          <w:lang w:val="en-US" w:eastAsia="zh-CN"/>
        </w:rPr>
        <w:t>63</w:t>
      </w:r>
      <w:r>
        <w:rPr>
          <w:rFonts w:hint="default" w:ascii="Times New Roman" w:hAnsi="Times New Roman" w:eastAsia="宋体" w:cs="Times New Roman"/>
          <w:color w:val="auto"/>
          <w:szCs w:val="24"/>
          <w:u w:val="none"/>
        </w:rPr>
        <w:t>公顷，规划设置在猛洞河产业园南端部。</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Cs w:val="24"/>
          <w:u w:val="none"/>
        </w:rPr>
      </w:pPr>
      <w:r>
        <w:rPr>
          <w:rFonts w:hint="default" w:ascii="Times New Roman" w:hAnsi="Times New Roman" w:eastAsia="宋体" w:cs="Times New Roman"/>
          <w:b/>
          <w:color w:val="auto"/>
          <w:szCs w:val="24"/>
          <w:u w:val="none"/>
        </w:rPr>
        <w:t>（5）仓储用地规划</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规划结合产业园设置仓储配套用地。规划仓储用地</w:t>
      </w:r>
      <w:r>
        <w:rPr>
          <w:rFonts w:hint="default" w:ascii="Times New Roman" w:hAnsi="Times New Roman" w:eastAsia="宋体" w:cs="Times New Roman"/>
          <w:color w:val="auto"/>
          <w:szCs w:val="24"/>
          <w:u w:val="none"/>
          <w:lang w:val="en-US" w:eastAsia="zh-CN"/>
        </w:rPr>
        <w:t>27.18</w:t>
      </w:r>
      <w:r>
        <w:rPr>
          <w:rFonts w:hint="default" w:ascii="Times New Roman" w:hAnsi="Times New Roman" w:eastAsia="宋体" w:cs="Times New Roman"/>
          <w:color w:val="auto"/>
          <w:szCs w:val="24"/>
          <w:u w:val="none"/>
        </w:rPr>
        <w:t>公顷，占经开区建设用地的</w:t>
      </w:r>
      <w:r>
        <w:rPr>
          <w:rFonts w:hint="default" w:ascii="Times New Roman" w:hAnsi="Times New Roman" w:eastAsia="宋体" w:cs="Times New Roman"/>
          <w:color w:val="auto"/>
          <w:szCs w:val="24"/>
          <w:u w:val="none"/>
          <w:lang w:val="en-US" w:eastAsia="zh-CN"/>
        </w:rPr>
        <w:t>6</w:t>
      </w:r>
      <w:r>
        <w:rPr>
          <w:rFonts w:hint="default" w:ascii="Times New Roman" w:hAnsi="Times New Roman" w:eastAsia="宋体" w:cs="Times New Roman"/>
          <w:color w:val="auto"/>
          <w:szCs w:val="24"/>
          <w:u w:val="none"/>
        </w:rPr>
        <w:t>.</w:t>
      </w:r>
      <w:r>
        <w:rPr>
          <w:rFonts w:hint="default" w:ascii="Times New Roman" w:hAnsi="Times New Roman" w:eastAsia="宋体" w:cs="Times New Roman"/>
          <w:color w:val="auto"/>
          <w:szCs w:val="24"/>
          <w:u w:val="none"/>
          <w:lang w:val="en-US" w:eastAsia="zh-CN"/>
        </w:rPr>
        <w:t>66</w:t>
      </w:r>
      <w:r>
        <w:rPr>
          <w:rFonts w:hint="default" w:ascii="Times New Roman" w:hAnsi="Times New Roman" w:eastAsia="宋体" w:cs="Times New Roman"/>
          <w:color w:val="auto"/>
          <w:szCs w:val="24"/>
          <w:u w:val="none"/>
        </w:rPr>
        <w:t>%</w:t>
      </w:r>
      <w:r>
        <w:rPr>
          <w:rFonts w:hint="default" w:ascii="Times New Roman" w:hAnsi="Times New Roman" w:eastAsia="宋体" w:cs="Times New Roman"/>
          <w:color w:val="auto"/>
          <w:szCs w:val="24"/>
          <w:u w:val="none"/>
          <w:lang w:eastAsia="zh-CN"/>
        </w:rPr>
        <w:t>，</w:t>
      </w:r>
      <w:r>
        <w:rPr>
          <w:rFonts w:hint="default" w:ascii="Times New Roman" w:hAnsi="Times New Roman" w:eastAsia="宋体" w:cs="Times New Roman"/>
          <w:color w:val="auto"/>
          <w:szCs w:val="24"/>
          <w:u w:val="none"/>
        </w:rPr>
        <w:t>分别布置在猛洞河产工业园。</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Cs w:val="24"/>
          <w:u w:val="none"/>
        </w:rPr>
      </w:pPr>
      <w:r>
        <w:rPr>
          <w:rFonts w:hint="default" w:ascii="Times New Roman" w:hAnsi="Times New Roman" w:eastAsia="宋体" w:cs="Times New Roman"/>
          <w:b/>
          <w:color w:val="auto"/>
          <w:szCs w:val="24"/>
          <w:u w:val="none"/>
        </w:rPr>
        <w:t>（6）交通设施用地规划</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规划交通设施用地80.</w:t>
      </w:r>
      <w:r>
        <w:rPr>
          <w:rFonts w:hint="default" w:ascii="Times New Roman" w:hAnsi="Times New Roman" w:eastAsia="宋体" w:cs="Times New Roman"/>
          <w:color w:val="auto"/>
          <w:szCs w:val="24"/>
          <w:u w:val="none"/>
          <w:lang w:val="en-US" w:eastAsia="zh-CN"/>
        </w:rPr>
        <w:t>59</w:t>
      </w:r>
      <w:r>
        <w:rPr>
          <w:rFonts w:hint="default" w:ascii="Times New Roman" w:hAnsi="Times New Roman" w:eastAsia="宋体" w:cs="Times New Roman"/>
          <w:color w:val="auto"/>
          <w:szCs w:val="24"/>
          <w:u w:val="none"/>
        </w:rPr>
        <w:t>公顷，其中猛洞河产业园用地为30.32ha，要建设城市道路用地和社会停车场。</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Cs w:val="24"/>
          <w:u w:val="none"/>
        </w:rPr>
      </w:pPr>
      <w:r>
        <w:rPr>
          <w:rFonts w:hint="default" w:ascii="Times New Roman" w:hAnsi="Times New Roman" w:eastAsia="宋体" w:cs="Times New Roman"/>
          <w:b/>
          <w:color w:val="auto"/>
          <w:szCs w:val="24"/>
          <w:u w:val="none"/>
        </w:rPr>
        <w:t>（7）市政公用设施用地</w:t>
      </w:r>
    </w:p>
    <w:p>
      <w:pPr>
        <w:pageBreakBefore w:val="0"/>
        <w:widowControl w:val="0"/>
        <w:tabs>
          <w:tab w:val="left" w:pos="144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市政公用设施用地面积2.34公顷。两园公用设施以依托县城和芙蓉镇公用设施为主，本规划区仅为</w:t>
      </w:r>
      <w:r>
        <w:rPr>
          <w:rFonts w:hint="default" w:ascii="Times New Roman" w:hAnsi="Times New Roman" w:eastAsia="宋体" w:cs="Times New Roman"/>
          <w:color w:val="auto"/>
          <w:u w:val="none"/>
        </w:rPr>
        <w:t>猛洞河</w:t>
      </w:r>
      <w:r>
        <w:rPr>
          <w:rFonts w:hint="default" w:ascii="Times New Roman" w:hAnsi="Times New Roman" w:eastAsia="宋体" w:cs="Times New Roman"/>
          <w:color w:val="auto"/>
          <w:u w:val="none"/>
          <w:lang w:eastAsia="zh-CN"/>
        </w:rPr>
        <w:t>产</w:t>
      </w:r>
      <w:r>
        <w:rPr>
          <w:rFonts w:hint="default" w:ascii="Times New Roman" w:hAnsi="Times New Roman" w:eastAsia="宋体" w:cs="Times New Roman"/>
          <w:color w:val="auto"/>
          <w:u w:val="none"/>
        </w:rPr>
        <w:t>业园</w:t>
      </w:r>
      <w:r>
        <w:rPr>
          <w:rFonts w:hint="default" w:ascii="Times New Roman" w:hAnsi="Times New Roman" w:eastAsia="宋体" w:cs="Times New Roman"/>
          <w:color w:val="auto"/>
          <w:szCs w:val="24"/>
          <w:u w:val="none"/>
        </w:rPr>
        <w:t>布置所需的110KV变电站、垃圾中转站、污水厂、消防站等，芙蓉镇</w:t>
      </w:r>
      <w:r>
        <w:rPr>
          <w:rFonts w:hint="default" w:ascii="Times New Roman" w:hAnsi="Times New Roman" w:eastAsia="宋体" w:cs="Times New Roman"/>
          <w:color w:val="auto"/>
          <w:szCs w:val="24"/>
          <w:u w:val="none"/>
          <w:lang w:eastAsia="zh-CN"/>
        </w:rPr>
        <w:t>产业园</w:t>
      </w:r>
      <w:r>
        <w:rPr>
          <w:rFonts w:hint="default" w:ascii="Times New Roman" w:hAnsi="Times New Roman" w:eastAsia="宋体" w:cs="Times New Roman"/>
          <w:color w:val="auto"/>
          <w:szCs w:val="24"/>
          <w:u w:val="none"/>
        </w:rPr>
        <w:t>布置芙蓉变电站、消防站、通信分局等。</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Cs w:val="24"/>
          <w:u w:val="none"/>
        </w:rPr>
      </w:pPr>
      <w:r>
        <w:rPr>
          <w:rFonts w:hint="default" w:ascii="Times New Roman" w:hAnsi="Times New Roman" w:eastAsia="宋体" w:cs="Times New Roman"/>
          <w:b/>
          <w:color w:val="auto"/>
          <w:szCs w:val="24"/>
          <w:u w:val="none"/>
        </w:rPr>
        <w:t>（8）绿地规划</w:t>
      </w:r>
    </w:p>
    <w:p>
      <w:pPr>
        <w:wordWrap w:val="0"/>
        <w:ind w:firstLine="480"/>
        <w:jc w:val="both"/>
        <w:rPr>
          <w:rFonts w:hint="default" w:ascii="Times New Roman" w:hAnsi="Times New Roman" w:cs="Times New Roman"/>
          <w:color w:val="auto"/>
          <w:szCs w:val="22"/>
          <w:u w:val="none"/>
        </w:rPr>
      </w:pPr>
      <w:r>
        <w:rPr>
          <w:rFonts w:hint="default" w:ascii="Times New Roman" w:hAnsi="Times New Roman" w:eastAsia="宋体" w:cs="Times New Roman"/>
          <w:color w:val="auto"/>
          <w:szCs w:val="24"/>
          <w:u w:val="none"/>
        </w:rPr>
        <w:t>两园区并设置部分防护绿地、城市公园及广场。规划绿地面积</w:t>
      </w:r>
      <w:r>
        <w:rPr>
          <w:rFonts w:hint="default" w:ascii="Times New Roman" w:hAnsi="Times New Roman" w:eastAsia="宋体" w:cs="Times New Roman"/>
          <w:color w:val="auto"/>
          <w:szCs w:val="24"/>
          <w:u w:val="none"/>
          <w:lang w:val="en-US" w:eastAsia="zh-CN"/>
        </w:rPr>
        <w:t>29</w:t>
      </w:r>
      <w:r>
        <w:rPr>
          <w:rFonts w:hint="default" w:ascii="Times New Roman" w:hAnsi="Times New Roman" w:eastAsia="宋体" w:cs="Times New Roman"/>
          <w:color w:val="auto"/>
          <w:szCs w:val="24"/>
          <w:u w:val="none"/>
        </w:rPr>
        <w:t>.</w:t>
      </w:r>
      <w:r>
        <w:rPr>
          <w:rFonts w:hint="default" w:ascii="Times New Roman" w:hAnsi="Times New Roman" w:eastAsia="宋体" w:cs="Times New Roman"/>
          <w:color w:val="auto"/>
          <w:szCs w:val="24"/>
          <w:u w:val="none"/>
          <w:lang w:val="en-US" w:eastAsia="zh-CN"/>
        </w:rPr>
        <w:t>53</w:t>
      </w:r>
      <w:r>
        <w:rPr>
          <w:rFonts w:hint="default" w:ascii="Times New Roman" w:hAnsi="Times New Roman" w:eastAsia="宋体" w:cs="Times New Roman"/>
          <w:color w:val="auto"/>
          <w:szCs w:val="24"/>
          <w:u w:val="none"/>
        </w:rPr>
        <w:t>公顷，其中猛洞河产业园区</w:t>
      </w:r>
      <w:r>
        <w:rPr>
          <w:rFonts w:hint="default" w:ascii="Times New Roman" w:hAnsi="Times New Roman" w:eastAsia="宋体" w:cs="Times New Roman"/>
          <w:color w:val="auto"/>
          <w:szCs w:val="24"/>
          <w:u w:val="none"/>
          <w:lang w:val="en-US" w:eastAsia="zh-CN"/>
        </w:rPr>
        <w:t>5</w:t>
      </w:r>
      <w:r>
        <w:rPr>
          <w:rFonts w:hint="default" w:ascii="Times New Roman" w:hAnsi="Times New Roman" w:eastAsia="宋体" w:cs="Times New Roman"/>
          <w:color w:val="auto"/>
          <w:szCs w:val="24"/>
          <w:u w:val="none"/>
        </w:rPr>
        <w:t>.6</w:t>
      </w:r>
      <w:r>
        <w:rPr>
          <w:rFonts w:hint="default" w:ascii="Times New Roman" w:hAnsi="Times New Roman" w:eastAsia="宋体" w:cs="Times New Roman"/>
          <w:color w:val="auto"/>
          <w:szCs w:val="24"/>
          <w:u w:val="none"/>
          <w:lang w:val="en-US" w:eastAsia="zh-CN"/>
        </w:rPr>
        <w:t>1</w:t>
      </w:r>
      <w:r>
        <w:rPr>
          <w:rFonts w:hint="default" w:ascii="Times New Roman" w:hAnsi="Times New Roman" w:eastAsia="宋体" w:cs="Times New Roman"/>
          <w:color w:val="auto"/>
          <w:szCs w:val="24"/>
          <w:u w:val="none"/>
        </w:rPr>
        <w:t>公顷。</w:t>
      </w:r>
    </w:p>
    <w:p>
      <w:pPr>
        <w:wordWrap w:val="0"/>
        <w:ind w:firstLine="480"/>
        <w:jc w:val="both"/>
        <w:rPr>
          <w:rFonts w:hint="eastAsia"/>
          <w:color w:val="auto"/>
          <w:szCs w:val="22"/>
          <w:u w:val="none"/>
        </w:rPr>
      </w:pPr>
      <w:r>
        <w:rPr>
          <w:rFonts w:hint="eastAsia"/>
          <w:color w:val="auto"/>
          <w:szCs w:val="22"/>
          <w:u w:val="none"/>
        </w:rPr>
        <w:t>根据附图</w:t>
      </w:r>
      <w:r>
        <w:rPr>
          <w:rFonts w:hint="eastAsia"/>
          <w:color w:val="auto"/>
          <w:szCs w:val="22"/>
          <w:u w:val="none"/>
          <w:lang w:val="en-US" w:eastAsia="zh-CN"/>
        </w:rPr>
        <w:t>11</w:t>
      </w:r>
      <w:r>
        <w:rPr>
          <w:rFonts w:hint="eastAsia"/>
          <w:color w:val="auto"/>
          <w:szCs w:val="22"/>
          <w:u w:val="none"/>
        </w:rPr>
        <w:t>园区土地利用规划图，本项目污水处理厂选址不在《湖南永顺经济开发区调扩区环境影响报告书》中污水处理厂规划选址处，本项目选址位于规划选址西</w:t>
      </w:r>
      <w:r>
        <w:rPr>
          <w:rFonts w:hint="eastAsia"/>
          <w:color w:val="auto"/>
          <w:szCs w:val="22"/>
          <w:u w:val="none"/>
          <w:lang w:eastAsia="zh-CN"/>
        </w:rPr>
        <w:t>北</w:t>
      </w:r>
      <w:r>
        <w:rPr>
          <w:rFonts w:hint="eastAsia"/>
          <w:color w:val="auto"/>
          <w:szCs w:val="22"/>
          <w:u w:val="none"/>
        </w:rPr>
        <w:t>侧</w:t>
      </w:r>
      <w:r>
        <w:rPr>
          <w:rFonts w:hint="eastAsia"/>
          <w:color w:val="auto"/>
          <w:szCs w:val="22"/>
          <w:u w:val="none"/>
          <w:lang w:val="en-US" w:eastAsia="zh-CN"/>
        </w:rPr>
        <w:t>1400</w:t>
      </w:r>
      <w:r>
        <w:rPr>
          <w:rFonts w:hint="eastAsia"/>
          <w:color w:val="auto"/>
          <w:szCs w:val="22"/>
          <w:u w:val="none"/>
        </w:rPr>
        <w:t>m处，根据与</w:t>
      </w:r>
      <w:r>
        <w:rPr>
          <w:rFonts w:hint="eastAsia"/>
          <w:color w:val="auto"/>
          <w:szCs w:val="22"/>
          <w:u w:val="none"/>
          <w:lang w:eastAsia="zh-CN"/>
        </w:rPr>
        <w:t>湘西猛洞河旅游生态开发区建设有限责任公司</w:t>
      </w:r>
      <w:r>
        <w:rPr>
          <w:rFonts w:hint="eastAsia"/>
          <w:color w:val="auto"/>
          <w:szCs w:val="22"/>
          <w:u w:val="none"/>
        </w:rPr>
        <w:t>协商和现场实地勘察，原规划选址位置不合适建设污水处理厂，现选址符合污水处理厂建设要求，故</w:t>
      </w:r>
      <w:r>
        <w:rPr>
          <w:rFonts w:hint="eastAsia"/>
          <w:color w:val="auto"/>
          <w:szCs w:val="22"/>
          <w:u w:val="none"/>
          <w:lang w:eastAsia="zh-CN"/>
        </w:rPr>
        <w:t>湘西猛洞河旅游生态开发区建设有限责任公司</w:t>
      </w:r>
      <w:r>
        <w:rPr>
          <w:rFonts w:hint="eastAsia"/>
          <w:color w:val="auto"/>
          <w:szCs w:val="22"/>
          <w:u w:val="none"/>
        </w:rPr>
        <w:t>后期需调整规划。</w:t>
      </w:r>
    </w:p>
    <w:p>
      <w:pPr>
        <w:pStyle w:val="76"/>
        <w:spacing w:before="163" w:after="163"/>
        <w:rPr>
          <w:rFonts w:hint="eastAsia"/>
          <w:color w:val="auto"/>
          <w:u w:val="none"/>
        </w:rPr>
      </w:pPr>
      <w:bookmarkStart w:id="227" w:name="_Toc7382"/>
      <w:r>
        <w:rPr>
          <w:rFonts w:hint="eastAsia"/>
          <w:color w:val="auto"/>
          <w:u w:val="none"/>
        </w:rPr>
        <w:t>3.3区域污染源调查</w:t>
      </w:r>
      <w:bookmarkEnd w:id="227"/>
    </w:p>
    <w:p>
      <w:pPr>
        <w:ind w:firstLine="480"/>
        <w:jc w:val="both"/>
        <w:rPr>
          <w:color w:val="auto"/>
          <w:kern w:val="0"/>
          <w:u w:val="single"/>
        </w:rPr>
      </w:pPr>
      <w:r>
        <w:rPr>
          <w:rFonts w:hint="eastAsia"/>
          <w:color w:val="auto"/>
          <w:kern w:val="0"/>
          <w:u w:val="single"/>
        </w:rPr>
        <w:t>项目选址位于</w:t>
      </w:r>
      <w:r>
        <w:rPr>
          <w:rFonts w:hint="eastAsia"/>
          <w:color w:val="auto"/>
          <w:kern w:val="0"/>
          <w:szCs w:val="21"/>
          <w:u w:val="single"/>
          <w:lang w:eastAsia="zh-CN"/>
        </w:rPr>
        <w:t>永顺经济开发区猛洞河产业园内</w:t>
      </w:r>
      <w:r>
        <w:rPr>
          <w:rFonts w:hint="eastAsia"/>
          <w:color w:val="auto"/>
          <w:kern w:val="0"/>
          <w:u w:val="single"/>
        </w:rPr>
        <w:t>，根据现场调查项目地附近为标准厂房，项目受纳河流为</w:t>
      </w:r>
      <w:r>
        <w:rPr>
          <w:rFonts w:hint="eastAsia"/>
          <w:color w:val="auto"/>
          <w:kern w:val="0"/>
          <w:u w:val="single"/>
          <w:lang w:eastAsia="zh-CN"/>
        </w:rPr>
        <w:t>猛洞河</w:t>
      </w:r>
      <w:r>
        <w:rPr>
          <w:rFonts w:hint="eastAsia"/>
          <w:color w:val="auto"/>
          <w:kern w:val="0"/>
          <w:u w:val="single"/>
        </w:rPr>
        <w:t>。</w:t>
      </w:r>
    </w:p>
    <w:p>
      <w:pPr>
        <w:ind w:firstLine="480"/>
        <w:jc w:val="both"/>
        <w:rPr>
          <w:color w:val="auto"/>
          <w:kern w:val="0"/>
          <w:u w:val="single"/>
        </w:rPr>
      </w:pPr>
      <w:r>
        <w:rPr>
          <w:rFonts w:hint="eastAsia"/>
          <w:color w:val="auto"/>
          <w:kern w:val="0"/>
          <w:u w:val="single"/>
        </w:rPr>
        <w:t>为了更好的了解</w:t>
      </w:r>
      <w:r>
        <w:rPr>
          <w:rFonts w:hint="eastAsia"/>
          <w:color w:val="auto"/>
          <w:kern w:val="0"/>
          <w:szCs w:val="21"/>
          <w:u w:val="single"/>
          <w:lang w:eastAsia="zh-CN"/>
        </w:rPr>
        <w:t>永顺经济开发区猛洞河产业园</w:t>
      </w:r>
      <w:r>
        <w:rPr>
          <w:rFonts w:hint="eastAsia"/>
          <w:color w:val="auto"/>
          <w:kern w:val="0"/>
          <w:u w:val="single"/>
        </w:rPr>
        <w:t>现入驻企业存在的环境污染情况，本环评对</w:t>
      </w:r>
      <w:r>
        <w:rPr>
          <w:rFonts w:hint="eastAsia"/>
          <w:color w:val="auto"/>
          <w:kern w:val="0"/>
          <w:u w:val="single"/>
          <w:lang w:eastAsia="zh-CN"/>
        </w:rPr>
        <w:t>猛洞河产业园</w:t>
      </w:r>
      <w:r>
        <w:rPr>
          <w:rFonts w:hint="eastAsia"/>
          <w:color w:val="auto"/>
          <w:kern w:val="0"/>
          <w:u w:val="single"/>
        </w:rPr>
        <w:t>进行调查得知，</w:t>
      </w:r>
      <w:r>
        <w:rPr>
          <w:rFonts w:hint="eastAsia" w:ascii="宋体" w:hAnsi="宋体" w:eastAsia="宋体" w:cs="宋体"/>
          <w:bCs/>
          <w:color w:val="auto"/>
          <w:kern w:val="44"/>
          <w:u w:val="single"/>
          <w:lang w:eastAsia="zh-CN"/>
        </w:rPr>
        <w:t>猛洞河产业园</w:t>
      </w:r>
      <w:r>
        <w:rPr>
          <w:rFonts w:hint="eastAsia" w:ascii="宋体" w:hAnsi="宋体" w:eastAsia="宋体" w:cs="宋体"/>
          <w:bCs/>
          <w:color w:val="auto"/>
          <w:kern w:val="44"/>
          <w:u w:val="single"/>
        </w:rPr>
        <w:t>规划产业为电子信息、特色食品加工、新型材料</w:t>
      </w:r>
      <w:r>
        <w:rPr>
          <w:rFonts w:hint="eastAsia" w:ascii="宋体" w:hAnsi="宋体" w:eastAsia="宋体" w:cs="宋体"/>
          <w:bCs/>
          <w:color w:val="auto"/>
          <w:kern w:val="44"/>
          <w:u w:val="single"/>
          <w:lang w:eastAsia="zh-CN"/>
        </w:rPr>
        <w:t>加工</w:t>
      </w:r>
      <w:r>
        <w:rPr>
          <w:rFonts w:hint="eastAsia" w:ascii="宋体" w:hAnsi="宋体" w:eastAsia="宋体" w:cs="宋体"/>
          <w:bCs/>
          <w:color w:val="auto"/>
          <w:kern w:val="44"/>
          <w:u w:val="single"/>
        </w:rPr>
        <w:t>产业为主导，配套电子商务、现代物流业</w:t>
      </w:r>
      <w:r>
        <w:rPr>
          <w:rFonts w:hint="eastAsia"/>
          <w:color w:val="auto"/>
          <w:u w:val="single"/>
        </w:rPr>
        <w:t>，</w:t>
      </w:r>
      <w:r>
        <w:rPr>
          <w:rFonts w:hint="eastAsia"/>
          <w:color w:val="auto"/>
          <w:kern w:val="0"/>
          <w:u w:val="single"/>
        </w:rPr>
        <w:t>存在的主要污染情况为企业运营废水的排放和废气的排放，根据调查，</w:t>
      </w:r>
      <w:r>
        <w:rPr>
          <w:rFonts w:hint="eastAsia"/>
          <w:color w:val="auto"/>
          <w:kern w:val="0"/>
          <w:u w:val="single"/>
          <w:lang w:eastAsia="zh-CN"/>
        </w:rPr>
        <w:t>目前永顺经济开发区猛洞河产业园内的企事业污水均</w:t>
      </w:r>
      <w:r>
        <w:rPr>
          <w:rFonts w:hint="eastAsia"/>
          <w:color w:val="auto"/>
          <w:u w:val="single"/>
          <w:lang w:eastAsia="zh-CN"/>
        </w:rPr>
        <w:t>需要接入本项目污水处理厂</w:t>
      </w:r>
      <w:r>
        <w:rPr>
          <w:rFonts w:hint="eastAsia"/>
          <w:color w:val="auto"/>
          <w:u w:val="single"/>
        </w:rPr>
        <w:t>，</w:t>
      </w:r>
      <w:r>
        <w:rPr>
          <w:rFonts w:hint="eastAsia"/>
          <w:color w:val="auto"/>
          <w:kern w:val="0"/>
          <w:u w:val="single"/>
        </w:rPr>
        <w:t>废水的排放方式为企业</w:t>
      </w:r>
      <w:r>
        <w:rPr>
          <w:rFonts w:hint="eastAsia"/>
          <w:color w:val="auto"/>
          <w:kern w:val="0"/>
          <w:u w:val="single"/>
          <w:lang w:eastAsia="zh-CN"/>
        </w:rPr>
        <w:t>化粪池预处理后再排入污水管网</w:t>
      </w:r>
      <w:r>
        <w:rPr>
          <w:rFonts w:hint="eastAsia"/>
          <w:color w:val="auto"/>
          <w:kern w:val="0"/>
          <w:u w:val="single"/>
        </w:rPr>
        <w:t>。园区企业以及其废水排放量和污水类型、主要污染物具体情况见下表。</w:t>
      </w:r>
    </w:p>
    <w:p>
      <w:pPr>
        <w:widowControl w:val="0"/>
        <w:adjustRightInd w:val="0"/>
        <w:snapToGrid w:val="0"/>
        <w:ind w:firstLine="0" w:firstLineChars="0"/>
        <w:jc w:val="center"/>
        <w:rPr>
          <w:b/>
          <w:color w:val="auto"/>
          <w:kern w:val="0"/>
          <w:sz w:val="21"/>
          <w:szCs w:val="21"/>
          <w:u w:val="single"/>
        </w:rPr>
      </w:pPr>
      <w:r>
        <w:rPr>
          <w:b/>
          <w:bCs/>
          <w:color w:val="auto"/>
          <w:kern w:val="0"/>
          <w:sz w:val="21"/>
          <w:szCs w:val="21"/>
          <w:u w:val="single"/>
        </w:rPr>
        <w:t>表</w:t>
      </w:r>
      <w:r>
        <w:rPr>
          <w:rFonts w:hint="eastAsia"/>
          <w:b/>
          <w:bCs/>
          <w:color w:val="auto"/>
          <w:kern w:val="0"/>
          <w:sz w:val="21"/>
          <w:szCs w:val="21"/>
          <w:u w:val="single"/>
          <w:lang w:val="en-US" w:eastAsia="zh-CN"/>
        </w:rPr>
        <w:t xml:space="preserve">3.3-1  </w:t>
      </w:r>
      <w:r>
        <w:rPr>
          <w:rFonts w:hint="eastAsia"/>
          <w:b/>
          <w:color w:val="auto"/>
          <w:kern w:val="0"/>
          <w:sz w:val="21"/>
          <w:szCs w:val="21"/>
          <w:u w:val="single"/>
        </w:rPr>
        <w:t>企业废水排放</w:t>
      </w:r>
      <w:r>
        <w:rPr>
          <w:b/>
          <w:color w:val="auto"/>
          <w:kern w:val="0"/>
          <w:sz w:val="21"/>
          <w:szCs w:val="21"/>
          <w:u w:val="single"/>
        </w:rPr>
        <w:t>情况</w:t>
      </w:r>
    </w:p>
    <w:tbl>
      <w:tblPr>
        <w:tblStyle w:val="36"/>
        <w:tblW w:w="505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6"/>
        <w:gridCol w:w="1485"/>
        <w:gridCol w:w="1704"/>
        <w:gridCol w:w="967"/>
        <w:gridCol w:w="1871"/>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tblHeader/>
        </w:trPr>
        <w:tc>
          <w:tcPr>
            <w:tcW w:w="307" w:type="pct"/>
            <w:noWrap w:val="0"/>
            <w:vAlign w:val="center"/>
          </w:tcPr>
          <w:p>
            <w:pPr>
              <w:pStyle w:val="113"/>
              <w:bidi w:val="0"/>
              <w:rPr>
                <w:rFonts w:hint="default" w:ascii="Times New Roman" w:hAnsi="Times New Roman" w:cs="Times New Roman"/>
                <w:color w:val="auto"/>
                <w:sz w:val="21"/>
                <w:szCs w:val="21"/>
                <w:u w:val="single"/>
              </w:rPr>
            </w:pPr>
            <w:bookmarkStart w:id="228" w:name="_Toc504135940"/>
            <w:bookmarkStart w:id="229" w:name="_Toc504124906"/>
            <w:r>
              <w:rPr>
                <w:rFonts w:hint="default" w:ascii="Times New Roman" w:hAnsi="Times New Roman" w:cs="Times New Roman"/>
                <w:color w:val="auto"/>
                <w:sz w:val="21"/>
                <w:szCs w:val="21"/>
                <w:u w:val="single"/>
              </w:rPr>
              <w:t>序号</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企业名称</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产品产量</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目前生产情况</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废水处理方式</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废水排放总量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7" w:hRule="atLeast"/>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1</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永顺县明强建材有限公司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年商品混凝土45万立方米</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生产废水回用，生活废水</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w:t>
            </w:r>
            <w:r>
              <w:rPr>
                <w:rFonts w:hint="default" w:ascii="Times New Roman" w:hAnsi="Times New Roman" w:cs="Times New Roman"/>
                <w:color w:val="auto"/>
                <w:sz w:val="21"/>
                <w:szCs w:val="21"/>
                <w:u w:val="single"/>
                <w:lang w:eastAsia="zh-CN"/>
              </w:rPr>
              <w:t>污水</w:t>
            </w:r>
            <w:r>
              <w:rPr>
                <w:rFonts w:hint="default" w:ascii="Times New Roman" w:hAnsi="Times New Roman" w:cs="Times New Roman"/>
                <w:color w:val="auto"/>
                <w:sz w:val="21"/>
                <w:szCs w:val="21"/>
                <w:u w:val="single"/>
              </w:rPr>
              <w:t>1042t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2</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永顺县泰丰建材有限责任公司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年产页岩烧结多孔砖6000万块</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生产废水回用，生活废水</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生活污水</w:t>
            </w:r>
            <w:r>
              <w:rPr>
                <w:rFonts w:hint="default" w:ascii="Times New Roman" w:hAnsi="Times New Roman" w:cs="Times New Roman"/>
                <w:color w:val="auto"/>
                <w:sz w:val="21"/>
                <w:szCs w:val="21"/>
                <w:u w:val="single"/>
              </w:rPr>
              <w:t>：600t</w:t>
            </w:r>
          </w:p>
          <w:p>
            <w:pPr>
              <w:pStyle w:val="113"/>
              <w:bidi w:val="0"/>
              <w:jc w:val="both"/>
              <w:rPr>
                <w:rFonts w:hint="default" w:ascii="Times New Roman" w:hAnsi="Times New Roman" w:cs="Times New Roman"/>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trPr>
        <w:tc>
          <w:tcPr>
            <w:tcW w:w="307"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3</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鑫新鞋业有限公司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规划年产鞋底350万双（目前暂租赁标准厂房）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1775</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4</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耒阳市亚湘电子科技有限公司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年生产网络滤波器200万只（租赁标准厂房）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验收已备案433127-2018-10</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1294</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5</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湘西山水牛郎寨农业科技开发公司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净菜产品及酱菜产品，年产2500吨（租赁标准厂房）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验收已备案433127-2018-12</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废水1798t</w:t>
            </w:r>
          </w:p>
          <w:p>
            <w:pPr>
              <w:pStyle w:val="113"/>
              <w:bidi w:val="0"/>
              <w:jc w:val="both"/>
              <w:rPr>
                <w:rFonts w:hint="default" w:ascii="Times New Roman" w:hAnsi="Times New Roman" w:cs="Times New Roman"/>
                <w:color w:val="auto"/>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6</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湘西吊角楼特色食品有限公司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腊制品、糍粑、酱腌菜等产品，年产量1950吨，年销量2090万元（租赁标准厂房）</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验收已备案433127-2018-17</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生产废水经厂内污水预处理设施预处理后外排，</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生产废水：</w:t>
            </w:r>
            <w:r>
              <w:rPr>
                <w:rFonts w:hint="default" w:ascii="Times New Roman" w:hAnsi="Times New Roman" w:cs="Times New Roman"/>
                <w:color w:val="auto"/>
                <w:sz w:val="21"/>
                <w:szCs w:val="21"/>
                <w:u w:val="single"/>
                <w:lang w:val="en-US" w:eastAsia="zh-CN"/>
              </w:rPr>
              <w:t>14430t</w:t>
            </w:r>
          </w:p>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1109</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7</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永顺楷瑞钢化玻璃有限公司</w:t>
            </w:r>
          </w:p>
        </w:tc>
        <w:tc>
          <w:tcPr>
            <w:tcW w:w="101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中空与钢化玻璃加工</w:t>
            </w:r>
          </w:p>
        </w:tc>
        <w:tc>
          <w:tcPr>
            <w:tcW w:w="574"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验收已备案433127-2018-19</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rPr>
              <w:t>磨边水过滤及离心分离净化后回用，生活污</w:t>
            </w:r>
            <w:r>
              <w:rPr>
                <w:rFonts w:hint="default" w:ascii="Times New Roman" w:hAnsi="Times New Roman" w:cs="Times New Roman"/>
                <w:color w:val="auto"/>
                <w:sz w:val="21"/>
                <w:szCs w:val="21"/>
                <w:u w:val="single"/>
                <w:lang w:eastAsia="zh-CN"/>
              </w:rPr>
              <w:t>水经</w:t>
            </w:r>
            <w:r>
              <w:rPr>
                <w:rFonts w:hint="default" w:ascii="Times New Roman" w:hAnsi="Times New Roman" w:cs="Times New Roman"/>
                <w:color w:val="auto"/>
                <w:sz w:val="21"/>
                <w:szCs w:val="21"/>
                <w:u w:val="single"/>
              </w:rPr>
              <w:t>化粪池处理后</w:t>
            </w:r>
            <w:r>
              <w:rPr>
                <w:rFonts w:hint="default" w:ascii="Times New Roman" w:hAnsi="Times New Roman" w:cs="Times New Roman"/>
                <w:color w:val="auto"/>
                <w:sz w:val="21"/>
                <w:szCs w:val="21"/>
                <w:u w:val="single"/>
                <w:lang w:eastAsia="zh-CN"/>
              </w:rPr>
              <w:t>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生活污水372t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8</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永顺县蔚蓝藤家具制造有限公司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竹制品家具制造</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生活废水经</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未建成投产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9</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永顺供销勤方科技有限公司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农产品供应</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生活废水依托园区办公楼化</w:t>
            </w:r>
            <w:r>
              <w:rPr>
                <w:rFonts w:hint="default" w:ascii="Times New Roman" w:hAnsi="Times New Roman" w:cs="Times New Roman"/>
                <w:color w:val="auto"/>
                <w:sz w:val="21"/>
                <w:szCs w:val="21"/>
                <w:u w:val="single"/>
              </w:rPr>
              <w:t>粪池处理用作农肥</w:t>
            </w:r>
          </w:p>
        </w:tc>
        <w:tc>
          <w:tcPr>
            <w:tcW w:w="1111"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185</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10</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永顺县锦鸿服装有限公司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服装加工</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eastAsia="zh-CN"/>
              </w:rPr>
              <w:t>生活废水经</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555</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11</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永顺县食佳香粮油有限责任公司</w:t>
            </w:r>
          </w:p>
        </w:tc>
        <w:tc>
          <w:tcPr>
            <w:tcW w:w="1012"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eastAsia="zh-CN"/>
              </w:rPr>
              <w:t>年产米粉</w:t>
            </w:r>
            <w:r>
              <w:rPr>
                <w:rFonts w:hint="default" w:ascii="Times New Roman" w:hAnsi="Times New Roman" w:cs="Times New Roman"/>
                <w:color w:val="auto"/>
                <w:sz w:val="21"/>
                <w:szCs w:val="21"/>
                <w:u w:val="single"/>
                <w:lang w:val="en-US" w:eastAsia="zh-CN"/>
              </w:rPr>
              <w:t>5000t</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废水回用，</w:t>
            </w:r>
            <w:r>
              <w:rPr>
                <w:rFonts w:hint="default" w:ascii="Times New Roman" w:hAnsi="Times New Roman" w:cs="Times New Roman"/>
                <w:color w:val="auto"/>
                <w:sz w:val="21"/>
                <w:szCs w:val="21"/>
                <w:u w:val="single"/>
                <w:lang w:eastAsia="zh-CN"/>
              </w:rPr>
              <w:t>生活废水经</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481</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12</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永顺县润民公司有限责任公司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面条生产</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废水回用，</w:t>
            </w:r>
            <w:r>
              <w:rPr>
                <w:rFonts w:hint="default" w:ascii="Times New Roman" w:hAnsi="Times New Roman" w:cs="Times New Roman"/>
                <w:color w:val="auto"/>
                <w:sz w:val="21"/>
                <w:szCs w:val="21"/>
                <w:u w:val="single"/>
                <w:lang w:eastAsia="zh-CN"/>
              </w:rPr>
              <w:t>生活废水经</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296</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13</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湖南晋海医药科技有限公司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医药生产</w:t>
            </w:r>
          </w:p>
        </w:tc>
        <w:tc>
          <w:tcPr>
            <w:tcW w:w="574" w:type="pct"/>
            <w:noWrap w:val="0"/>
            <w:vAlign w:val="center"/>
          </w:tcPr>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验收已备案</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废水回用，</w:t>
            </w:r>
            <w:r>
              <w:rPr>
                <w:rFonts w:hint="default" w:ascii="Times New Roman" w:hAnsi="Times New Roman" w:cs="Times New Roman"/>
                <w:color w:val="auto"/>
                <w:sz w:val="21"/>
                <w:szCs w:val="21"/>
                <w:u w:val="single"/>
                <w:lang w:eastAsia="zh-CN"/>
              </w:rPr>
              <w:t>生活废水经</w:t>
            </w:r>
            <w:r>
              <w:rPr>
                <w:rFonts w:hint="default" w:ascii="Times New Roman" w:hAnsi="Times New Roman" w:cs="Times New Roman"/>
                <w:color w:val="auto"/>
                <w:sz w:val="21"/>
                <w:szCs w:val="21"/>
                <w:u w:val="single"/>
              </w:rPr>
              <w:t>化粪池处理用作农肥</w:t>
            </w:r>
          </w:p>
        </w:tc>
        <w:tc>
          <w:tcPr>
            <w:tcW w:w="1111" w:type="pct"/>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813</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14</w:t>
            </w:r>
          </w:p>
        </w:tc>
        <w:tc>
          <w:tcPr>
            <w:tcW w:w="882" w:type="pct"/>
            <w:noWrap w:val="0"/>
            <w:vAlign w:val="center"/>
          </w:tcPr>
          <w:p>
            <w:pPr>
              <w:pStyle w:val="113"/>
              <w:bidi w:val="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湖南永顺中远实业有限责任公司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生猪屠宰加工</w:t>
            </w:r>
            <w:r>
              <w:rPr>
                <w:rFonts w:hint="default" w:ascii="Times New Roman" w:hAnsi="Times New Roman" w:cs="Times New Roman"/>
                <w:color w:val="auto"/>
                <w:sz w:val="21"/>
                <w:szCs w:val="21"/>
                <w:u w:val="single"/>
                <w:lang w:val="en-US" w:eastAsia="zh-CN"/>
              </w:rPr>
              <w:t>50万头每年</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筹建中，近期</w:t>
            </w:r>
            <w:r>
              <w:rPr>
                <w:rFonts w:hint="default" w:ascii="Times New Roman" w:hAnsi="Times New Roman" w:cs="Times New Roman"/>
                <w:color w:val="auto"/>
                <w:sz w:val="21"/>
                <w:szCs w:val="21"/>
                <w:u w:val="single"/>
                <w:lang w:val="en-US" w:eastAsia="zh-CN"/>
              </w:rPr>
              <w:t>10万头每年</w:t>
            </w:r>
          </w:p>
        </w:tc>
        <w:tc>
          <w:tcPr>
            <w:tcW w:w="1858" w:type="dxa"/>
            <w:noWrap w:val="0"/>
            <w:vAlign w:val="center"/>
          </w:tcPr>
          <w:p>
            <w:pPr>
              <w:pStyle w:val="113"/>
              <w:bidi w:val="0"/>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lang w:val="en-US" w:eastAsia="zh-CN"/>
              </w:rPr>
              <w:t>屠宰废水接入园区污水处理厂，</w:t>
            </w:r>
            <w:r>
              <w:rPr>
                <w:rFonts w:hint="default" w:ascii="Times New Roman" w:hAnsi="Times New Roman" w:cs="Times New Roman"/>
                <w:color w:val="auto"/>
                <w:sz w:val="21"/>
                <w:szCs w:val="21"/>
                <w:u w:val="single"/>
                <w:lang w:eastAsia="zh-CN"/>
              </w:rPr>
              <w:t>生活废水接园区污水管网</w:t>
            </w:r>
          </w:p>
        </w:tc>
        <w:tc>
          <w:tcPr>
            <w:tcW w:w="1859" w:type="dxa"/>
            <w:noWrap w:val="0"/>
            <w:vAlign w:val="center"/>
          </w:tcPr>
          <w:p>
            <w:pPr>
              <w:pStyle w:val="113"/>
              <w:bidi w:val="0"/>
              <w:ind w:firstLine="0" w:firstLineChars="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生产废水</w:t>
            </w:r>
            <w:r>
              <w:rPr>
                <w:rFonts w:hint="default" w:ascii="Times New Roman" w:hAnsi="Times New Roman" w:cs="Times New Roman"/>
                <w:color w:val="auto"/>
                <w:sz w:val="21"/>
                <w:szCs w:val="21"/>
                <w:u w:val="single"/>
                <w:lang w:val="en-US" w:eastAsia="zh-CN"/>
              </w:rPr>
              <w:t>48000t</w:t>
            </w:r>
          </w:p>
          <w:p>
            <w:pPr>
              <w:pStyle w:val="113"/>
              <w:bidi w:val="0"/>
              <w:ind w:firstLine="0" w:firstLineChars="0"/>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sz w:val="21"/>
                <w:szCs w:val="21"/>
                <w:u w:val="single"/>
              </w:rPr>
              <w:t>生活污水</w:t>
            </w:r>
            <w:r>
              <w:rPr>
                <w:rFonts w:hint="default" w:ascii="Times New Roman" w:hAnsi="Times New Roman" w:cs="Times New Roman"/>
                <w:color w:val="auto"/>
                <w:sz w:val="21"/>
                <w:szCs w:val="21"/>
                <w:u w:val="single"/>
                <w:lang w:val="en-US" w:eastAsia="zh-CN"/>
              </w:rPr>
              <w:t>740</w:t>
            </w:r>
            <w:r>
              <w:rPr>
                <w:rFonts w:hint="default" w:ascii="Times New Roman" w:hAnsi="Times New Roman" w:cs="Times New Roman"/>
                <w:color w:val="auto"/>
                <w:sz w:val="21"/>
                <w:szCs w:val="21"/>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15</w:t>
            </w:r>
          </w:p>
        </w:tc>
        <w:tc>
          <w:tcPr>
            <w:tcW w:w="88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兴成建材有限责任公司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年产商品混凝土20万立方米</w:t>
            </w:r>
          </w:p>
        </w:tc>
        <w:tc>
          <w:tcPr>
            <w:tcW w:w="574"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已验收</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清洗废水沉淀池、隔油池处理后回用，</w:t>
            </w:r>
          </w:p>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生活污水经化粪池处理用作农肥</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生活污水463t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16</w:t>
            </w:r>
          </w:p>
        </w:tc>
        <w:tc>
          <w:tcPr>
            <w:tcW w:w="882" w:type="pct"/>
            <w:noWrap w:val="0"/>
            <w:vAlign w:val="center"/>
          </w:tcPr>
          <w:p>
            <w:pPr>
              <w:pStyle w:val="113"/>
              <w:bidi w:val="0"/>
              <w:rPr>
                <w:rFonts w:hint="default" w:ascii="Times New Roman" w:hAnsi="Times New Roman" w:cs="Times New Roman"/>
                <w:color w:val="auto"/>
                <w:sz w:val="21"/>
                <w:szCs w:val="21"/>
                <w:u w:val="single"/>
                <w:lang w:eastAsia="zh-CN"/>
              </w:rPr>
            </w:pPr>
            <w:r>
              <w:rPr>
                <w:rFonts w:hint="default" w:ascii="Times New Roman" w:hAnsi="Times New Roman" w:cs="Times New Roman"/>
                <w:sz w:val="21"/>
                <w:szCs w:val="21"/>
                <w:lang w:val="en-US" w:eastAsia="zh-CN"/>
              </w:rPr>
              <w:t>永顺县美天报废汽车回收拆解有限责任公司</w:t>
            </w:r>
          </w:p>
        </w:tc>
        <w:tc>
          <w:tcPr>
            <w:tcW w:w="1012" w:type="pct"/>
            <w:noWrap w:val="0"/>
            <w:vAlign w:val="center"/>
          </w:tcPr>
          <w:p>
            <w:pPr>
              <w:pStyle w:val="113"/>
              <w:bidi w:val="0"/>
              <w:rPr>
                <w:rFonts w:hint="default" w:ascii="Times New Roman" w:hAnsi="Times New Roman" w:eastAsia="宋体" w:cs="Times New Roman"/>
                <w:color w:val="auto"/>
                <w:sz w:val="21"/>
                <w:szCs w:val="21"/>
                <w:u w:val="none"/>
              </w:rPr>
            </w:pPr>
            <w:r>
              <w:rPr>
                <w:rFonts w:hint="default" w:ascii="Times New Roman" w:hAnsi="Times New Roman" w:cs="Times New Roman"/>
                <w:sz w:val="21"/>
                <w:szCs w:val="21"/>
                <w:highlight w:val="none"/>
                <w:u w:val="single"/>
                <w:lang w:val="en-US" w:eastAsia="zh-CN"/>
              </w:rPr>
              <w:t>年拆解报废车辆5000台</w:t>
            </w:r>
          </w:p>
        </w:tc>
        <w:tc>
          <w:tcPr>
            <w:tcW w:w="574"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已通过环评</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生产废水定期清运，</w:t>
            </w:r>
          </w:p>
          <w:p>
            <w:pPr>
              <w:pStyle w:val="113"/>
              <w:bidi w:val="0"/>
              <w:rPr>
                <w:rFonts w:hint="default" w:ascii="Times New Roman" w:hAnsi="Times New Roman" w:cs="Times New Roman"/>
                <w:color w:val="auto"/>
                <w:sz w:val="21"/>
                <w:szCs w:val="21"/>
                <w:u w:val="single"/>
              </w:rPr>
            </w:pPr>
            <w:r>
              <w:rPr>
                <w:rFonts w:hint="default" w:ascii="Times New Roman" w:hAnsi="Times New Roman" w:eastAsia="宋体" w:cs="Times New Roman"/>
                <w:color w:val="auto"/>
                <w:sz w:val="21"/>
                <w:szCs w:val="21"/>
                <w:u w:val="single"/>
                <w:lang w:eastAsia="zh-CN"/>
              </w:rPr>
              <w:t>生活污水经化粪池处理用作农肥</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生产废水38t</w:t>
            </w:r>
          </w:p>
          <w:p>
            <w:pPr>
              <w:pStyle w:val="113"/>
              <w:bidi w:val="0"/>
              <w:rPr>
                <w:rFonts w:hint="default" w:ascii="Times New Roman" w:hAnsi="Times New Roman" w:cs="Times New Roman"/>
                <w:color w:val="auto"/>
                <w:sz w:val="21"/>
                <w:szCs w:val="21"/>
                <w:u w:val="single"/>
                <w:lang w:val="en-US"/>
              </w:rPr>
            </w:pPr>
            <w:r>
              <w:rPr>
                <w:rFonts w:hint="default" w:ascii="Times New Roman" w:hAnsi="Times New Roman" w:eastAsia="宋体" w:cs="Times New Roman"/>
                <w:color w:val="auto"/>
                <w:sz w:val="21"/>
                <w:szCs w:val="21"/>
                <w:u w:val="single"/>
                <w:lang w:eastAsia="zh-CN"/>
              </w:rPr>
              <w:t>生活污水</w:t>
            </w:r>
            <w:r>
              <w:rPr>
                <w:rFonts w:hint="default" w:ascii="Times New Roman" w:hAnsi="Times New Roman" w:eastAsia="宋体" w:cs="Times New Roman"/>
                <w:sz w:val="21"/>
                <w:szCs w:val="21"/>
                <w:u w:val="single"/>
                <w:lang w:val="en-US" w:eastAsia="zh-CN"/>
              </w:rPr>
              <w:t>1154t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17</w:t>
            </w:r>
          </w:p>
        </w:tc>
        <w:tc>
          <w:tcPr>
            <w:tcW w:w="882" w:type="pct"/>
            <w:noWrap w:val="0"/>
            <w:vAlign w:val="center"/>
          </w:tcPr>
          <w:p>
            <w:pPr>
              <w:pStyle w:val="113"/>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园区管委会</w:t>
            </w:r>
          </w:p>
        </w:tc>
        <w:tc>
          <w:tcPr>
            <w:tcW w:w="1012" w:type="pct"/>
            <w:noWrap w:val="0"/>
            <w:vAlign w:val="center"/>
          </w:tcPr>
          <w:p>
            <w:pPr>
              <w:pStyle w:val="113"/>
              <w:bidi w:val="0"/>
              <w:rPr>
                <w:rFonts w:hint="default" w:ascii="Times New Roman" w:hAnsi="Times New Roman" w:cs="Times New Roman"/>
                <w:sz w:val="21"/>
                <w:szCs w:val="21"/>
                <w:highlight w:val="none"/>
                <w:u w:val="single"/>
                <w:lang w:val="en-US" w:eastAsia="zh-CN"/>
              </w:rPr>
            </w:pPr>
            <w:r>
              <w:rPr>
                <w:rFonts w:hint="default" w:ascii="Times New Roman" w:hAnsi="Times New Roman" w:cs="Times New Roman"/>
                <w:sz w:val="21"/>
                <w:szCs w:val="21"/>
                <w:highlight w:val="none"/>
                <w:u w:val="single"/>
                <w:lang w:val="en-US" w:eastAsia="zh-CN"/>
              </w:rPr>
              <w:t>工作人员20人</w:t>
            </w:r>
          </w:p>
        </w:tc>
        <w:tc>
          <w:tcPr>
            <w:tcW w:w="574" w:type="pct"/>
            <w:noWrap w:val="0"/>
            <w:vAlign w:val="center"/>
          </w:tcPr>
          <w:p>
            <w:pPr>
              <w:pStyle w:val="113"/>
              <w:bidi w:val="0"/>
              <w:rPr>
                <w:rFonts w:hint="default" w:ascii="Times New Roman" w:hAnsi="Times New Roman" w:cs="Times New Roman"/>
                <w:color w:val="auto"/>
                <w:sz w:val="21"/>
                <w:szCs w:val="21"/>
                <w:u w:val="single"/>
                <w:lang w:val="en-US" w:eastAsia="zh-CN"/>
              </w:rPr>
            </w:pP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生活污水经化粪池处理用作农肥</w:t>
            </w: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生活污水</w:t>
            </w:r>
            <w:r>
              <w:rPr>
                <w:rFonts w:hint="default" w:ascii="Times New Roman" w:hAnsi="Times New Roman" w:eastAsia="宋体" w:cs="Times New Roman"/>
                <w:sz w:val="21"/>
                <w:szCs w:val="21"/>
                <w:u w:val="single"/>
                <w:lang w:val="en-US" w:eastAsia="zh-CN"/>
              </w:rPr>
              <w:t>740t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307" w:type="pct"/>
            <w:noWrap w:val="0"/>
            <w:vAlign w:val="center"/>
          </w:tcPr>
          <w:p>
            <w:pPr>
              <w:pStyle w:val="113"/>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合计</w:t>
            </w:r>
          </w:p>
        </w:tc>
        <w:tc>
          <w:tcPr>
            <w:tcW w:w="882" w:type="pct"/>
            <w:noWrap w:val="0"/>
            <w:vAlign w:val="center"/>
          </w:tcPr>
          <w:p>
            <w:pPr>
              <w:pStyle w:val="113"/>
              <w:bidi w:val="0"/>
              <w:rPr>
                <w:rFonts w:hint="default" w:ascii="Times New Roman" w:hAnsi="Times New Roman" w:cs="Times New Roman"/>
                <w:sz w:val="21"/>
                <w:szCs w:val="21"/>
                <w:lang w:val="en-US" w:eastAsia="zh-CN"/>
              </w:rPr>
            </w:pPr>
          </w:p>
        </w:tc>
        <w:tc>
          <w:tcPr>
            <w:tcW w:w="1012" w:type="pct"/>
            <w:noWrap w:val="0"/>
            <w:vAlign w:val="center"/>
          </w:tcPr>
          <w:p>
            <w:pPr>
              <w:pStyle w:val="113"/>
              <w:bidi w:val="0"/>
              <w:rPr>
                <w:rFonts w:hint="default" w:ascii="Times New Roman" w:hAnsi="Times New Roman" w:cs="Times New Roman"/>
                <w:sz w:val="21"/>
                <w:szCs w:val="21"/>
                <w:highlight w:val="none"/>
                <w:u w:val="single"/>
                <w:lang w:val="en-US" w:eastAsia="zh-CN"/>
              </w:rPr>
            </w:pPr>
          </w:p>
        </w:tc>
        <w:tc>
          <w:tcPr>
            <w:tcW w:w="574" w:type="pct"/>
            <w:noWrap w:val="0"/>
            <w:vAlign w:val="center"/>
          </w:tcPr>
          <w:p>
            <w:pPr>
              <w:pStyle w:val="113"/>
              <w:bidi w:val="0"/>
              <w:rPr>
                <w:rFonts w:hint="default" w:ascii="Times New Roman" w:hAnsi="Times New Roman" w:cs="Times New Roman"/>
                <w:color w:val="auto"/>
                <w:sz w:val="21"/>
                <w:szCs w:val="21"/>
                <w:u w:val="single"/>
                <w:lang w:val="en-US" w:eastAsia="zh-CN"/>
              </w:rPr>
            </w:pP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eastAsia="zh-CN"/>
              </w:rPr>
            </w:pPr>
          </w:p>
        </w:tc>
        <w:tc>
          <w:tcPr>
            <w:tcW w:w="1111" w:type="pct"/>
            <w:noWrap w:val="0"/>
            <w:vAlign w:val="center"/>
          </w:tcPr>
          <w:p>
            <w:pPr>
              <w:pStyle w:val="113"/>
              <w:bidi w:val="0"/>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75885（252.95t/d）</w:t>
            </w:r>
          </w:p>
        </w:tc>
      </w:tr>
    </w:tbl>
    <w:p>
      <w:pPr>
        <w:bidi w:val="0"/>
        <w:jc w:val="both"/>
        <w:rPr>
          <w:rFonts w:hint="eastAsia"/>
          <w:color w:val="auto"/>
          <w:u w:val="none"/>
        </w:rPr>
      </w:pPr>
      <w:r>
        <w:rPr>
          <w:rFonts w:hint="eastAsia"/>
          <w:color w:val="auto"/>
          <w:kern w:val="0"/>
          <w:szCs w:val="21"/>
          <w:u w:val="single"/>
          <w:lang w:eastAsia="zh-CN"/>
        </w:rPr>
        <w:t>永顺经济开发区猛洞河产业园暂</w:t>
      </w:r>
      <w:r>
        <w:rPr>
          <w:rFonts w:hint="eastAsia"/>
          <w:color w:val="auto"/>
          <w:u w:val="single"/>
        </w:rPr>
        <w:t>无工业污水处理厂存在，又无法接入</w:t>
      </w:r>
      <w:r>
        <w:rPr>
          <w:rFonts w:hint="eastAsia"/>
          <w:color w:val="auto"/>
          <w:u w:val="single"/>
          <w:lang w:eastAsia="zh-CN"/>
        </w:rPr>
        <w:t>永顺县</w:t>
      </w:r>
      <w:r>
        <w:rPr>
          <w:rFonts w:hint="eastAsia"/>
          <w:color w:val="auto"/>
          <w:u w:val="single"/>
        </w:rPr>
        <w:t>污水处理厂，废水排放为园区企业最大污染问题，因此，新建本项目工业污水处理厂迫在眉睫，待本项目污水处理厂投入运营后，</w:t>
      </w:r>
      <w:r>
        <w:rPr>
          <w:rFonts w:hint="eastAsia"/>
          <w:color w:val="auto"/>
          <w:u w:val="single"/>
          <w:lang w:eastAsia="zh-CN"/>
        </w:rPr>
        <w:t>猛洞河产业园内企事业污水</w:t>
      </w:r>
      <w:r>
        <w:rPr>
          <w:rFonts w:hint="eastAsia"/>
          <w:color w:val="auto"/>
          <w:kern w:val="0"/>
          <w:szCs w:val="21"/>
          <w:u w:val="single"/>
          <w:lang w:eastAsia="zh-CN"/>
        </w:rPr>
        <w:t>经</w:t>
      </w:r>
      <w:r>
        <w:rPr>
          <w:rFonts w:hint="eastAsia"/>
          <w:color w:val="auto"/>
          <w:u w:val="single"/>
        </w:rPr>
        <w:t>预处理达标满足接管要求后可接入本项目污水处理厂，处理达标后排放至</w:t>
      </w:r>
      <w:r>
        <w:rPr>
          <w:rFonts w:hint="eastAsia"/>
          <w:color w:val="auto"/>
          <w:u w:val="single"/>
          <w:lang w:eastAsia="zh-CN"/>
        </w:rPr>
        <w:t>猛洞河</w:t>
      </w:r>
      <w:r>
        <w:rPr>
          <w:rFonts w:hint="eastAsia"/>
          <w:color w:val="auto"/>
          <w:u w:val="single"/>
        </w:rPr>
        <w:t>，将会大大减低区域水污染情况，也会减少企业建设运营成本。</w:t>
      </w:r>
      <w:bookmarkEnd w:id="228"/>
      <w:bookmarkEnd w:id="229"/>
      <w:r>
        <w:rPr>
          <w:rFonts w:hint="eastAsia"/>
          <w:color w:val="auto"/>
          <w:u w:val="single"/>
        </w:rPr>
        <w:t>本环评要求以后入驻园区企业必须符合园区规划（</w:t>
      </w:r>
      <w:r>
        <w:rPr>
          <w:rFonts w:hint="eastAsia" w:ascii="宋体" w:hAnsi="宋体" w:eastAsia="宋体" w:cs="宋体"/>
          <w:bCs/>
          <w:color w:val="auto"/>
          <w:kern w:val="44"/>
          <w:u w:val="single"/>
        </w:rPr>
        <w:t>电子信息、特色食品加工、新型材料</w:t>
      </w:r>
      <w:r>
        <w:rPr>
          <w:rFonts w:hint="eastAsia" w:ascii="宋体" w:hAnsi="宋体" w:eastAsia="宋体" w:cs="宋体"/>
          <w:bCs/>
          <w:color w:val="auto"/>
          <w:kern w:val="44"/>
          <w:u w:val="single"/>
          <w:lang w:eastAsia="zh-CN"/>
        </w:rPr>
        <w:t>加工</w:t>
      </w:r>
      <w:r>
        <w:rPr>
          <w:rFonts w:hint="eastAsia" w:ascii="宋体" w:hAnsi="宋体" w:eastAsia="宋体" w:cs="宋体"/>
          <w:bCs/>
          <w:color w:val="auto"/>
          <w:kern w:val="44"/>
          <w:u w:val="single"/>
        </w:rPr>
        <w:t>产业为主导，配套电子商务、现代物流业</w:t>
      </w:r>
      <w:r>
        <w:rPr>
          <w:rFonts w:hint="eastAsia"/>
          <w:color w:val="auto"/>
          <w:u w:val="single"/>
        </w:rPr>
        <w:t>）</w:t>
      </w:r>
      <w:r>
        <w:rPr>
          <w:rFonts w:hint="eastAsia"/>
          <w:color w:val="auto"/>
          <w:szCs w:val="22"/>
          <w:u w:val="single"/>
        </w:rPr>
        <w:t>，禁止引入不符合园区规划的其他类型企业。</w:t>
      </w:r>
    </w:p>
    <w:p>
      <w:pPr>
        <w:pStyle w:val="76"/>
        <w:keepLines/>
        <w:widowControl w:val="0"/>
        <w:spacing w:before="163" w:after="163"/>
        <w:rPr>
          <w:rFonts w:hint="eastAsia"/>
          <w:color w:val="auto"/>
          <w:u w:val="none"/>
        </w:rPr>
      </w:pPr>
      <w:bookmarkStart w:id="230" w:name="_Toc14593"/>
      <w:r>
        <w:rPr>
          <w:rFonts w:hint="eastAsia"/>
          <w:color w:val="auto"/>
          <w:u w:val="none"/>
        </w:rPr>
        <w:t>3.4环境质量现状调查与评价</w:t>
      </w:r>
      <w:bookmarkEnd w:id="230"/>
    </w:p>
    <w:p>
      <w:pPr>
        <w:pStyle w:val="6"/>
        <w:bidi w:val="0"/>
      </w:pPr>
      <w:bookmarkStart w:id="231" w:name="_Hlk43193786"/>
      <w:r>
        <w:rPr>
          <w:rFonts w:hint="eastAsia"/>
        </w:rPr>
        <w:t>3.4.1环境空气质量</w:t>
      </w:r>
    </w:p>
    <w:p>
      <w:pPr>
        <w:pStyle w:val="69"/>
        <w:rPr>
          <w:rFonts w:hint="eastAsia"/>
          <w:color w:val="auto"/>
          <w:u w:val="none"/>
        </w:rPr>
      </w:pPr>
      <w:r>
        <w:rPr>
          <w:rFonts w:hint="eastAsia"/>
          <w:color w:val="auto"/>
          <w:u w:val="none"/>
        </w:rPr>
        <w:t>3.4.1.1区域大气达标分析</w:t>
      </w:r>
    </w:p>
    <w:p>
      <w:pPr>
        <w:wordWrap w:val="0"/>
        <w:ind w:firstLine="480"/>
        <w:jc w:val="both"/>
        <w:rPr>
          <w:rFonts w:hAnsi="宋体"/>
          <w:color w:val="auto"/>
          <w:szCs w:val="22"/>
          <w:u w:val="none"/>
        </w:rPr>
      </w:pPr>
      <w:r>
        <w:rPr>
          <w:rFonts w:hint="eastAsia" w:hAnsi="宋体"/>
          <w:color w:val="auto"/>
          <w:szCs w:val="22"/>
          <w:u w:val="none"/>
        </w:rPr>
        <w:t>根据统计湘西州生态环境检测中心公布的</w:t>
      </w:r>
      <w:r>
        <w:rPr>
          <w:rFonts w:hint="eastAsia" w:hAnsi="宋体"/>
          <w:color w:val="auto"/>
          <w:szCs w:val="22"/>
          <w:u w:val="none"/>
          <w:lang w:val="en-US" w:eastAsia="zh-CN"/>
        </w:rPr>
        <w:t>2021</w:t>
      </w:r>
      <w:r>
        <w:rPr>
          <w:rFonts w:hint="eastAsia" w:hAnsi="宋体"/>
          <w:color w:val="auto"/>
          <w:szCs w:val="22"/>
          <w:u w:val="none"/>
        </w:rPr>
        <w:t>年</w:t>
      </w:r>
      <w:r>
        <w:rPr>
          <w:rFonts w:hAnsi="宋体"/>
          <w:color w:val="auto"/>
          <w:szCs w:val="22"/>
          <w:u w:val="none"/>
        </w:rPr>
        <w:t>1</w:t>
      </w:r>
      <w:r>
        <w:rPr>
          <w:rFonts w:hint="eastAsia" w:hAnsi="宋体"/>
          <w:color w:val="auto"/>
          <w:szCs w:val="22"/>
          <w:u w:val="none"/>
          <w:lang w:val="en-US" w:eastAsia="zh-CN"/>
        </w:rPr>
        <w:t>-</w:t>
      </w:r>
      <w:r>
        <w:rPr>
          <w:rFonts w:hAnsi="宋体"/>
          <w:color w:val="auto"/>
          <w:szCs w:val="22"/>
          <w:u w:val="none"/>
        </w:rPr>
        <w:t>12</w:t>
      </w:r>
      <w:r>
        <w:rPr>
          <w:rFonts w:hint="eastAsia" w:hAnsi="宋体"/>
          <w:color w:val="auto"/>
          <w:szCs w:val="22"/>
          <w:u w:val="none"/>
        </w:rPr>
        <w:t>月的湘西州</w:t>
      </w:r>
      <w:r>
        <w:rPr>
          <w:rFonts w:hint="eastAsia" w:hAnsi="宋体"/>
          <w:color w:val="auto"/>
          <w:szCs w:val="22"/>
          <w:u w:val="none"/>
          <w:lang w:eastAsia="zh-CN"/>
        </w:rPr>
        <w:t>县市所在城市环境</w:t>
      </w:r>
      <w:r>
        <w:rPr>
          <w:rFonts w:hint="eastAsia" w:hAnsi="宋体"/>
          <w:color w:val="auto"/>
          <w:szCs w:val="22"/>
          <w:u w:val="none"/>
        </w:rPr>
        <w:t>空气</w:t>
      </w:r>
      <w:r>
        <w:rPr>
          <w:rFonts w:hint="eastAsia" w:hAnsi="宋体"/>
          <w:color w:val="auto"/>
          <w:szCs w:val="22"/>
          <w:u w:val="none"/>
          <w:lang w:eastAsia="zh-CN"/>
        </w:rPr>
        <w:t>污染物浓度</w:t>
      </w:r>
      <w:r>
        <w:rPr>
          <w:rFonts w:hint="eastAsia" w:hAnsi="宋体"/>
          <w:color w:val="auto"/>
          <w:szCs w:val="22"/>
          <w:u w:val="none"/>
        </w:rPr>
        <w:t>的数据，</w:t>
      </w:r>
      <w:r>
        <w:rPr>
          <w:rFonts w:hint="eastAsia" w:hAnsi="宋体"/>
          <w:color w:val="auto"/>
          <w:szCs w:val="22"/>
          <w:u w:val="none"/>
          <w:lang w:eastAsia="zh-CN"/>
        </w:rPr>
        <w:t>永顺县</w:t>
      </w:r>
      <w:r>
        <w:rPr>
          <w:rFonts w:hint="eastAsia" w:hAnsi="宋体"/>
          <w:color w:val="auto"/>
          <w:szCs w:val="22"/>
          <w:u w:val="none"/>
          <w:lang w:val="en-US" w:eastAsia="zh-CN"/>
        </w:rPr>
        <w:t>2021</w:t>
      </w:r>
      <w:r>
        <w:rPr>
          <w:rFonts w:hint="eastAsia" w:hAnsi="宋体"/>
          <w:color w:val="auto"/>
          <w:szCs w:val="22"/>
          <w:u w:val="none"/>
        </w:rPr>
        <w:t>年</w:t>
      </w:r>
      <w:r>
        <w:rPr>
          <w:rFonts w:hAnsi="宋体"/>
          <w:color w:val="auto"/>
          <w:szCs w:val="22"/>
          <w:u w:val="none"/>
        </w:rPr>
        <w:t>1</w:t>
      </w:r>
      <w:r>
        <w:rPr>
          <w:rFonts w:hint="eastAsia" w:hAnsi="宋体"/>
          <w:color w:val="auto"/>
          <w:szCs w:val="22"/>
          <w:u w:val="none"/>
          <w:lang w:val="en-US" w:eastAsia="zh-CN"/>
        </w:rPr>
        <w:t>-</w:t>
      </w:r>
      <w:r>
        <w:rPr>
          <w:rFonts w:hAnsi="宋体"/>
          <w:color w:val="auto"/>
          <w:szCs w:val="22"/>
          <w:u w:val="none"/>
        </w:rPr>
        <w:t>12</w:t>
      </w:r>
      <w:r>
        <w:rPr>
          <w:rFonts w:hint="eastAsia" w:hAnsi="宋体"/>
          <w:color w:val="auto"/>
          <w:szCs w:val="22"/>
          <w:u w:val="none"/>
        </w:rPr>
        <w:t>月环境空气质量状况见下表。</w:t>
      </w:r>
    </w:p>
    <w:p>
      <w:pPr>
        <w:wordWrap w:val="0"/>
        <w:snapToGrid w:val="0"/>
        <w:spacing w:before="163" w:beforeLines="50"/>
        <w:ind w:firstLine="0" w:firstLineChars="0"/>
        <w:jc w:val="center"/>
        <w:rPr>
          <w:b/>
          <w:color w:val="auto"/>
          <w:kern w:val="0"/>
          <w:sz w:val="21"/>
          <w:szCs w:val="21"/>
          <w:u w:val="none"/>
        </w:rPr>
      </w:pPr>
      <w:r>
        <w:rPr>
          <w:b/>
          <w:color w:val="auto"/>
          <w:kern w:val="0"/>
          <w:sz w:val="21"/>
          <w:szCs w:val="21"/>
          <w:u w:val="none"/>
        </w:rPr>
        <w:t>表</w:t>
      </w:r>
      <w:r>
        <w:rPr>
          <w:rFonts w:hint="eastAsia"/>
          <w:b/>
          <w:color w:val="auto"/>
          <w:kern w:val="0"/>
          <w:sz w:val="21"/>
          <w:szCs w:val="21"/>
          <w:u w:val="none"/>
        </w:rPr>
        <w:t>3.4</w:t>
      </w:r>
      <w:r>
        <w:rPr>
          <w:b/>
          <w:color w:val="auto"/>
          <w:kern w:val="0"/>
          <w:sz w:val="21"/>
          <w:szCs w:val="21"/>
          <w:u w:val="none"/>
        </w:rPr>
        <w:t>-1</w:t>
      </w:r>
      <w:r>
        <w:rPr>
          <w:rFonts w:hint="eastAsia"/>
          <w:b/>
          <w:color w:val="auto"/>
          <w:kern w:val="0"/>
          <w:sz w:val="21"/>
          <w:szCs w:val="21"/>
          <w:u w:val="none"/>
        </w:rPr>
        <w:t xml:space="preserve"> </w:t>
      </w:r>
      <w:r>
        <w:rPr>
          <w:b/>
          <w:color w:val="auto"/>
          <w:kern w:val="0"/>
          <w:sz w:val="21"/>
          <w:szCs w:val="21"/>
          <w:u w:val="none"/>
        </w:rPr>
        <w:t xml:space="preserve"> </w:t>
      </w:r>
      <w:r>
        <w:rPr>
          <w:rFonts w:hint="eastAsia"/>
          <w:b/>
          <w:color w:val="auto"/>
          <w:kern w:val="0"/>
          <w:sz w:val="21"/>
          <w:szCs w:val="21"/>
          <w:u w:val="none"/>
          <w:lang w:eastAsia="zh-CN"/>
        </w:rPr>
        <w:t>永顺县</w:t>
      </w:r>
      <w:r>
        <w:rPr>
          <w:rFonts w:hint="eastAsia"/>
          <w:b/>
          <w:color w:val="auto"/>
          <w:kern w:val="0"/>
          <w:sz w:val="21"/>
          <w:szCs w:val="21"/>
          <w:u w:val="none"/>
          <w:lang w:val="en-US" w:eastAsia="zh-CN"/>
        </w:rPr>
        <w:t>2021</w:t>
      </w:r>
      <w:r>
        <w:rPr>
          <w:b/>
          <w:color w:val="auto"/>
          <w:kern w:val="0"/>
          <w:sz w:val="21"/>
          <w:szCs w:val="21"/>
          <w:u w:val="none"/>
        </w:rPr>
        <w:t>年环境空气质量一览表  （单位：ug/m</w:t>
      </w:r>
      <w:r>
        <w:rPr>
          <w:b/>
          <w:color w:val="auto"/>
          <w:kern w:val="0"/>
          <w:sz w:val="21"/>
          <w:szCs w:val="21"/>
          <w:u w:val="none"/>
          <w:vertAlign w:val="superscript"/>
        </w:rPr>
        <w:t>3</w:t>
      </w:r>
      <w:r>
        <w:rPr>
          <w:b/>
          <w:color w:val="auto"/>
          <w:kern w:val="0"/>
          <w:sz w:val="21"/>
          <w:szCs w:val="21"/>
          <w:u w:val="none"/>
        </w:rPr>
        <w:t>）</w:t>
      </w:r>
    </w:p>
    <w:tbl>
      <w:tblPr>
        <w:tblStyle w:val="36"/>
        <w:tblW w:w="7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08"/>
        <w:gridCol w:w="514"/>
        <w:gridCol w:w="489"/>
        <w:gridCol w:w="782"/>
        <w:gridCol w:w="501"/>
        <w:gridCol w:w="532"/>
        <w:gridCol w:w="532"/>
        <w:gridCol w:w="832"/>
        <w:gridCol w:w="462"/>
        <w:gridCol w:w="488"/>
        <w:gridCol w:w="489"/>
        <w:gridCol w:w="567"/>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jc w:val="center"/>
        </w:trPr>
        <w:tc>
          <w:tcPr>
            <w:tcW w:w="1108" w:type="dxa"/>
            <w:vMerge w:val="restart"/>
            <w:noWrap w:val="0"/>
            <w:vAlign w:val="center"/>
          </w:tcPr>
          <w:p>
            <w:pPr>
              <w:pStyle w:val="113"/>
              <w:bidi w:val="0"/>
              <w:rPr>
                <w:color w:val="auto"/>
              </w:rPr>
            </w:pPr>
            <w:r>
              <w:rPr>
                <w:color w:val="auto"/>
              </w:rPr>
              <w:t>城市</w:t>
            </w:r>
          </w:p>
        </w:tc>
        <w:tc>
          <w:tcPr>
            <w:tcW w:w="2286" w:type="dxa"/>
            <w:gridSpan w:val="4"/>
            <w:noWrap w:val="0"/>
            <w:vAlign w:val="center"/>
          </w:tcPr>
          <w:p>
            <w:pPr>
              <w:pStyle w:val="113"/>
              <w:bidi w:val="0"/>
              <w:rPr>
                <w:color w:val="auto"/>
              </w:rPr>
            </w:pPr>
            <w:r>
              <w:rPr>
                <w:color w:val="auto"/>
              </w:rPr>
              <w:t>PM2.5(µg/m</w:t>
            </w:r>
            <w:r>
              <w:rPr>
                <w:color w:val="auto"/>
                <w:vertAlign w:val="superscript"/>
              </w:rPr>
              <w:t>3</w:t>
            </w:r>
            <w:r>
              <w:rPr>
                <w:color w:val="auto"/>
              </w:rPr>
              <w:t>)</w:t>
            </w:r>
          </w:p>
        </w:tc>
        <w:tc>
          <w:tcPr>
            <w:tcW w:w="2358" w:type="dxa"/>
            <w:gridSpan w:val="4"/>
            <w:noWrap w:val="0"/>
            <w:vAlign w:val="center"/>
          </w:tcPr>
          <w:p>
            <w:pPr>
              <w:pStyle w:val="113"/>
              <w:bidi w:val="0"/>
              <w:rPr>
                <w:color w:val="auto"/>
              </w:rPr>
            </w:pPr>
            <w:r>
              <w:rPr>
                <w:color w:val="auto"/>
              </w:rPr>
              <w:t>PM10(µg/m</w:t>
            </w:r>
            <w:r>
              <w:rPr>
                <w:color w:val="auto"/>
                <w:vertAlign w:val="superscript"/>
              </w:rPr>
              <w:t>3</w:t>
            </w:r>
            <w:r>
              <w:rPr>
                <w:color w:val="auto"/>
              </w:rPr>
              <w:t>)</w:t>
            </w:r>
          </w:p>
        </w:tc>
        <w:tc>
          <w:tcPr>
            <w:tcW w:w="488" w:type="dxa"/>
            <w:vMerge w:val="restart"/>
            <w:noWrap w:val="0"/>
            <w:vAlign w:val="center"/>
          </w:tcPr>
          <w:p>
            <w:pPr>
              <w:pStyle w:val="113"/>
              <w:bidi w:val="0"/>
              <w:rPr>
                <w:color w:val="auto"/>
              </w:rPr>
            </w:pPr>
            <w:r>
              <w:rPr>
                <w:color w:val="auto"/>
              </w:rPr>
              <w:t>SO</w:t>
            </w:r>
            <w:r>
              <w:rPr>
                <w:color w:val="auto"/>
                <w:vertAlign w:val="subscript"/>
              </w:rPr>
              <w:t>2</w:t>
            </w:r>
          </w:p>
          <w:p>
            <w:pPr>
              <w:pStyle w:val="113"/>
              <w:bidi w:val="0"/>
              <w:rPr>
                <w:color w:val="auto"/>
              </w:rPr>
            </w:pPr>
            <w:r>
              <w:rPr>
                <w:color w:val="auto"/>
              </w:rPr>
              <w:t>(µg/m3)</w:t>
            </w:r>
          </w:p>
        </w:tc>
        <w:tc>
          <w:tcPr>
            <w:tcW w:w="489" w:type="dxa"/>
            <w:vMerge w:val="restart"/>
            <w:noWrap w:val="0"/>
            <w:vAlign w:val="center"/>
          </w:tcPr>
          <w:p>
            <w:pPr>
              <w:pStyle w:val="113"/>
              <w:bidi w:val="0"/>
              <w:rPr>
                <w:color w:val="auto"/>
              </w:rPr>
            </w:pPr>
            <w:r>
              <w:rPr>
                <w:color w:val="auto"/>
              </w:rPr>
              <w:t>NO</w:t>
            </w:r>
            <w:r>
              <w:rPr>
                <w:color w:val="auto"/>
                <w:vertAlign w:val="subscript"/>
              </w:rPr>
              <w:t>2</w:t>
            </w:r>
          </w:p>
          <w:p>
            <w:pPr>
              <w:pStyle w:val="113"/>
              <w:bidi w:val="0"/>
              <w:rPr>
                <w:color w:val="auto"/>
              </w:rPr>
            </w:pPr>
            <w:r>
              <w:rPr>
                <w:color w:val="auto"/>
              </w:rPr>
              <w:t>(µg/m3)</w:t>
            </w:r>
          </w:p>
        </w:tc>
        <w:tc>
          <w:tcPr>
            <w:tcW w:w="567" w:type="dxa"/>
            <w:vMerge w:val="restart"/>
            <w:noWrap w:val="0"/>
            <w:vAlign w:val="center"/>
          </w:tcPr>
          <w:p>
            <w:pPr>
              <w:pStyle w:val="113"/>
              <w:bidi w:val="0"/>
              <w:rPr>
                <w:color w:val="auto"/>
              </w:rPr>
            </w:pPr>
            <w:r>
              <w:rPr>
                <w:color w:val="auto"/>
              </w:rPr>
              <w:t>CO</w:t>
            </w:r>
          </w:p>
          <w:p>
            <w:pPr>
              <w:pStyle w:val="113"/>
              <w:bidi w:val="0"/>
              <w:rPr>
                <w:color w:val="auto"/>
              </w:rPr>
            </w:pPr>
            <w:r>
              <w:rPr>
                <w:color w:val="auto"/>
              </w:rPr>
              <w:t>(mg/m3)</w:t>
            </w:r>
          </w:p>
        </w:tc>
        <w:tc>
          <w:tcPr>
            <w:tcW w:w="699" w:type="dxa"/>
            <w:vMerge w:val="restart"/>
            <w:noWrap w:val="0"/>
            <w:vAlign w:val="center"/>
          </w:tcPr>
          <w:p>
            <w:pPr>
              <w:pStyle w:val="113"/>
              <w:bidi w:val="0"/>
              <w:rPr>
                <w:color w:val="auto"/>
              </w:rPr>
            </w:pPr>
            <w:r>
              <w:rPr>
                <w:color w:val="auto"/>
              </w:rPr>
              <w:t>O</w:t>
            </w:r>
            <w:r>
              <w:rPr>
                <w:color w:val="auto"/>
                <w:vertAlign w:val="subscript"/>
              </w:rPr>
              <w:t>3</w:t>
            </w:r>
          </w:p>
          <w:p>
            <w:pPr>
              <w:pStyle w:val="113"/>
              <w:bidi w:val="0"/>
              <w:rPr>
                <w:color w:val="auto"/>
              </w:rPr>
            </w:pPr>
            <w:r>
              <w:rPr>
                <w:color w:val="auto"/>
              </w:rPr>
              <w:t>(µg/m3)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6" w:hRule="atLeast"/>
          <w:jc w:val="center"/>
        </w:trPr>
        <w:tc>
          <w:tcPr>
            <w:tcW w:w="1108" w:type="dxa"/>
            <w:vMerge w:val="continue"/>
            <w:noWrap w:val="0"/>
            <w:vAlign w:val="center"/>
          </w:tcPr>
          <w:p>
            <w:pPr>
              <w:pStyle w:val="113"/>
              <w:bidi w:val="0"/>
              <w:rPr>
                <w:color w:val="auto"/>
              </w:rPr>
            </w:pPr>
          </w:p>
        </w:tc>
        <w:tc>
          <w:tcPr>
            <w:tcW w:w="514" w:type="dxa"/>
            <w:noWrap w:val="0"/>
            <w:vAlign w:val="center"/>
          </w:tcPr>
          <w:p>
            <w:pPr>
              <w:pStyle w:val="113"/>
              <w:bidi w:val="0"/>
              <w:rPr>
                <w:color w:val="auto"/>
              </w:rPr>
            </w:pPr>
            <w:r>
              <w:rPr>
                <w:color w:val="auto"/>
              </w:rPr>
              <w:t>20</w:t>
            </w:r>
            <w:r>
              <w:rPr>
                <w:rFonts w:hint="eastAsia"/>
                <w:color w:val="auto"/>
              </w:rPr>
              <w:t>21</w:t>
            </w:r>
            <w:r>
              <w:rPr>
                <w:color w:val="auto"/>
              </w:rPr>
              <w:t>年</w:t>
            </w:r>
          </w:p>
          <w:p>
            <w:pPr>
              <w:pStyle w:val="113"/>
              <w:bidi w:val="0"/>
              <w:rPr>
                <w:color w:val="auto"/>
              </w:rPr>
            </w:pPr>
            <w:r>
              <w:rPr>
                <w:color w:val="auto"/>
              </w:rPr>
              <w:t>1-12月</w:t>
            </w:r>
          </w:p>
        </w:tc>
        <w:tc>
          <w:tcPr>
            <w:tcW w:w="489" w:type="dxa"/>
            <w:noWrap w:val="0"/>
            <w:vAlign w:val="center"/>
          </w:tcPr>
          <w:p>
            <w:pPr>
              <w:pStyle w:val="113"/>
              <w:bidi w:val="0"/>
              <w:rPr>
                <w:color w:val="auto"/>
              </w:rPr>
            </w:pPr>
            <w:r>
              <w:rPr>
                <w:color w:val="auto"/>
              </w:rPr>
              <w:t>20</w:t>
            </w:r>
            <w:r>
              <w:rPr>
                <w:rFonts w:hint="eastAsia"/>
                <w:color w:val="auto"/>
              </w:rPr>
              <w:t>20</w:t>
            </w:r>
            <w:r>
              <w:rPr>
                <w:color w:val="auto"/>
              </w:rPr>
              <w:t>年</w:t>
            </w:r>
          </w:p>
          <w:p>
            <w:pPr>
              <w:pStyle w:val="113"/>
              <w:bidi w:val="0"/>
              <w:rPr>
                <w:color w:val="auto"/>
              </w:rPr>
            </w:pPr>
            <w:r>
              <w:rPr>
                <w:color w:val="auto"/>
              </w:rPr>
              <w:t>1-12月</w:t>
            </w:r>
          </w:p>
        </w:tc>
        <w:tc>
          <w:tcPr>
            <w:tcW w:w="782" w:type="dxa"/>
            <w:noWrap w:val="0"/>
            <w:vAlign w:val="center"/>
          </w:tcPr>
          <w:p>
            <w:pPr>
              <w:pStyle w:val="113"/>
              <w:bidi w:val="0"/>
              <w:rPr>
                <w:color w:val="auto"/>
              </w:rPr>
            </w:pPr>
            <w:r>
              <w:rPr>
                <w:color w:val="auto"/>
              </w:rPr>
              <w:t>同期变化幅度(%)</w:t>
            </w:r>
          </w:p>
        </w:tc>
        <w:tc>
          <w:tcPr>
            <w:tcW w:w="501" w:type="dxa"/>
            <w:noWrap w:val="0"/>
            <w:vAlign w:val="center"/>
          </w:tcPr>
          <w:p>
            <w:pPr>
              <w:pStyle w:val="113"/>
              <w:bidi w:val="0"/>
              <w:rPr>
                <w:color w:val="auto"/>
              </w:rPr>
            </w:pPr>
            <w:r>
              <w:rPr>
                <w:color w:val="auto"/>
              </w:rPr>
              <w:t>年度基本目标</w:t>
            </w:r>
          </w:p>
        </w:tc>
        <w:tc>
          <w:tcPr>
            <w:tcW w:w="532" w:type="dxa"/>
            <w:noWrap w:val="0"/>
            <w:vAlign w:val="center"/>
          </w:tcPr>
          <w:p>
            <w:pPr>
              <w:pStyle w:val="113"/>
              <w:bidi w:val="0"/>
              <w:rPr>
                <w:color w:val="auto"/>
              </w:rPr>
            </w:pPr>
            <w:r>
              <w:rPr>
                <w:color w:val="auto"/>
              </w:rPr>
              <w:t>20</w:t>
            </w:r>
            <w:r>
              <w:rPr>
                <w:rFonts w:hint="eastAsia"/>
                <w:color w:val="auto"/>
              </w:rPr>
              <w:t>21</w:t>
            </w:r>
            <w:r>
              <w:rPr>
                <w:color w:val="auto"/>
              </w:rPr>
              <w:t>年</w:t>
            </w:r>
          </w:p>
          <w:p>
            <w:pPr>
              <w:pStyle w:val="113"/>
              <w:bidi w:val="0"/>
              <w:rPr>
                <w:color w:val="auto"/>
              </w:rPr>
            </w:pPr>
            <w:r>
              <w:rPr>
                <w:color w:val="auto"/>
              </w:rPr>
              <w:t>1-12月</w:t>
            </w:r>
          </w:p>
        </w:tc>
        <w:tc>
          <w:tcPr>
            <w:tcW w:w="532" w:type="dxa"/>
            <w:noWrap w:val="0"/>
            <w:vAlign w:val="center"/>
          </w:tcPr>
          <w:p>
            <w:pPr>
              <w:pStyle w:val="113"/>
              <w:bidi w:val="0"/>
              <w:rPr>
                <w:color w:val="auto"/>
              </w:rPr>
            </w:pPr>
            <w:r>
              <w:rPr>
                <w:color w:val="auto"/>
              </w:rPr>
              <w:t>20</w:t>
            </w:r>
            <w:r>
              <w:rPr>
                <w:rFonts w:hint="eastAsia"/>
                <w:color w:val="auto"/>
              </w:rPr>
              <w:t>20</w:t>
            </w:r>
            <w:r>
              <w:rPr>
                <w:color w:val="auto"/>
              </w:rPr>
              <w:t>年</w:t>
            </w:r>
          </w:p>
          <w:p>
            <w:pPr>
              <w:pStyle w:val="113"/>
              <w:bidi w:val="0"/>
              <w:rPr>
                <w:color w:val="auto"/>
              </w:rPr>
            </w:pPr>
            <w:r>
              <w:rPr>
                <w:color w:val="auto"/>
              </w:rPr>
              <w:t>1-12月</w:t>
            </w:r>
          </w:p>
        </w:tc>
        <w:tc>
          <w:tcPr>
            <w:tcW w:w="832" w:type="dxa"/>
            <w:noWrap w:val="0"/>
            <w:vAlign w:val="center"/>
          </w:tcPr>
          <w:p>
            <w:pPr>
              <w:pStyle w:val="113"/>
              <w:bidi w:val="0"/>
              <w:rPr>
                <w:color w:val="auto"/>
              </w:rPr>
            </w:pPr>
            <w:r>
              <w:rPr>
                <w:color w:val="auto"/>
              </w:rPr>
              <w:t>同期变化幅度(%)</w:t>
            </w:r>
          </w:p>
        </w:tc>
        <w:tc>
          <w:tcPr>
            <w:tcW w:w="462" w:type="dxa"/>
            <w:noWrap w:val="0"/>
            <w:vAlign w:val="center"/>
          </w:tcPr>
          <w:p>
            <w:pPr>
              <w:pStyle w:val="113"/>
              <w:bidi w:val="0"/>
              <w:rPr>
                <w:color w:val="auto"/>
              </w:rPr>
            </w:pPr>
            <w:r>
              <w:rPr>
                <w:color w:val="auto"/>
              </w:rPr>
              <w:t>年度基</w:t>
            </w:r>
          </w:p>
          <w:p>
            <w:pPr>
              <w:pStyle w:val="113"/>
              <w:bidi w:val="0"/>
              <w:rPr>
                <w:color w:val="auto"/>
              </w:rPr>
            </w:pPr>
            <w:r>
              <w:rPr>
                <w:color w:val="auto"/>
              </w:rPr>
              <w:t>本目</w:t>
            </w:r>
          </w:p>
        </w:tc>
        <w:tc>
          <w:tcPr>
            <w:tcW w:w="488" w:type="dxa"/>
            <w:vMerge w:val="continue"/>
            <w:noWrap w:val="0"/>
            <w:vAlign w:val="center"/>
          </w:tcPr>
          <w:p>
            <w:pPr>
              <w:pStyle w:val="113"/>
              <w:bidi w:val="0"/>
              <w:rPr>
                <w:color w:val="auto"/>
              </w:rPr>
            </w:pPr>
          </w:p>
        </w:tc>
        <w:tc>
          <w:tcPr>
            <w:tcW w:w="489" w:type="dxa"/>
            <w:vMerge w:val="continue"/>
            <w:noWrap w:val="0"/>
            <w:vAlign w:val="center"/>
          </w:tcPr>
          <w:p>
            <w:pPr>
              <w:pStyle w:val="113"/>
              <w:bidi w:val="0"/>
              <w:rPr>
                <w:color w:val="auto"/>
              </w:rPr>
            </w:pPr>
          </w:p>
        </w:tc>
        <w:tc>
          <w:tcPr>
            <w:tcW w:w="567" w:type="dxa"/>
            <w:vMerge w:val="continue"/>
            <w:noWrap w:val="0"/>
            <w:vAlign w:val="center"/>
          </w:tcPr>
          <w:p>
            <w:pPr>
              <w:pStyle w:val="113"/>
              <w:bidi w:val="0"/>
              <w:rPr>
                <w:color w:val="auto"/>
              </w:rPr>
            </w:pPr>
          </w:p>
        </w:tc>
        <w:tc>
          <w:tcPr>
            <w:tcW w:w="699" w:type="dxa"/>
            <w:vMerge w:val="continue"/>
            <w:noWrap w:val="0"/>
            <w:vAlign w:val="center"/>
          </w:tcPr>
          <w:p>
            <w:pPr>
              <w:pStyle w:val="113"/>
              <w:bidi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1108" w:type="dxa"/>
            <w:shd w:val="clear" w:color="auto" w:fill="FFFFFF"/>
            <w:noWrap w:val="0"/>
            <w:vAlign w:val="center"/>
          </w:tcPr>
          <w:p>
            <w:pPr>
              <w:pStyle w:val="113"/>
              <w:bidi w:val="0"/>
              <w:rPr>
                <w:color w:val="auto"/>
              </w:rPr>
            </w:pPr>
            <w:r>
              <w:rPr>
                <w:rFonts w:hint="eastAsia"/>
                <w:color w:val="auto"/>
                <w:lang w:eastAsia="zh-CN"/>
              </w:rPr>
              <w:t>永顺</w:t>
            </w:r>
            <w:r>
              <w:rPr>
                <w:color w:val="auto"/>
              </w:rPr>
              <w:t>县</w:t>
            </w:r>
          </w:p>
        </w:tc>
        <w:tc>
          <w:tcPr>
            <w:tcW w:w="514" w:type="dxa"/>
            <w:shd w:val="clear" w:color="auto" w:fill="FFFFFF"/>
            <w:noWrap w:val="0"/>
            <w:vAlign w:val="center"/>
          </w:tcPr>
          <w:p>
            <w:pPr>
              <w:pStyle w:val="113"/>
              <w:bidi w:val="0"/>
              <w:rPr>
                <w:rFonts w:hint="default" w:eastAsia="宋体"/>
                <w:color w:val="auto"/>
                <w:lang w:val="en-US" w:eastAsia="zh-CN"/>
              </w:rPr>
            </w:pPr>
            <w:r>
              <w:rPr>
                <w:rFonts w:hint="eastAsia"/>
                <w:color w:val="auto"/>
                <w:lang w:val="en-US" w:eastAsia="zh-CN"/>
              </w:rPr>
              <w:t>29</w:t>
            </w:r>
          </w:p>
        </w:tc>
        <w:tc>
          <w:tcPr>
            <w:tcW w:w="489" w:type="dxa"/>
            <w:shd w:val="clear" w:color="auto" w:fill="FFFFFF"/>
            <w:noWrap w:val="0"/>
            <w:vAlign w:val="center"/>
          </w:tcPr>
          <w:p>
            <w:pPr>
              <w:pStyle w:val="113"/>
              <w:bidi w:val="0"/>
              <w:rPr>
                <w:rFonts w:hint="default" w:eastAsia="宋体"/>
                <w:color w:val="auto"/>
                <w:lang w:val="en-US" w:eastAsia="zh-CN"/>
              </w:rPr>
            </w:pPr>
            <w:r>
              <w:rPr>
                <w:rFonts w:hint="eastAsia"/>
                <w:color w:val="auto"/>
                <w:lang w:val="en-US" w:eastAsia="zh-CN"/>
              </w:rPr>
              <w:t>29</w:t>
            </w:r>
          </w:p>
        </w:tc>
        <w:tc>
          <w:tcPr>
            <w:tcW w:w="782" w:type="dxa"/>
            <w:shd w:val="clear" w:color="auto" w:fill="FFFFFF"/>
            <w:noWrap w:val="0"/>
            <w:vAlign w:val="center"/>
          </w:tcPr>
          <w:p>
            <w:pPr>
              <w:pStyle w:val="113"/>
              <w:bidi w:val="0"/>
              <w:rPr>
                <w:rFonts w:hint="eastAsia" w:eastAsia="宋体"/>
                <w:color w:val="auto"/>
                <w:lang w:val="en-US" w:eastAsia="zh-CN"/>
              </w:rPr>
            </w:pPr>
            <w:r>
              <w:rPr>
                <w:rFonts w:hint="eastAsia"/>
                <w:color w:val="auto"/>
                <w:lang w:val="en-US" w:eastAsia="zh-CN"/>
              </w:rPr>
              <w:t>0</w:t>
            </w:r>
          </w:p>
        </w:tc>
        <w:tc>
          <w:tcPr>
            <w:tcW w:w="501" w:type="dxa"/>
            <w:shd w:val="clear" w:color="auto" w:fill="FFFFFF"/>
            <w:noWrap w:val="0"/>
            <w:vAlign w:val="top"/>
          </w:tcPr>
          <w:p>
            <w:pPr>
              <w:pStyle w:val="113"/>
              <w:bidi w:val="0"/>
              <w:rPr>
                <w:color w:val="auto"/>
              </w:rPr>
            </w:pPr>
            <w:r>
              <w:rPr>
                <w:color w:val="auto"/>
              </w:rPr>
              <w:t>-</w:t>
            </w:r>
          </w:p>
        </w:tc>
        <w:tc>
          <w:tcPr>
            <w:tcW w:w="532" w:type="dxa"/>
            <w:shd w:val="clear" w:color="auto" w:fill="FFFFFF"/>
            <w:noWrap w:val="0"/>
            <w:vAlign w:val="center"/>
          </w:tcPr>
          <w:p>
            <w:pPr>
              <w:pStyle w:val="113"/>
              <w:bidi w:val="0"/>
              <w:rPr>
                <w:color w:val="auto"/>
              </w:rPr>
            </w:pPr>
            <w:r>
              <w:rPr>
                <w:rFonts w:hint="eastAsia"/>
                <w:color w:val="auto"/>
              </w:rPr>
              <w:t>42</w:t>
            </w:r>
          </w:p>
        </w:tc>
        <w:tc>
          <w:tcPr>
            <w:tcW w:w="532" w:type="dxa"/>
            <w:shd w:val="clear" w:color="auto" w:fill="FFFFFF"/>
            <w:noWrap w:val="0"/>
            <w:vAlign w:val="center"/>
          </w:tcPr>
          <w:p>
            <w:pPr>
              <w:pStyle w:val="113"/>
              <w:bidi w:val="0"/>
              <w:rPr>
                <w:rFonts w:hint="default" w:eastAsia="宋体"/>
                <w:color w:val="auto"/>
                <w:lang w:val="en-US" w:eastAsia="zh-CN"/>
              </w:rPr>
            </w:pPr>
            <w:r>
              <w:rPr>
                <w:rFonts w:hint="eastAsia"/>
                <w:color w:val="auto"/>
                <w:lang w:val="en-US" w:eastAsia="zh-CN"/>
              </w:rPr>
              <w:t>40</w:t>
            </w:r>
          </w:p>
        </w:tc>
        <w:tc>
          <w:tcPr>
            <w:tcW w:w="832" w:type="dxa"/>
            <w:shd w:val="clear" w:color="auto" w:fill="FFFFFF"/>
            <w:noWrap w:val="0"/>
            <w:vAlign w:val="center"/>
          </w:tcPr>
          <w:p>
            <w:pPr>
              <w:pStyle w:val="113"/>
              <w:bidi w:val="0"/>
              <w:rPr>
                <w:rFonts w:hint="default" w:eastAsia="宋体"/>
                <w:color w:val="auto"/>
                <w:lang w:val="en-US" w:eastAsia="zh-CN"/>
              </w:rPr>
            </w:pPr>
            <w:r>
              <w:rPr>
                <w:rFonts w:hint="eastAsia"/>
                <w:color w:val="auto"/>
                <w:lang w:val="en-US" w:eastAsia="zh-CN"/>
              </w:rPr>
              <w:t>5.0</w:t>
            </w:r>
          </w:p>
        </w:tc>
        <w:tc>
          <w:tcPr>
            <w:tcW w:w="462" w:type="dxa"/>
            <w:shd w:val="clear" w:color="auto" w:fill="FFFFFF"/>
            <w:noWrap w:val="0"/>
            <w:vAlign w:val="top"/>
          </w:tcPr>
          <w:p>
            <w:pPr>
              <w:pStyle w:val="113"/>
              <w:bidi w:val="0"/>
              <w:rPr>
                <w:color w:val="auto"/>
              </w:rPr>
            </w:pPr>
            <w:r>
              <w:rPr>
                <w:color w:val="auto"/>
              </w:rPr>
              <w:t>-</w:t>
            </w:r>
          </w:p>
        </w:tc>
        <w:tc>
          <w:tcPr>
            <w:tcW w:w="488" w:type="dxa"/>
            <w:shd w:val="clear" w:color="auto" w:fill="FFFFFF"/>
            <w:noWrap w:val="0"/>
            <w:vAlign w:val="center"/>
          </w:tcPr>
          <w:p>
            <w:pPr>
              <w:pStyle w:val="113"/>
              <w:bidi w:val="0"/>
              <w:rPr>
                <w:rFonts w:hint="eastAsia" w:eastAsia="宋体"/>
                <w:color w:val="auto"/>
                <w:lang w:val="en-US" w:eastAsia="zh-CN"/>
              </w:rPr>
            </w:pPr>
            <w:r>
              <w:rPr>
                <w:rFonts w:hint="eastAsia"/>
                <w:color w:val="auto"/>
                <w:lang w:val="en-US" w:eastAsia="zh-CN"/>
              </w:rPr>
              <w:t>7</w:t>
            </w:r>
          </w:p>
        </w:tc>
        <w:tc>
          <w:tcPr>
            <w:tcW w:w="489" w:type="dxa"/>
            <w:shd w:val="clear" w:color="auto" w:fill="FFFFFF"/>
            <w:noWrap w:val="0"/>
            <w:vAlign w:val="center"/>
          </w:tcPr>
          <w:p>
            <w:pPr>
              <w:pStyle w:val="113"/>
              <w:bidi w:val="0"/>
              <w:rPr>
                <w:rFonts w:hint="default" w:eastAsia="宋体"/>
                <w:color w:val="auto"/>
                <w:lang w:val="en-US" w:eastAsia="zh-CN"/>
              </w:rPr>
            </w:pPr>
            <w:r>
              <w:rPr>
                <w:rFonts w:hint="eastAsia"/>
                <w:color w:val="auto"/>
                <w:lang w:val="en-US" w:eastAsia="zh-CN"/>
              </w:rPr>
              <w:t>11</w:t>
            </w:r>
          </w:p>
        </w:tc>
        <w:tc>
          <w:tcPr>
            <w:tcW w:w="567" w:type="dxa"/>
            <w:shd w:val="clear" w:color="auto" w:fill="FFFFFF"/>
            <w:noWrap w:val="0"/>
            <w:vAlign w:val="center"/>
          </w:tcPr>
          <w:p>
            <w:pPr>
              <w:pStyle w:val="113"/>
              <w:bidi w:val="0"/>
              <w:rPr>
                <w:rFonts w:hint="default" w:eastAsia="宋体"/>
                <w:color w:val="auto"/>
                <w:lang w:val="en-US" w:eastAsia="zh-CN"/>
              </w:rPr>
            </w:pPr>
            <w:r>
              <w:rPr>
                <w:rFonts w:hint="eastAsia"/>
                <w:color w:val="auto"/>
                <w:lang w:val="en-US" w:eastAsia="zh-CN"/>
              </w:rPr>
              <w:t>1.0</w:t>
            </w:r>
          </w:p>
        </w:tc>
        <w:tc>
          <w:tcPr>
            <w:tcW w:w="699" w:type="dxa"/>
            <w:shd w:val="clear" w:color="auto" w:fill="FFFFFF"/>
            <w:noWrap w:val="0"/>
            <w:vAlign w:val="center"/>
          </w:tcPr>
          <w:p>
            <w:pPr>
              <w:pStyle w:val="113"/>
              <w:bidi w:val="0"/>
              <w:rPr>
                <w:rFonts w:hint="default" w:eastAsia="宋体"/>
                <w:color w:val="auto"/>
                <w:lang w:val="en-US" w:eastAsia="zh-CN"/>
              </w:rPr>
            </w:pPr>
            <w:r>
              <w:rPr>
                <w:rFonts w:hint="eastAsia"/>
                <w:color w:val="auto"/>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7" w:hRule="atLeast"/>
          <w:jc w:val="center"/>
        </w:trPr>
        <w:tc>
          <w:tcPr>
            <w:tcW w:w="1108" w:type="dxa"/>
            <w:noWrap w:val="0"/>
            <w:vAlign w:val="center"/>
          </w:tcPr>
          <w:p>
            <w:pPr>
              <w:pStyle w:val="113"/>
              <w:bidi w:val="0"/>
              <w:rPr>
                <w:color w:val="auto"/>
              </w:rPr>
            </w:pPr>
            <w:r>
              <w:rPr>
                <w:color w:val="auto"/>
              </w:rPr>
              <w:t>国家标准年均值</w:t>
            </w:r>
          </w:p>
        </w:tc>
        <w:tc>
          <w:tcPr>
            <w:tcW w:w="2286" w:type="dxa"/>
            <w:gridSpan w:val="4"/>
            <w:noWrap w:val="0"/>
            <w:vAlign w:val="center"/>
          </w:tcPr>
          <w:p>
            <w:pPr>
              <w:pStyle w:val="113"/>
              <w:bidi w:val="0"/>
              <w:rPr>
                <w:color w:val="auto"/>
              </w:rPr>
            </w:pPr>
            <w:r>
              <w:rPr>
                <w:color w:val="auto"/>
              </w:rPr>
              <w:t>35</w:t>
            </w:r>
          </w:p>
        </w:tc>
        <w:tc>
          <w:tcPr>
            <w:tcW w:w="2358" w:type="dxa"/>
            <w:gridSpan w:val="4"/>
            <w:noWrap w:val="0"/>
            <w:vAlign w:val="center"/>
          </w:tcPr>
          <w:p>
            <w:pPr>
              <w:pStyle w:val="113"/>
              <w:bidi w:val="0"/>
              <w:rPr>
                <w:color w:val="auto"/>
              </w:rPr>
            </w:pPr>
            <w:r>
              <w:rPr>
                <w:color w:val="auto"/>
              </w:rPr>
              <w:t>70</w:t>
            </w:r>
          </w:p>
        </w:tc>
        <w:tc>
          <w:tcPr>
            <w:tcW w:w="488" w:type="dxa"/>
            <w:noWrap w:val="0"/>
            <w:vAlign w:val="center"/>
          </w:tcPr>
          <w:p>
            <w:pPr>
              <w:pStyle w:val="113"/>
              <w:bidi w:val="0"/>
              <w:rPr>
                <w:color w:val="auto"/>
              </w:rPr>
            </w:pPr>
            <w:r>
              <w:rPr>
                <w:color w:val="auto"/>
              </w:rPr>
              <w:t>60</w:t>
            </w:r>
          </w:p>
        </w:tc>
        <w:tc>
          <w:tcPr>
            <w:tcW w:w="489" w:type="dxa"/>
            <w:noWrap w:val="0"/>
            <w:vAlign w:val="center"/>
          </w:tcPr>
          <w:p>
            <w:pPr>
              <w:pStyle w:val="113"/>
              <w:bidi w:val="0"/>
              <w:rPr>
                <w:color w:val="auto"/>
              </w:rPr>
            </w:pPr>
            <w:r>
              <w:rPr>
                <w:color w:val="auto"/>
              </w:rPr>
              <w:t>40</w:t>
            </w:r>
          </w:p>
        </w:tc>
        <w:tc>
          <w:tcPr>
            <w:tcW w:w="567" w:type="dxa"/>
            <w:noWrap w:val="0"/>
            <w:vAlign w:val="center"/>
          </w:tcPr>
          <w:p>
            <w:pPr>
              <w:pStyle w:val="113"/>
              <w:bidi w:val="0"/>
              <w:rPr>
                <w:color w:val="auto"/>
              </w:rPr>
            </w:pPr>
            <w:r>
              <w:rPr>
                <w:color w:val="auto"/>
              </w:rPr>
              <w:t>4</w:t>
            </w:r>
          </w:p>
        </w:tc>
        <w:tc>
          <w:tcPr>
            <w:tcW w:w="699" w:type="dxa"/>
            <w:noWrap w:val="0"/>
            <w:vAlign w:val="center"/>
          </w:tcPr>
          <w:p>
            <w:pPr>
              <w:pStyle w:val="113"/>
              <w:bidi w:val="0"/>
              <w:rPr>
                <w:color w:val="auto"/>
              </w:rPr>
            </w:pPr>
            <w:r>
              <w:rPr>
                <w:color w:val="auto"/>
              </w:rPr>
              <w:t>160</w:t>
            </w:r>
          </w:p>
        </w:tc>
      </w:tr>
    </w:tbl>
    <w:p>
      <w:pPr>
        <w:widowControl w:val="0"/>
        <w:ind w:firstLine="480"/>
        <w:jc w:val="both"/>
        <w:rPr>
          <w:color w:val="auto"/>
          <w:szCs w:val="22"/>
          <w:u w:val="none"/>
        </w:rPr>
      </w:pPr>
      <w:r>
        <w:rPr>
          <w:color w:val="auto"/>
          <w:szCs w:val="22"/>
          <w:u w:val="none"/>
        </w:rPr>
        <w:t>根据上表可知，</w:t>
      </w:r>
      <w:r>
        <w:rPr>
          <w:rFonts w:hint="eastAsia"/>
          <w:color w:val="auto"/>
          <w:szCs w:val="22"/>
          <w:u w:val="none"/>
          <w:lang w:eastAsia="zh-CN"/>
        </w:rPr>
        <w:t>永顺</w:t>
      </w:r>
      <w:r>
        <w:rPr>
          <w:color w:val="auto"/>
          <w:szCs w:val="22"/>
          <w:u w:val="none"/>
        </w:rPr>
        <w:t>地区SO</w:t>
      </w:r>
      <w:r>
        <w:rPr>
          <w:color w:val="auto"/>
          <w:szCs w:val="22"/>
          <w:u w:val="none"/>
          <w:vertAlign w:val="subscript"/>
        </w:rPr>
        <w:t>2</w:t>
      </w:r>
      <w:r>
        <w:rPr>
          <w:color w:val="auto"/>
          <w:szCs w:val="22"/>
          <w:u w:val="none"/>
        </w:rPr>
        <w:t>、NO</w:t>
      </w:r>
      <w:r>
        <w:rPr>
          <w:color w:val="auto"/>
          <w:szCs w:val="22"/>
          <w:u w:val="none"/>
          <w:vertAlign w:val="subscript"/>
        </w:rPr>
        <w:t>2</w:t>
      </w:r>
      <w:r>
        <w:rPr>
          <w:color w:val="auto"/>
          <w:szCs w:val="22"/>
          <w:u w:val="none"/>
        </w:rPr>
        <w:t>、PM</w:t>
      </w:r>
      <w:r>
        <w:rPr>
          <w:color w:val="auto"/>
          <w:szCs w:val="22"/>
          <w:u w:val="none"/>
          <w:vertAlign w:val="subscript"/>
        </w:rPr>
        <w:t>10</w:t>
      </w:r>
      <w:r>
        <w:rPr>
          <w:color w:val="auto"/>
          <w:szCs w:val="22"/>
          <w:u w:val="none"/>
        </w:rPr>
        <w:t>、PM</w:t>
      </w:r>
      <w:r>
        <w:rPr>
          <w:color w:val="auto"/>
          <w:szCs w:val="22"/>
          <w:u w:val="none"/>
          <w:vertAlign w:val="subscript"/>
        </w:rPr>
        <w:t>2.5</w:t>
      </w:r>
      <w:r>
        <w:rPr>
          <w:color w:val="auto"/>
          <w:szCs w:val="22"/>
          <w:u w:val="none"/>
        </w:rPr>
        <w:t>的年平均浓度值分别为</w:t>
      </w:r>
      <w:r>
        <w:rPr>
          <w:rFonts w:hint="eastAsia"/>
          <w:color w:val="auto"/>
          <w:szCs w:val="22"/>
          <w:u w:val="none"/>
          <w:lang w:val="en-US" w:eastAsia="zh-CN"/>
        </w:rPr>
        <w:t>7</w:t>
      </w:r>
      <w:r>
        <w:rPr>
          <w:color w:val="auto"/>
          <w:szCs w:val="22"/>
          <w:u w:val="none"/>
        </w:rPr>
        <w:t>ug/m</w:t>
      </w:r>
      <w:r>
        <w:rPr>
          <w:color w:val="auto"/>
          <w:szCs w:val="22"/>
          <w:u w:val="none"/>
          <w:vertAlign w:val="superscript"/>
        </w:rPr>
        <w:t>3</w:t>
      </w:r>
      <w:r>
        <w:rPr>
          <w:color w:val="auto"/>
          <w:szCs w:val="22"/>
          <w:u w:val="none"/>
        </w:rPr>
        <w:t>、</w:t>
      </w:r>
      <w:r>
        <w:rPr>
          <w:rFonts w:hint="eastAsia"/>
          <w:color w:val="auto"/>
          <w:szCs w:val="22"/>
          <w:u w:val="none"/>
          <w:lang w:val="en-US" w:eastAsia="zh-CN"/>
        </w:rPr>
        <w:t>11</w:t>
      </w:r>
      <w:r>
        <w:rPr>
          <w:color w:val="auto"/>
          <w:szCs w:val="22"/>
          <w:u w:val="none"/>
        </w:rPr>
        <w:t>ug/m</w:t>
      </w:r>
      <w:r>
        <w:rPr>
          <w:color w:val="auto"/>
          <w:szCs w:val="22"/>
          <w:u w:val="none"/>
          <w:vertAlign w:val="superscript"/>
        </w:rPr>
        <w:t>3</w:t>
      </w:r>
      <w:r>
        <w:rPr>
          <w:color w:val="auto"/>
          <w:szCs w:val="22"/>
          <w:u w:val="none"/>
        </w:rPr>
        <w:t>、</w:t>
      </w:r>
      <w:r>
        <w:rPr>
          <w:rFonts w:hint="eastAsia"/>
          <w:color w:val="auto"/>
          <w:szCs w:val="22"/>
          <w:u w:val="none"/>
          <w:lang w:val="en-US" w:eastAsia="zh-CN"/>
        </w:rPr>
        <w:t>42</w:t>
      </w:r>
      <w:r>
        <w:rPr>
          <w:color w:val="auto"/>
          <w:szCs w:val="22"/>
          <w:u w:val="none"/>
        </w:rPr>
        <w:t>ug/m</w:t>
      </w:r>
      <w:r>
        <w:rPr>
          <w:color w:val="auto"/>
          <w:szCs w:val="22"/>
          <w:u w:val="none"/>
          <w:vertAlign w:val="superscript"/>
        </w:rPr>
        <w:t>3</w:t>
      </w:r>
      <w:r>
        <w:rPr>
          <w:color w:val="auto"/>
          <w:szCs w:val="22"/>
          <w:u w:val="none"/>
        </w:rPr>
        <w:t>、</w:t>
      </w:r>
      <w:r>
        <w:rPr>
          <w:rFonts w:hint="eastAsia"/>
          <w:color w:val="auto"/>
          <w:szCs w:val="22"/>
          <w:u w:val="none"/>
          <w:lang w:val="en-US" w:eastAsia="zh-CN"/>
        </w:rPr>
        <w:t>29</w:t>
      </w:r>
      <w:r>
        <w:rPr>
          <w:color w:val="auto"/>
          <w:szCs w:val="22"/>
          <w:u w:val="none"/>
        </w:rPr>
        <w:t>ug/m</w:t>
      </w:r>
      <w:r>
        <w:rPr>
          <w:color w:val="auto"/>
          <w:szCs w:val="22"/>
          <w:u w:val="none"/>
          <w:vertAlign w:val="superscript"/>
        </w:rPr>
        <w:t>3</w:t>
      </w:r>
      <w:r>
        <w:rPr>
          <w:color w:val="auto"/>
          <w:szCs w:val="22"/>
          <w:u w:val="none"/>
        </w:rPr>
        <w:t>均优于《环境空气质量标准》（GB3095-2012）中二级标准限值（年均值）；CO24小时平均均值均优于《环境空气质量标准》（GB3095-2012）中二级标准限值（年均值）；O</w:t>
      </w:r>
      <w:r>
        <w:rPr>
          <w:color w:val="auto"/>
          <w:szCs w:val="22"/>
          <w:u w:val="none"/>
          <w:vertAlign w:val="subscript"/>
        </w:rPr>
        <w:t>3</w:t>
      </w:r>
      <w:r>
        <w:rPr>
          <w:color w:val="auto"/>
          <w:szCs w:val="22"/>
          <w:u w:val="none"/>
        </w:rPr>
        <w:t>的日最大8小时平均值均优于《环境空气质量标准》（GB3095-2012）中二级标准限值（日</w:t>
      </w:r>
      <w:r>
        <w:rPr>
          <w:rFonts w:hint="eastAsia"/>
          <w:color w:val="auto"/>
          <w:szCs w:val="22"/>
          <w:u w:val="none"/>
        </w:rPr>
        <w:t>最大</w:t>
      </w:r>
      <w:r>
        <w:rPr>
          <w:color w:val="auto"/>
          <w:szCs w:val="22"/>
          <w:u w:val="none"/>
        </w:rPr>
        <w:t>8</w:t>
      </w:r>
      <w:r>
        <w:rPr>
          <w:rFonts w:hint="eastAsia"/>
          <w:color w:val="auto"/>
          <w:szCs w:val="22"/>
          <w:u w:val="none"/>
        </w:rPr>
        <w:t>小时平均值）。</w:t>
      </w:r>
    </w:p>
    <w:p>
      <w:pPr>
        <w:wordWrap w:val="0"/>
        <w:ind w:firstLine="480"/>
        <w:jc w:val="both"/>
        <w:rPr>
          <w:color w:val="auto"/>
          <w:sz w:val="21"/>
          <w:szCs w:val="21"/>
          <w:u w:val="none"/>
        </w:rPr>
      </w:pPr>
      <w:r>
        <w:rPr>
          <w:rFonts w:hint="eastAsia"/>
          <w:color w:val="auto"/>
          <w:szCs w:val="22"/>
          <w:u w:val="none"/>
        </w:rPr>
        <w:t>综上所述，项目所在地为大气环境空气达标区。</w:t>
      </w:r>
    </w:p>
    <w:p>
      <w:pPr>
        <w:pStyle w:val="69"/>
        <w:jc w:val="both"/>
        <w:rPr>
          <w:rFonts w:hint="eastAsia"/>
          <w:color w:val="auto"/>
          <w:u w:val="none"/>
        </w:rPr>
      </w:pPr>
      <w:r>
        <w:rPr>
          <w:rFonts w:hint="eastAsia"/>
          <w:color w:val="auto"/>
          <w:u w:val="none"/>
        </w:rPr>
        <w:t>3</w:t>
      </w:r>
      <w:r>
        <w:rPr>
          <w:color w:val="auto"/>
          <w:u w:val="none"/>
        </w:rPr>
        <w:t>.4.1.2</w:t>
      </w:r>
      <w:r>
        <w:rPr>
          <w:rFonts w:hint="eastAsia"/>
          <w:color w:val="auto"/>
          <w:u w:val="none"/>
        </w:rPr>
        <w:t>环境空气现状评价</w:t>
      </w:r>
    </w:p>
    <w:p>
      <w:pPr>
        <w:ind w:firstLine="480"/>
        <w:rPr>
          <w:rFonts w:hint="eastAsia"/>
          <w:color w:val="auto"/>
          <w:kern w:val="0"/>
          <w:u w:val="none"/>
        </w:rPr>
      </w:pPr>
      <w:r>
        <w:rPr>
          <w:rFonts w:hint="eastAsia"/>
          <w:color w:val="auto"/>
          <w:kern w:val="0"/>
          <w:u w:val="none"/>
        </w:rPr>
        <w:t>（1）监测单位：湖南昌旭环保科技有限公司</w:t>
      </w:r>
    </w:p>
    <w:p>
      <w:pPr>
        <w:ind w:firstLine="480"/>
        <w:rPr>
          <w:rFonts w:hint="eastAsia"/>
          <w:color w:val="auto"/>
          <w:kern w:val="0"/>
          <w:u w:val="none"/>
        </w:rPr>
      </w:pPr>
      <w:r>
        <w:rPr>
          <w:rFonts w:hint="eastAsia"/>
          <w:color w:val="auto"/>
          <w:kern w:val="0"/>
          <w:u w:val="none"/>
        </w:rPr>
        <w:t>（2）监测点布设</w:t>
      </w:r>
    </w:p>
    <w:p>
      <w:pPr>
        <w:ind w:firstLine="600" w:firstLineChars="250"/>
        <w:rPr>
          <w:rFonts w:hint="eastAsia"/>
          <w:color w:val="auto"/>
          <w:kern w:val="0"/>
          <w:u w:val="none"/>
        </w:rPr>
      </w:pPr>
      <w:r>
        <w:rPr>
          <w:rFonts w:hint="eastAsia"/>
          <w:color w:val="auto"/>
          <w:kern w:val="0"/>
          <w:u w:val="none"/>
        </w:rPr>
        <w:t>本项目共布设</w:t>
      </w:r>
      <w:r>
        <w:rPr>
          <w:rFonts w:hint="eastAsia"/>
          <w:color w:val="auto"/>
          <w:kern w:val="0"/>
          <w:u w:val="none"/>
          <w:lang w:val="en-US" w:eastAsia="zh-CN"/>
        </w:rPr>
        <w:t>2</w:t>
      </w:r>
      <w:r>
        <w:rPr>
          <w:rFonts w:hint="eastAsia"/>
          <w:color w:val="auto"/>
          <w:kern w:val="0"/>
          <w:u w:val="none"/>
        </w:rPr>
        <w:t>个大气监测点，监测点位为G1</w:t>
      </w:r>
      <w:r>
        <w:rPr>
          <w:rFonts w:hint="eastAsia"/>
          <w:color w:val="auto"/>
          <w:u w:val="none"/>
          <w:lang w:eastAsia="zh-CN"/>
        </w:rPr>
        <w:t>项目拟建地</w:t>
      </w:r>
      <w:r>
        <w:rPr>
          <w:rFonts w:hint="eastAsia"/>
          <w:color w:val="auto"/>
          <w:kern w:val="0"/>
          <w:u w:val="none"/>
        </w:rPr>
        <w:t>、G2</w:t>
      </w:r>
      <w:r>
        <w:rPr>
          <w:rFonts w:hint="eastAsia"/>
          <w:color w:val="auto"/>
          <w:u w:val="none"/>
          <w:lang w:eastAsia="zh-CN"/>
        </w:rPr>
        <w:t>曾家湾居民点</w:t>
      </w:r>
      <w:r>
        <w:rPr>
          <w:rFonts w:hint="eastAsia"/>
          <w:color w:val="auto"/>
          <w:kern w:val="0"/>
          <w:u w:val="none"/>
        </w:rPr>
        <w:t>，详见下表3.4-</w:t>
      </w:r>
      <w:r>
        <w:rPr>
          <w:color w:val="auto"/>
          <w:kern w:val="0"/>
          <w:u w:val="none"/>
        </w:rPr>
        <w:t>2</w:t>
      </w:r>
      <w:r>
        <w:rPr>
          <w:rFonts w:hint="eastAsia"/>
          <w:color w:val="auto"/>
          <w:kern w:val="0"/>
          <w:u w:val="none"/>
        </w:rPr>
        <w:t>，项目监测布点图见附图2：项目监测布点图。</w:t>
      </w:r>
    </w:p>
    <w:p>
      <w:pPr>
        <w:ind w:firstLine="198" w:firstLineChars="94"/>
        <w:jc w:val="center"/>
        <w:rPr>
          <w:b/>
          <w:color w:val="auto"/>
          <w:kern w:val="0"/>
          <w:sz w:val="21"/>
          <w:szCs w:val="21"/>
          <w:u w:val="none"/>
        </w:rPr>
      </w:pPr>
      <w:r>
        <w:rPr>
          <w:rFonts w:hint="eastAsia"/>
          <w:b/>
          <w:color w:val="auto"/>
          <w:kern w:val="0"/>
          <w:sz w:val="21"/>
          <w:szCs w:val="21"/>
          <w:u w:val="none"/>
        </w:rPr>
        <w:t>表3.4-</w:t>
      </w:r>
      <w:r>
        <w:rPr>
          <w:b/>
          <w:color w:val="auto"/>
          <w:kern w:val="0"/>
          <w:sz w:val="21"/>
          <w:szCs w:val="21"/>
          <w:u w:val="none"/>
        </w:rPr>
        <w:t xml:space="preserve">2 </w:t>
      </w:r>
      <w:r>
        <w:rPr>
          <w:rFonts w:hint="eastAsia"/>
          <w:b/>
          <w:color w:val="auto"/>
          <w:kern w:val="0"/>
          <w:sz w:val="21"/>
          <w:szCs w:val="21"/>
          <w:u w:val="none"/>
        </w:rPr>
        <w:t>环境空气监测布点情况一览表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598"/>
        <w:gridCol w:w="1064"/>
        <w:gridCol w:w="2960"/>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pct"/>
            <w:noWrap w:val="0"/>
            <w:vAlign w:val="center"/>
          </w:tcPr>
          <w:p>
            <w:pPr>
              <w:pStyle w:val="73"/>
              <w:rPr>
                <w:rFonts w:hint="default" w:ascii="Times New Roman" w:hAnsi="Times New Roman" w:cs="Times New Roman"/>
                <w:b/>
                <w:bCs/>
                <w:color w:val="auto"/>
                <w:kern w:val="2"/>
                <w:u w:val="none"/>
              </w:rPr>
            </w:pPr>
            <w:r>
              <w:rPr>
                <w:rFonts w:hint="default" w:ascii="Times New Roman" w:hAnsi="Times New Roman" w:cs="Times New Roman"/>
                <w:b/>
                <w:bCs/>
                <w:color w:val="auto"/>
                <w:u w:val="none"/>
              </w:rPr>
              <w:t>序号</w:t>
            </w:r>
          </w:p>
        </w:tc>
        <w:tc>
          <w:tcPr>
            <w:tcW w:w="937"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监测点位</w:t>
            </w:r>
          </w:p>
        </w:tc>
        <w:tc>
          <w:tcPr>
            <w:tcW w:w="624"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方位</w:t>
            </w:r>
          </w:p>
        </w:tc>
        <w:tc>
          <w:tcPr>
            <w:tcW w:w="1736"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距离(m)</w:t>
            </w:r>
          </w:p>
        </w:tc>
        <w:tc>
          <w:tcPr>
            <w:tcW w:w="1087"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14" w:type="pct"/>
            <w:noWrap w:val="0"/>
            <w:vAlign w:val="center"/>
          </w:tcPr>
          <w:p>
            <w:pPr>
              <w:pStyle w:val="95"/>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G1</w:t>
            </w:r>
          </w:p>
        </w:tc>
        <w:tc>
          <w:tcPr>
            <w:tcW w:w="937" w:type="pct"/>
            <w:noWrap w:val="0"/>
            <w:vAlign w:val="center"/>
          </w:tcPr>
          <w:p>
            <w:pPr>
              <w:pStyle w:val="73"/>
              <w:bidi w:val="0"/>
              <w:ind w:firstLine="0" w:firstLineChars="0"/>
              <w:rPr>
                <w:rFonts w:hint="default" w:ascii="Times New Roman" w:hAnsi="Times New Roman" w:cs="Times New Roman"/>
                <w:color w:val="auto"/>
                <w:u w:val="none"/>
              </w:rPr>
            </w:pPr>
            <w:r>
              <w:rPr>
                <w:rFonts w:hint="default" w:ascii="Times New Roman" w:hAnsi="Times New Roman" w:cs="Times New Roman"/>
                <w:color w:val="auto"/>
                <w:lang w:eastAsia="zh-CN"/>
              </w:rPr>
              <w:t>项目拟建地</w:t>
            </w:r>
          </w:p>
        </w:tc>
        <w:tc>
          <w:tcPr>
            <w:tcW w:w="624" w:type="pct"/>
            <w:noWrap w:val="0"/>
            <w:vAlign w:val="center"/>
          </w:tcPr>
          <w:p>
            <w:pPr>
              <w:pStyle w:val="73"/>
              <w:bidi w:val="0"/>
              <w:ind w:firstLine="0" w:firstLineChars="0"/>
              <w:rPr>
                <w:rFonts w:hint="default" w:ascii="Times New Roman" w:hAnsi="Times New Roman" w:cs="Times New Roman"/>
                <w:color w:val="auto"/>
                <w:u w:val="none"/>
              </w:rPr>
            </w:pPr>
            <w:r>
              <w:rPr>
                <w:rFonts w:hint="default" w:ascii="Times New Roman" w:hAnsi="Times New Roman" w:cs="Times New Roman"/>
                <w:color w:val="auto"/>
                <w:lang w:val="en-US" w:eastAsia="zh-CN"/>
              </w:rPr>
              <w:t>/</w:t>
            </w:r>
          </w:p>
        </w:tc>
        <w:tc>
          <w:tcPr>
            <w:tcW w:w="1736" w:type="pct"/>
            <w:noWrap w:val="0"/>
            <w:vAlign w:val="center"/>
          </w:tcPr>
          <w:p>
            <w:pPr>
              <w:pStyle w:val="73"/>
              <w:bidi w:val="0"/>
              <w:ind w:firstLine="0" w:firstLineChars="0"/>
              <w:rPr>
                <w:rFonts w:hint="default" w:ascii="Times New Roman" w:hAnsi="Times New Roman" w:cs="Times New Roman"/>
                <w:color w:val="auto"/>
                <w:u w:val="none"/>
              </w:rPr>
            </w:pPr>
            <w:r>
              <w:rPr>
                <w:rFonts w:hint="default" w:ascii="Times New Roman" w:hAnsi="Times New Roman" w:cs="Times New Roman"/>
                <w:color w:val="auto"/>
                <w:lang w:val="en-US" w:eastAsia="zh-CN"/>
              </w:rPr>
              <w:t>/</w:t>
            </w:r>
          </w:p>
        </w:tc>
        <w:tc>
          <w:tcPr>
            <w:tcW w:w="1087" w:type="pct"/>
            <w:vMerge w:val="restart"/>
            <w:noWrap w:val="0"/>
            <w:vAlign w:val="center"/>
          </w:tcPr>
          <w:p>
            <w:pPr>
              <w:pStyle w:val="73"/>
              <w:rPr>
                <w:rFonts w:hint="default" w:ascii="Times New Roman" w:hAnsi="Times New Roman" w:eastAsia="宋体" w:cs="Times New Roman"/>
                <w:color w:val="auto"/>
                <w:u w:val="none"/>
                <w:lang w:eastAsia="zh-CN"/>
              </w:rPr>
            </w:pPr>
            <w:r>
              <w:rPr>
                <w:rFonts w:hint="default" w:ascii="Times New Roman" w:hAnsi="Times New Roman" w:cs="Times New Roman"/>
                <w:color w:val="auto"/>
                <w:u w:val="none"/>
              </w:rPr>
              <w:t>TSP、NH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、H</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S</w:t>
            </w:r>
            <w:r>
              <w:rPr>
                <w:rFonts w:hint="default" w:ascii="Times New Roman" w:hAnsi="Times New Roman" w:cs="Times New Roman"/>
                <w:color w:val="auto"/>
                <w:u w:val="none"/>
                <w:lang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14" w:type="pct"/>
            <w:noWrap w:val="0"/>
            <w:vAlign w:val="center"/>
          </w:tcPr>
          <w:p>
            <w:pPr>
              <w:pStyle w:val="95"/>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G2</w:t>
            </w:r>
          </w:p>
        </w:tc>
        <w:tc>
          <w:tcPr>
            <w:tcW w:w="937" w:type="pct"/>
            <w:noWrap w:val="0"/>
            <w:vAlign w:val="center"/>
          </w:tcPr>
          <w:p>
            <w:pPr>
              <w:pStyle w:val="73"/>
              <w:bidi w:val="0"/>
              <w:ind w:firstLine="0" w:firstLineChars="0"/>
              <w:rPr>
                <w:rFonts w:hint="default" w:ascii="Times New Roman" w:hAnsi="Times New Roman" w:cs="Times New Roman"/>
                <w:color w:val="auto"/>
                <w:u w:val="none"/>
              </w:rPr>
            </w:pPr>
            <w:r>
              <w:rPr>
                <w:rFonts w:hint="default" w:ascii="Times New Roman" w:hAnsi="Times New Roman" w:cs="Times New Roman"/>
                <w:color w:val="auto"/>
                <w:lang w:eastAsia="zh-CN"/>
              </w:rPr>
              <w:t>曾家湾</w:t>
            </w:r>
          </w:p>
        </w:tc>
        <w:tc>
          <w:tcPr>
            <w:tcW w:w="624" w:type="pct"/>
            <w:noWrap w:val="0"/>
            <w:vAlign w:val="center"/>
          </w:tcPr>
          <w:p>
            <w:pPr>
              <w:pStyle w:val="73"/>
              <w:bidi w:val="0"/>
              <w:ind w:firstLine="0" w:firstLineChars="0"/>
              <w:rPr>
                <w:rFonts w:hint="default" w:ascii="Times New Roman" w:hAnsi="Times New Roman" w:cs="Times New Roman"/>
                <w:color w:val="auto"/>
                <w:u w:val="none"/>
              </w:rPr>
            </w:pPr>
            <w:r>
              <w:rPr>
                <w:rFonts w:hint="default" w:ascii="Times New Roman" w:hAnsi="Times New Roman" w:cs="Times New Roman"/>
                <w:color w:val="auto"/>
                <w:lang w:val="en-US" w:eastAsia="zh-CN"/>
              </w:rPr>
              <w:t>东北侧</w:t>
            </w:r>
          </w:p>
        </w:tc>
        <w:tc>
          <w:tcPr>
            <w:tcW w:w="1736" w:type="pct"/>
            <w:noWrap w:val="0"/>
            <w:vAlign w:val="center"/>
          </w:tcPr>
          <w:p>
            <w:pPr>
              <w:pStyle w:val="73"/>
              <w:bidi w:val="0"/>
              <w:ind w:firstLine="0" w:firstLineChars="0"/>
              <w:rPr>
                <w:rFonts w:hint="default" w:ascii="Times New Roman" w:hAnsi="Times New Roman" w:cs="Times New Roman"/>
                <w:color w:val="auto"/>
                <w:u w:val="none"/>
              </w:rPr>
            </w:pPr>
            <w:r>
              <w:rPr>
                <w:rFonts w:hint="default" w:ascii="Times New Roman" w:hAnsi="Times New Roman" w:cs="Times New Roman"/>
                <w:color w:val="auto"/>
                <w:lang w:eastAsia="zh-CN"/>
              </w:rPr>
              <w:t>项目拟建地下风向</w:t>
            </w:r>
            <w:r>
              <w:rPr>
                <w:rFonts w:hint="default" w:ascii="Times New Roman" w:hAnsi="Times New Roman" w:cs="Times New Roman"/>
                <w:color w:val="auto"/>
                <w:lang w:val="en-US" w:eastAsia="zh-CN"/>
              </w:rPr>
              <w:t>1000m处</w:t>
            </w:r>
          </w:p>
        </w:tc>
        <w:tc>
          <w:tcPr>
            <w:tcW w:w="1087" w:type="pct"/>
            <w:vMerge w:val="continue"/>
            <w:noWrap w:val="0"/>
            <w:vAlign w:val="center"/>
          </w:tcPr>
          <w:p>
            <w:pPr>
              <w:pStyle w:val="73"/>
              <w:rPr>
                <w:rFonts w:hint="default" w:ascii="Times New Roman" w:hAnsi="Times New Roman" w:cs="Times New Roman"/>
                <w:color w:val="auto"/>
                <w:u w:val="none"/>
              </w:rPr>
            </w:pPr>
          </w:p>
        </w:tc>
      </w:tr>
    </w:tbl>
    <w:p>
      <w:pPr>
        <w:ind w:firstLine="480"/>
        <w:rPr>
          <w:rFonts w:hint="eastAsia"/>
          <w:color w:val="auto"/>
          <w:kern w:val="0"/>
          <w:u w:val="none"/>
        </w:rPr>
      </w:pPr>
      <w:r>
        <w:rPr>
          <w:rFonts w:hint="eastAsia"/>
          <w:color w:val="auto"/>
          <w:kern w:val="0"/>
          <w:u w:val="none"/>
        </w:rPr>
        <w:t>（3）监测时间及采样频率</w:t>
      </w:r>
    </w:p>
    <w:p>
      <w:pPr>
        <w:ind w:firstLine="480"/>
        <w:rPr>
          <w:rFonts w:hint="eastAsia"/>
          <w:color w:val="auto"/>
          <w:kern w:val="0"/>
          <w:u w:val="none"/>
        </w:rPr>
      </w:pPr>
      <w:r>
        <w:rPr>
          <w:rFonts w:hint="eastAsia"/>
          <w:color w:val="auto"/>
          <w:kern w:val="0"/>
          <w:u w:val="none"/>
        </w:rPr>
        <w:t>监测时间为</w:t>
      </w:r>
      <w:r>
        <w:rPr>
          <w:rFonts w:hint="eastAsia"/>
          <w:color w:val="auto"/>
          <w:kern w:val="0"/>
          <w:u w:val="none"/>
          <w:lang w:val="en-US" w:eastAsia="zh-CN"/>
        </w:rPr>
        <w:t>2022</w:t>
      </w:r>
      <w:r>
        <w:rPr>
          <w:rFonts w:hint="eastAsia"/>
          <w:color w:val="auto"/>
          <w:kern w:val="0"/>
          <w:u w:val="none"/>
        </w:rPr>
        <w:t>年</w:t>
      </w:r>
      <w:r>
        <w:rPr>
          <w:rFonts w:hint="eastAsia"/>
          <w:color w:val="auto"/>
          <w:kern w:val="0"/>
          <w:u w:val="none"/>
          <w:lang w:val="en-US" w:eastAsia="zh-CN"/>
        </w:rPr>
        <w:t>3</w:t>
      </w:r>
      <w:r>
        <w:rPr>
          <w:rFonts w:hint="eastAsia"/>
          <w:color w:val="auto"/>
          <w:kern w:val="0"/>
          <w:u w:val="none"/>
        </w:rPr>
        <w:t>月</w:t>
      </w:r>
      <w:r>
        <w:rPr>
          <w:rFonts w:hint="eastAsia"/>
          <w:color w:val="auto"/>
          <w:kern w:val="0"/>
          <w:u w:val="none"/>
          <w:lang w:val="en-US" w:eastAsia="zh-CN"/>
        </w:rPr>
        <w:t>25</w:t>
      </w:r>
      <w:r>
        <w:rPr>
          <w:rFonts w:hint="eastAsia"/>
          <w:color w:val="auto"/>
          <w:kern w:val="0"/>
          <w:u w:val="none"/>
        </w:rPr>
        <w:t>日至</w:t>
      </w:r>
      <w:r>
        <w:rPr>
          <w:rFonts w:hint="eastAsia"/>
          <w:color w:val="auto"/>
          <w:kern w:val="0"/>
          <w:u w:val="none"/>
          <w:lang w:val="en-US" w:eastAsia="zh-CN"/>
        </w:rPr>
        <w:t>2022</w:t>
      </w:r>
      <w:r>
        <w:rPr>
          <w:rFonts w:hint="eastAsia"/>
          <w:color w:val="auto"/>
          <w:kern w:val="0"/>
          <w:u w:val="none"/>
        </w:rPr>
        <w:t>年</w:t>
      </w:r>
      <w:r>
        <w:rPr>
          <w:rFonts w:hint="eastAsia"/>
          <w:color w:val="auto"/>
          <w:kern w:val="0"/>
          <w:u w:val="none"/>
          <w:lang w:val="en-US" w:eastAsia="zh-CN"/>
        </w:rPr>
        <w:t>3</w:t>
      </w:r>
      <w:r>
        <w:rPr>
          <w:rFonts w:hint="eastAsia"/>
          <w:color w:val="auto"/>
          <w:kern w:val="0"/>
          <w:u w:val="none"/>
        </w:rPr>
        <w:t>月</w:t>
      </w:r>
      <w:r>
        <w:rPr>
          <w:rFonts w:hint="eastAsia"/>
          <w:color w:val="auto"/>
          <w:kern w:val="0"/>
          <w:u w:val="none"/>
          <w:lang w:val="en-US" w:eastAsia="zh-CN"/>
        </w:rPr>
        <w:t>31</w:t>
      </w:r>
      <w:r>
        <w:rPr>
          <w:rFonts w:hint="eastAsia"/>
          <w:color w:val="auto"/>
          <w:kern w:val="0"/>
          <w:u w:val="none"/>
        </w:rPr>
        <w:t>日，共采样7天。</w:t>
      </w:r>
    </w:p>
    <w:p>
      <w:pPr>
        <w:ind w:firstLine="480"/>
        <w:rPr>
          <w:rFonts w:hint="eastAsia"/>
          <w:color w:val="auto"/>
          <w:kern w:val="0"/>
          <w:u w:val="none"/>
        </w:rPr>
      </w:pPr>
      <w:r>
        <w:rPr>
          <w:rFonts w:hint="eastAsia"/>
          <w:color w:val="auto"/>
          <w:kern w:val="0"/>
          <w:u w:val="none"/>
        </w:rPr>
        <w:t>（4）监测、分析方法</w:t>
      </w:r>
    </w:p>
    <w:p>
      <w:pPr>
        <w:ind w:firstLine="480"/>
        <w:rPr>
          <w:rFonts w:hint="eastAsia"/>
          <w:color w:val="auto"/>
          <w:kern w:val="0"/>
          <w:u w:val="none"/>
        </w:rPr>
      </w:pPr>
      <w:r>
        <w:rPr>
          <w:rFonts w:hint="eastAsia"/>
          <w:color w:val="auto"/>
          <w:kern w:val="0"/>
          <w:u w:val="none"/>
          <w:lang w:val="en-US" w:eastAsia="zh-CN"/>
        </w:rPr>
        <w:t>本次环评大气环境质量现状监测时间为7天，采样频率按《环境影响评价技术导则—大气环境》、《环境空气质量标准》中的有关规定进行</w:t>
      </w:r>
      <w:r>
        <w:rPr>
          <w:rFonts w:hint="eastAsia"/>
          <w:color w:val="auto"/>
          <w:kern w:val="0"/>
          <w:u w:val="none"/>
        </w:rPr>
        <w:t>。监测分析方法按《环境监测技术规范》和《环境空气质量标准》（GB3095-2012）有关部分进行</w:t>
      </w:r>
    </w:p>
    <w:p>
      <w:pPr>
        <w:ind w:firstLine="480"/>
        <w:rPr>
          <w:rFonts w:hint="eastAsia"/>
          <w:color w:val="auto"/>
          <w:kern w:val="0"/>
          <w:u w:val="none"/>
        </w:rPr>
      </w:pPr>
      <w:r>
        <w:rPr>
          <w:rFonts w:hint="eastAsia"/>
          <w:color w:val="auto"/>
          <w:kern w:val="0"/>
          <w:u w:val="none"/>
        </w:rPr>
        <w:t>（5）监测数据结果</w:t>
      </w:r>
    </w:p>
    <w:p>
      <w:pPr>
        <w:ind w:firstLine="480"/>
        <w:rPr>
          <w:rFonts w:hint="eastAsia"/>
          <w:color w:val="auto"/>
          <w:kern w:val="0"/>
          <w:u w:val="none"/>
        </w:rPr>
      </w:pPr>
      <w:r>
        <w:rPr>
          <w:rFonts w:hint="eastAsia"/>
          <w:color w:val="auto"/>
          <w:kern w:val="0"/>
          <w:u w:val="none"/>
        </w:rPr>
        <w:t>监测数据结果见表3.4</w:t>
      </w:r>
      <w:r>
        <w:rPr>
          <w:color w:val="auto"/>
          <w:kern w:val="0"/>
          <w:u w:val="none"/>
        </w:rPr>
        <w:t>-3</w:t>
      </w:r>
      <w:r>
        <w:rPr>
          <w:rFonts w:hint="eastAsia"/>
          <w:color w:val="auto"/>
          <w:kern w:val="0"/>
          <w:u w:val="none"/>
        </w:rPr>
        <w:t>。</w:t>
      </w:r>
    </w:p>
    <w:p>
      <w:pPr>
        <w:ind w:firstLine="175" w:firstLineChars="83"/>
        <w:jc w:val="center"/>
        <w:rPr>
          <w:b/>
          <w:color w:val="auto"/>
          <w:kern w:val="0"/>
          <w:sz w:val="21"/>
          <w:szCs w:val="21"/>
          <w:u w:val="none"/>
        </w:rPr>
      </w:pPr>
      <w:r>
        <w:rPr>
          <w:rFonts w:hint="eastAsia"/>
          <w:b/>
          <w:color w:val="auto"/>
          <w:kern w:val="0"/>
          <w:sz w:val="21"/>
          <w:szCs w:val="21"/>
          <w:u w:val="none"/>
        </w:rPr>
        <w:t>表3.4-</w:t>
      </w:r>
      <w:r>
        <w:rPr>
          <w:b/>
          <w:color w:val="auto"/>
          <w:kern w:val="0"/>
          <w:sz w:val="21"/>
          <w:szCs w:val="21"/>
          <w:u w:val="none"/>
        </w:rPr>
        <w:t>3</w:t>
      </w:r>
      <w:r>
        <w:rPr>
          <w:rFonts w:hint="eastAsia"/>
          <w:b/>
          <w:color w:val="auto"/>
          <w:kern w:val="0"/>
          <w:sz w:val="21"/>
          <w:szCs w:val="21"/>
          <w:u w:val="none"/>
        </w:rPr>
        <w:t>大气环境现状监测结果单位（ug/m</w:t>
      </w:r>
      <w:r>
        <w:rPr>
          <w:rFonts w:hint="eastAsia"/>
          <w:b/>
          <w:color w:val="auto"/>
          <w:kern w:val="0"/>
          <w:sz w:val="21"/>
          <w:szCs w:val="21"/>
          <w:u w:val="none"/>
          <w:vertAlign w:val="superscript"/>
        </w:rPr>
        <w:t>3</w:t>
      </w:r>
      <w:r>
        <w:rPr>
          <w:rFonts w:hint="eastAsia"/>
          <w:b/>
          <w:color w:val="auto"/>
          <w:kern w:val="0"/>
          <w:sz w:val="21"/>
          <w:szCs w:val="21"/>
          <w:u w:val="none"/>
        </w:rPr>
        <w:t>）</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322"/>
        <w:gridCol w:w="1232"/>
        <w:gridCol w:w="1060"/>
        <w:gridCol w:w="1479"/>
        <w:gridCol w:w="1186"/>
        <w:gridCol w:w="689"/>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noWrap w:val="0"/>
            <w:vAlign w:val="center"/>
          </w:tcPr>
          <w:p>
            <w:pPr>
              <w:adjustRightInd w:val="0"/>
              <w:snapToGrid w:val="0"/>
              <w:spacing w:line="240" w:lineRule="auto"/>
              <w:ind w:firstLine="0" w:firstLineChars="0"/>
              <w:jc w:val="center"/>
              <w:rPr>
                <w:b/>
                <w:color w:val="auto"/>
                <w:sz w:val="21"/>
                <w:szCs w:val="21"/>
                <w:u w:val="none"/>
              </w:rPr>
            </w:pPr>
            <w:r>
              <w:rPr>
                <w:b/>
                <w:color w:val="auto"/>
                <w:sz w:val="21"/>
                <w:szCs w:val="21"/>
                <w:u w:val="none"/>
              </w:rPr>
              <w:t>监测</w:t>
            </w:r>
          </w:p>
          <w:p>
            <w:pPr>
              <w:adjustRightInd w:val="0"/>
              <w:snapToGrid w:val="0"/>
              <w:spacing w:line="240" w:lineRule="auto"/>
              <w:ind w:firstLine="0" w:firstLineChars="0"/>
              <w:jc w:val="center"/>
              <w:rPr>
                <w:b/>
                <w:color w:val="auto"/>
                <w:sz w:val="21"/>
                <w:szCs w:val="21"/>
                <w:u w:val="none"/>
              </w:rPr>
            </w:pPr>
            <w:r>
              <w:rPr>
                <w:b/>
                <w:color w:val="auto"/>
                <w:sz w:val="21"/>
                <w:szCs w:val="21"/>
                <w:u w:val="none"/>
              </w:rPr>
              <w:t>点位</w:t>
            </w:r>
          </w:p>
        </w:tc>
        <w:tc>
          <w:tcPr>
            <w:tcW w:w="775" w:type="pct"/>
            <w:noWrap w:val="0"/>
            <w:vAlign w:val="center"/>
          </w:tcPr>
          <w:p>
            <w:pPr>
              <w:adjustRightInd w:val="0"/>
              <w:snapToGrid w:val="0"/>
              <w:spacing w:line="240" w:lineRule="auto"/>
              <w:ind w:firstLine="0" w:firstLineChars="0"/>
              <w:jc w:val="center"/>
              <w:rPr>
                <w:b/>
                <w:color w:val="auto"/>
                <w:sz w:val="21"/>
                <w:szCs w:val="21"/>
                <w:u w:val="none"/>
              </w:rPr>
            </w:pPr>
            <w:r>
              <w:rPr>
                <w:rFonts w:hint="eastAsia"/>
                <w:b/>
                <w:color w:val="auto"/>
                <w:sz w:val="21"/>
                <w:szCs w:val="21"/>
                <w:u w:val="none"/>
              </w:rPr>
              <w:t>污染物</w:t>
            </w:r>
          </w:p>
        </w:tc>
        <w:tc>
          <w:tcPr>
            <w:tcW w:w="722" w:type="pct"/>
            <w:noWrap w:val="0"/>
            <w:vAlign w:val="center"/>
          </w:tcPr>
          <w:p>
            <w:pPr>
              <w:adjustRightInd w:val="0"/>
              <w:snapToGrid w:val="0"/>
              <w:spacing w:line="240" w:lineRule="auto"/>
              <w:ind w:firstLine="0" w:firstLineChars="0"/>
              <w:jc w:val="center"/>
              <w:rPr>
                <w:b/>
                <w:color w:val="auto"/>
                <w:sz w:val="21"/>
                <w:szCs w:val="21"/>
                <w:u w:val="none"/>
              </w:rPr>
            </w:pPr>
            <w:r>
              <w:rPr>
                <w:rFonts w:hint="eastAsia"/>
                <w:b/>
                <w:color w:val="auto"/>
                <w:sz w:val="21"/>
                <w:szCs w:val="21"/>
                <w:u w:val="none"/>
              </w:rPr>
              <w:t>平均时间</w:t>
            </w:r>
          </w:p>
        </w:tc>
        <w:tc>
          <w:tcPr>
            <w:tcW w:w="621" w:type="pct"/>
            <w:noWrap w:val="0"/>
            <w:vAlign w:val="center"/>
          </w:tcPr>
          <w:p>
            <w:pPr>
              <w:adjustRightInd w:val="0"/>
              <w:snapToGrid w:val="0"/>
              <w:spacing w:line="240" w:lineRule="auto"/>
              <w:ind w:left="-120" w:leftChars="-50" w:right="-120" w:rightChars="-50" w:firstLine="0" w:firstLineChars="0"/>
              <w:jc w:val="center"/>
              <w:rPr>
                <w:rFonts w:hint="eastAsia"/>
                <w:b/>
                <w:color w:val="auto"/>
                <w:sz w:val="21"/>
                <w:szCs w:val="21"/>
                <w:u w:val="none"/>
              </w:rPr>
            </w:pPr>
            <w:r>
              <w:rPr>
                <w:rFonts w:hint="eastAsia"/>
                <w:b/>
                <w:color w:val="auto"/>
                <w:sz w:val="21"/>
                <w:szCs w:val="21"/>
                <w:u w:val="none"/>
              </w:rPr>
              <w:t>评价</w:t>
            </w:r>
          </w:p>
          <w:p>
            <w:pPr>
              <w:adjustRightInd w:val="0"/>
              <w:snapToGrid w:val="0"/>
              <w:spacing w:line="240" w:lineRule="auto"/>
              <w:ind w:left="-120" w:leftChars="-50" w:right="-120" w:rightChars="-50" w:firstLine="0" w:firstLineChars="0"/>
              <w:jc w:val="center"/>
              <w:rPr>
                <w:b/>
                <w:color w:val="auto"/>
                <w:sz w:val="21"/>
                <w:szCs w:val="21"/>
                <w:u w:val="none"/>
              </w:rPr>
            </w:pPr>
            <w:r>
              <w:rPr>
                <w:rFonts w:hint="eastAsia"/>
                <w:b/>
                <w:color w:val="auto"/>
                <w:sz w:val="21"/>
                <w:szCs w:val="21"/>
                <w:u w:val="none"/>
              </w:rPr>
              <w:t>标准</w:t>
            </w:r>
          </w:p>
        </w:tc>
        <w:tc>
          <w:tcPr>
            <w:tcW w:w="867" w:type="pct"/>
            <w:noWrap w:val="0"/>
            <w:vAlign w:val="center"/>
          </w:tcPr>
          <w:p>
            <w:pPr>
              <w:adjustRightInd w:val="0"/>
              <w:snapToGrid w:val="0"/>
              <w:spacing w:line="240" w:lineRule="auto"/>
              <w:ind w:firstLine="0" w:firstLineChars="0"/>
              <w:jc w:val="center"/>
              <w:rPr>
                <w:rFonts w:hint="eastAsia"/>
                <w:b/>
                <w:color w:val="auto"/>
                <w:sz w:val="21"/>
                <w:szCs w:val="21"/>
                <w:u w:val="none"/>
              </w:rPr>
            </w:pPr>
            <w:r>
              <w:rPr>
                <w:rFonts w:hint="eastAsia"/>
                <w:b/>
                <w:color w:val="auto"/>
                <w:sz w:val="21"/>
                <w:szCs w:val="21"/>
                <w:u w:val="none"/>
              </w:rPr>
              <w:t>监测</w:t>
            </w:r>
          </w:p>
          <w:p>
            <w:pPr>
              <w:adjustRightInd w:val="0"/>
              <w:snapToGrid w:val="0"/>
              <w:spacing w:line="240" w:lineRule="auto"/>
              <w:ind w:firstLine="0" w:firstLineChars="0"/>
              <w:jc w:val="center"/>
              <w:rPr>
                <w:b/>
                <w:color w:val="auto"/>
                <w:sz w:val="21"/>
                <w:szCs w:val="21"/>
                <w:u w:val="none"/>
              </w:rPr>
            </w:pPr>
            <w:r>
              <w:rPr>
                <w:rFonts w:hint="eastAsia"/>
                <w:b/>
                <w:color w:val="auto"/>
                <w:sz w:val="21"/>
                <w:szCs w:val="21"/>
                <w:u w:val="none"/>
              </w:rPr>
              <w:t>浓度范围</w:t>
            </w:r>
          </w:p>
        </w:tc>
        <w:tc>
          <w:tcPr>
            <w:tcW w:w="695" w:type="pct"/>
            <w:noWrap w:val="0"/>
            <w:vAlign w:val="center"/>
          </w:tcPr>
          <w:p>
            <w:pPr>
              <w:adjustRightInd w:val="0"/>
              <w:snapToGrid w:val="0"/>
              <w:spacing w:line="240" w:lineRule="auto"/>
              <w:ind w:firstLine="0" w:firstLineChars="0"/>
              <w:jc w:val="center"/>
              <w:rPr>
                <w:b/>
                <w:color w:val="auto"/>
                <w:sz w:val="21"/>
                <w:szCs w:val="21"/>
                <w:u w:val="none"/>
              </w:rPr>
            </w:pPr>
            <w:r>
              <w:rPr>
                <w:rFonts w:hint="eastAsia"/>
                <w:b/>
                <w:color w:val="auto"/>
                <w:sz w:val="21"/>
                <w:szCs w:val="21"/>
                <w:u w:val="none"/>
              </w:rPr>
              <w:t>最大浓度占标率/%</w:t>
            </w:r>
          </w:p>
        </w:tc>
        <w:tc>
          <w:tcPr>
            <w:tcW w:w="404" w:type="pct"/>
            <w:noWrap w:val="0"/>
            <w:vAlign w:val="center"/>
          </w:tcPr>
          <w:p>
            <w:pPr>
              <w:adjustRightInd w:val="0"/>
              <w:snapToGrid w:val="0"/>
              <w:spacing w:line="240" w:lineRule="auto"/>
              <w:ind w:firstLine="0" w:firstLineChars="0"/>
              <w:jc w:val="center"/>
              <w:rPr>
                <w:b/>
                <w:color w:val="auto"/>
                <w:sz w:val="21"/>
                <w:szCs w:val="21"/>
                <w:u w:val="none"/>
              </w:rPr>
            </w:pPr>
            <w:r>
              <w:rPr>
                <w:rFonts w:hint="eastAsia"/>
                <w:b/>
                <w:color w:val="auto"/>
                <w:sz w:val="21"/>
                <w:szCs w:val="21"/>
                <w:u w:val="none"/>
              </w:rPr>
              <w:t>超标率/%</w:t>
            </w:r>
          </w:p>
        </w:tc>
        <w:tc>
          <w:tcPr>
            <w:tcW w:w="425" w:type="pct"/>
            <w:noWrap w:val="0"/>
            <w:vAlign w:val="center"/>
          </w:tcPr>
          <w:p>
            <w:pPr>
              <w:adjustRightInd w:val="0"/>
              <w:snapToGrid w:val="0"/>
              <w:spacing w:line="240" w:lineRule="auto"/>
              <w:ind w:firstLine="0" w:firstLineChars="0"/>
              <w:jc w:val="center"/>
              <w:rPr>
                <w:b/>
                <w:color w:val="auto"/>
                <w:sz w:val="21"/>
                <w:szCs w:val="21"/>
                <w:u w:val="none"/>
              </w:rPr>
            </w:pPr>
            <w:r>
              <w:rPr>
                <w:rFonts w:hint="eastAsia"/>
                <w:b/>
                <w:color w:val="auto"/>
                <w:sz w:val="21"/>
                <w:szCs w:val="21"/>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restar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G1</w:t>
            </w:r>
          </w:p>
        </w:tc>
        <w:tc>
          <w:tcPr>
            <w:tcW w:w="77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color w:val="auto"/>
                <w:u w:val="none"/>
              </w:rPr>
              <w:t>TSP</w:t>
            </w:r>
          </w:p>
        </w:tc>
        <w:tc>
          <w:tcPr>
            <w:tcW w:w="722"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24h平均</w:t>
            </w:r>
          </w:p>
        </w:tc>
        <w:tc>
          <w:tcPr>
            <w:tcW w:w="621" w:type="pct"/>
            <w:noWrap w:val="0"/>
            <w:vAlign w:val="center"/>
          </w:tcPr>
          <w:p>
            <w:pPr>
              <w:adjustRightInd w:val="0"/>
              <w:snapToGrid w:val="0"/>
              <w:spacing w:line="240" w:lineRule="auto"/>
              <w:ind w:left="-120" w:leftChars="-50" w:right="-120" w:rightChars="-50" w:firstLine="0" w:firstLineChars="0"/>
              <w:jc w:val="center"/>
              <w:rPr>
                <w:bCs/>
                <w:color w:val="auto"/>
                <w:sz w:val="21"/>
                <w:szCs w:val="21"/>
                <w:u w:val="none"/>
              </w:rPr>
            </w:pPr>
            <w:r>
              <w:rPr>
                <w:bCs/>
                <w:color w:val="auto"/>
                <w:sz w:val="21"/>
                <w:szCs w:val="21"/>
                <w:u w:val="none"/>
              </w:rPr>
              <w:t>300</w:t>
            </w:r>
          </w:p>
        </w:tc>
        <w:tc>
          <w:tcPr>
            <w:tcW w:w="867"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57~59</w:t>
            </w:r>
          </w:p>
        </w:tc>
        <w:tc>
          <w:tcPr>
            <w:tcW w:w="695"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19.67</w:t>
            </w:r>
          </w:p>
        </w:tc>
        <w:tc>
          <w:tcPr>
            <w:tcW w:w="404"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0</w:t>
            </w:r>
          </w:p>
        </w:tc>
        <w:tc>
          <w:tcPr>
            <w:tcW w:w="42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noWrap w:val="0"/>
            <w:vAlign w:val="center"/>
          </w:tcPr>
          <w:p>
            <w:pPr>
              <w:adjustRightInd w:val="0"/>
              <w:snapToGrid w:val="0"/>
              <w:spacing w:line="240" w:lineRule="auto"/>
              <w:ind w:firstLine="0" w:firstLineChars="0"/>
              <w:jc w:val="center"/>
              <w:rPr>
                <w:bCs/>
                <w:color w:val="auto"/>
                <w:sz w:val="21"/>
                <w:szCs w:val="21"/>
                <w:u w:val="none"/>
              </w:rPr>
            </w:pPr>
          </w:p>
        </w:tc>
        <w:tc>
          <w:tcPr>
            <w:tcW w:w="77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color w:val="auto"/>
                <w:u w:val="none"/>
              </w:rPr>
              <w:t>NH</w:t>
            </w:r>
            <w:r>
              <w:rPr>
                <w:rFonts w:hint="eastAsia"/>
                <w:color w:val="auto"/>
                <w:u w:val="none"/>
                <w:vertAlign w:val="subscript"/>
              </w:rPr>
              <w:t>3</w:t>
            </w:r>
          </w:p>
        </w:tc>
        <w:tc>
          <w:tcPr>
            <w:tcW w:w="722" w:type="pct"/>
            <w:noWrap w:val="0"/>
            <w:vAlign w:val="center"/>
          </w:tcPr>
          <w:p>
            <w:pPr>
              <w:adjustRightInd w:val="0"/>
              <w:snapToGrid w:val="0"/>
              <w:spacing w:line="240" w:lineRule="auto"/>
              <w:ind w:firstLine="0" w:firstLineChars="0"/>
              <w:jc w:val="center"/>
              <w:rPr>
                <w:rFonts w:hint="eastAsia"/>
                <w:bCs/>
                <w:color w:val="auto"/>
                <w:sz w:val="21"/>
                <w:szCs w:val="21"/>
                <w:u w:val="none"/>
              </w:rPr>
            </w:pPr>
            <w:r>
              <w:rPr>
                <w:rFonts w:hint="eastAsia"/>
                <w:bCs/>
                <w:color w:val="auto"/>
                <w:sz w:val="21"/>
                <w:szCs w:val="21"/>
                <w:u w:val="none"/>
                <w:lang w:val="en-US" w:eastAsia="zh-CN"/>
              </w:rPr>
              <w:t>1h</w:t>
            </w:r>
            <w:r>
              <w:rPr>
                <w:rFonts w:hint="eastAsia"/>
                <w:bCs/>
                <w:color w:val="auto"/>
                <w:sz w:val="21"/>
                <w:szCs w:val="21"/>
                <w:u w:val="none"/>
              </w:rPr>
              <w:t>值</w:t>
            </w:r>
          </w:p>
        </w:tc>
        <w:tc>
          <w:tcPr>
            <w:tcW w:w="621" w:type="pct"/>
            <w:noWrap w:val="0"/>
            <w:vAlign w:val="center"/>
          </w:tcPr>
          <w:p>
            <w:pPr>
              <w:adjustRightInd w:val="0"/>
              <w:snapToGrid w:val="0"/>
              <w:spacing w:line="240" w:lineRule="auto"/>
              <w:ind w:left="-120" w:leftChars="-50" w:right="-120" w:rightChars="-50" w:firstLine="0" w:firstLineChars="0"/>
              <w:jc w:val="center"/>
              <w:rPr>
                <w:bCs/>
                <w:color w:val="auto"/>
                <w:sz w:val="21"/>
                <w:szCs w:val="21"/>
                <w:u w:val="none"/>
              </w:rPr>
            </w:pPr>
            <w:r>
              <w:rPr>
                <w:bCs/>
                <w:color w:val="auto"/>
                <w:sz w:val="21"/>
                <w:szCs w:val="21"/>
                <w:u w:val="none"/>
              </w:rPr>
              <w:t>200</w:t>
            </w:r>
          </w:p>
        </w:tc>
        <w:tc>
          <w:tcPr>
            <w:tcW w:w="867"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40~60</w:t>
            </w:r>
          </w:p>
        </w:tc>
        <w:tc>
          <w:tcPr>
            <w:tcW w:w="695" w:type="pct"/>
            <w:noWrap w:val="0"/>
            <w:vAlign w:val="center"/>
          </w:tcPr>
          <w:p>
            <w:pPr>
              <w:adjustRightInd w:val="0"/>
              <w:snapToGrid w:val="0"/>
              <w:spacing w:line="240" w:lineRule="auto"/>
              <w:ind w:firstLine="0" w:firstLineChars="0"/>
              <w:jc w:val="center"/>
              <w:rPr>
                <w:bCs/>
                <w:color w:val="auto"/>
                <w:sz w:val="21"/>
                <w:szCs w:val="21"/>
                <w:u w:val="none"/>
              </w:rPr>
            </w:pPr>
            <w:r>
              <w:rPr>
                <w:bCs/>
                <w:color w:val="auto"/>
                <w:sz w:val="21"/>
                <w:szCs w:val="21"/>
                <w:u w:val="none"/>
              </w:rPr>
              <w:t>30</w:t>
            </w:r>
          </w:p>
        </w:tc>
        <w:tc>
          <w:tcPr>
            <w:tcW w:w="404"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0</w:t>
            </w:r>
          </w:p>
        </w:tc>
        <w:tc>
          <w:tcPr>
            <w:tcW w:w="42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noWrap w:val="0"/>
            <w:vAlign w:val="center"/>
          </w:tcPr>
          <w:p>
            <w:pPr>
              <w:adjustRightInd w:val="0"/>
              <w:snapToGrid w:val="0"/>
              <w:spacing w:line="240" w:lineRule="auto"/>
              <w:ind w:firstLine="0" w:firstLineChars="0"/>
              <w:jc w:val="center"/>
              <w:rPr>
                <w:bCs/>
                <w:color w:val="auto"/>
                <w:sz w:val="21"/>
                <w:szCs w:val="21"/>
                <w:u w:val="none"/>
              </w:rPr>
            </w:pPr>
          </w:p>
        </w:tc>
        <w:tc>
          <w:tcPr>
            <w:tcW w:w="77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color w:val="auto"/>
                <w:u w:val="none"/>
              </w:rPr>
              <w:t>H</w:t>
            </w:r>
            <w:r>
              <w:rPr>
                <w:rFonts w:hint="eastAsia"/>
                <w:color w:val="auto"/>
                <w:u w:val="none"/>
                <w:vertAlign w:val="subscript"/>
              </w:rPr>
              <w:t>2</w:t>
            </w:r>
            <w:r>
              <w:rPr>
                <w:rFonts w:hint="eastAsia"/>
                <w:color w:val="auto"/>
                <w:u w:val="none"/>
              </w:rPr>
              <w:t>S</w:t>
            </w:r>
          </w:p>
        </w:tc>
        <w:tc>
          <w:tcPr>
            <w:tcW w:w="722"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lang w:val="en-US" w:eastAsia="zh-CN"/>
              </w:rPr>
              <w:t>1h</w:t>
            </w:r>
            <w:r>
              <w:rPr>
                <w:rFonts w:hint="eastAsia"/>
                <w:bCs/>
                <w:color w:val="auto"/>
                <w:sz w:val="21"/>
                <w:szCs w:val="21"/>
                <w:u w:val="none"/>
              </w:rPr>
              <w:t>值</w:t>
            </w:r>
          </w:p>
        </w:tc>
        <w:tc>
          <w:tcPr>
            <w:tcW w:w="621" w:type="pct"/>
            <w:noWrap w:val="0"/>
            <w:vAlign w:val="center"/>
          </w:tcPr>
          <w:p>
            <w:pPr>
              <w:adjustRightInd w:val="0"/>
              <w:snapToGrid w:val="0"/>
              <w:spacing w:line="240" w:lineRule="auto"/>
              <w:ind w:left="-120" w:leftChars="-50" w:right="-120" w:rightChars="-50" w:firstLine="0" w:firstLineChars="0"/>
              <w:jc w:val="center"/>
              <w:rPr>
                <w:bCs/>
                <w:color w:val="auto"/>
                <w:sz w:val="21"/>
                <w:szCs w:val="21"/>
                <w:u w:val="none"/>
              </w:rPr>
            </w:pPr>
            <w:r>
              <w:rPr>
                <w:bCs/>
                <w:color w:val="auto"/>
                <w:sz w:val="21"/>
                <w:szCs w:val="21"/>
                <w:u w:val="none"/>
              </w:rPr>
              <w:t>10</w:t>
            </w:r>
          </w:p>
        </w:tc>
        <w:tc>
          <w:tcPr>
            <w:tcW w:w="867"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5~6</w:t>
            </w:r>
          </w:p>
        </w:tc>
        <w:tc>
          <w:tcPr>
            <w:tcW w:w="695"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60</w:t>
            </w:r>
          </w:p>
        </w:tc>
        <w:tc>
          <w:tcPr>
            <w:tcW w:w="404"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0</w:t>
            </w:r>
          </w:p>
        </w:tc>
        <w:tc>
          <w:tcPr>
            <w:tcW w:w="42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noWrap w:val="0"/>
            <w:vAlign w:val="center"/>
          </w:tcPr>
          <w:p>
            <w:pPr>
              <w:adjustRightInd w:val="0"/>
              <w:snapToGrid w:val="0"/>
              <w:spacing w:line="240" w:lineRule="auto"/>
              <w:ind w:firstLine="0" w:firstLineChars="0"/>
              <w:jc w:val="center"/>
              <w:rPr>
                <w:bCs/>
                <w:color w:val="auto"/>
                <w:sz w:val="21"/>
                <w:szCs w:val="21"/>
                <w:u w:val="none"/>
              </w:rPr>
            </w:pPr>
          </w:p>
        </w:tc>
        <w:tc>
          <w:tcPr>
            <w:tcW w:w="775" w:type="pct"/>
            <w:noWrap w:val="0"/>
            <w:vAlign w:val="center"/>
          </w:tcPr>
          <w:p>
            <w:pPr>
              <w:adjustRightInd w:val="0"/>
              <w:snapToGrid w:val="0"/>
              <w:spacing w:line="240" w:lineRule="auto"/>
              <w:ind w:firstLine="0" w:firstLineChars="0"/>
              <w:jc w:val="center"/>
              <w:rPr>
                <w:rFonts w:hint="eastAsia" w:eastAsia="宋体"/>
                <w:color w:val="auto"/>
                <w:u w:val="none"/>
                <w:lang w:eastAsia="zh-CN"/>
              </w:rPr>
            </w:pPr>
            <w:r>
              <w:rPr>
                <w:rFonts w:hint="eastAsia"/>
                <w:color w:val="auto"/>
                <w:u w:val="none"/>
                <w:lang w:eastAsia="zh-CN"/>
              </w:rPr>
              <w:t>臭气浓度</w:t>
            </w:r>
          </w:p>
        </w:tc>
        <w:tc>
          <w:tcPr>
            <w:tcW w:w="722" w:type="pct"/>
            <w:noWrap w:val="0"/>
            <w:vAlign w:val="center"/>
          </w:tcPr>
          <w:p>
            <w:pPr>
              <w:adjustRightInd w:val="0"/>
              <w:snapToGrid w:val="0"/>
              <w:spacing w:line="240" w:lineRule="auto"/>
              <w:ind w:firstLine="0" w:firstLineChars="0"/>
              <w:jc w:val="center"/>
              <w:rPr>
                <w:rFonts w:hint="eastAsia" w:eastAsia="宋体"/>
                <w:bCs/>
                <w:color w:val="auto"/>
                <w:sz w:val="21"/>
                <w:szCs w:val="21"/>
                <w:u w:val="none"/>
                <w:lang w:val="en-US" w:eastAsia="zh-CN"/>
              </w:rPr>
            </w:pPr>
          </w:p>
        </w:tc>
        <w:tc>
          <w:tcPr>
            <w:tcW w:w="621" w:type="pct"/>
            <w:noWrap w:val="0"/>
            <w:vAlign w:val="center"/>
          </w:tcPr>
          <w:p>
            <w:pPr>
              <w:adjustRightInd w:val="0"/>
              <w:snapToGrid w:val="0"/>
              <w:spacing w:line="240" w:lineRule="auto"/>
              <w:ind w:left="-120" w:leftChars="-50" w:right="-120" w:rightChars="-50" w:firstLine="0" w:firstLineChars="0"/>
              <w:jc w:val="center"/>
              <w:rPr>
                <w:rFonts w:hint="eastAsia" w:eastAsia="宋体"/>
                <w:bCs/>
                <w:color w:val="auto"/>
                <w:sz w:val="21"/>
                <w:szCs w:val="21"/>
                <w:u w:val="none"/>
                <w:lang w:eastAsia="zh-CN"/>
              </w:rPr>
            </w:pPr>
            <w:r>
              <w:rPr>
                <w:rFonts w:hint="eastAsia" w:ascii="宋体" w:hAnsi="宋体" w:eastAsia="宋体" w:cs="宋体"/>
                <w:bCs/>
                <w:color w:val="auto"/>
                <w:sz w:val="21"/>
                <w:szCs w:val="21"/>
                <w:u w:val="none"/>
                <w:lang w:val="en-US" w:eastAsia="zh-CN"/>
              </w:rPr>
              <w:t>/</w:t>
            </w:r>
          </w:p>
        </w:tc>
        <w:tc>
          <w:tcPr>
            <w:tcW w:w="867"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ascii="宋体" w:hAnsi="宋体" w:eastAsia="宋体" w:cs="宋体"/>
                <w:bCs/>
                <w:color w:val="auto"/>
                <w:sz w:val="21"/>
                <w:szCs w:val="21"/>
                <w:u w:val="none"/>
              </w:rPr>
              <w:t>&lt;</w:t>
            </w:r>
            <w:r>
              <w:rPr>
                <w:rFonts w:hint="eastAsia" w:eastAsia="宋体"/>
                <w:bCs/>
                <w:color w:val="auto"/>
                <w:sz w:val="21"/>
                <w:szCs w:val="21"/>
                <w:u w:val="none"/>
                <w:lang w:val="en-US" w:eastAsia="zh-CN"/>
              </w:rPr>
              <w:t>10</w:t>
            </w:r>
          </w:p>
        </w:tc>
        <w:tc>
          <w:tcPr>
            <w:tcW w:w="695" w:type="pct"/>
            <w:noWrap w:val="0"/>
            <w:vAlign w:val="center"/>
          </w:tcPr>
          <w:p>
            <w:pPr>
              <w:adjustRightInd w:val="0"/>
              <w:snapToGrid w:val="0"/>
              <w:spacing w:line="240" w:lineRule="auto"/>
              <w:ind w:firstLine="0" w:firstLineChars="0"/>
              <w:jc w:val="center"/>
              <w:rPr>
                <w:rFonts w:hint="eastAsia" w:eastAsia="宋体"/>
                <w:bCs/>
                <w:color w:val="auto"/>
                <w:sz w:val="21"/>
                <w:szCs w:val="21"/>
                <w:u w:val="none"/>
                <w:lang w:val="en-US" w:eastAsia="zh-CN"/>
              </w:rPr>
            </w:pPr>
            <w:r>
              <w:rPr>
                <w:rFonts w:hint="eastAsia"/>
                <w:bCs/>
                <w:color w:val="auto"/>
                <w:sz w:val="21"/>
                <w:szCs w:val="21"/>
                <w:u w:val="none"/>
                <w:lang w:val="en-US" w:eastAsia="zh-CN"/>
              </w:rPr>
              <w:t>/</w:t>
            </w:r>
          </w:p>
        </w:tc>
        <w:tc>
          <w:tcPr>
            <w:tcW w:w="404" w:type="pct"/>
            <w:noWrap w:val="0"/>
            <w:vAlign w:val="center"/>
          </w:tcPr>
          <w:p>
            <w:pPr>
              <w:adjustRightInd w:val="0"/>
              <w:snapToGrid w:val="0"/>
              <w:spacing w:line="240" w:lineRule="auto"/>
              <w:ind w:firstLine="0" w:firstLineChars="0"/>
              <w:jc w:val="center"/>
              <w:rPr>
                <w:rFonts w:hint="eastAsia" w:eastAsia="宋体"/>
                <w:bCs/>
                <w:color w:val="auto"/>
                <w:sz w:val="21"/>
                <w:szCs w:val="21"/>
                <w:u w:val="none"/>
                <w:lang w:val="en-US" w:eastAsia="zh-CN"/>
              </w:rPr>
            </w:pPr>
            <w:r>
              <w:rPr>
                <w:rFonts w:hint="eastAsia"/>
                <w:bCs/>
                <w:color w:val="auto"/>
                <w:sz w:val="21"/>
                <w:szCs w:val="21"/>
                <w:u w:val="none"/>
                <w:lang w:val="en-US" w:eastAsia="zh-CN"/>
              </w:rPr>
              <w:t>0</w:t>
            </w:r>
          </w:p>
        </w:tc>
        <w:tc>
          <w:tcPr>
            <w:tcW w:w="425" w:type="pct"/>
            <w:noWrap w:val="0"/>
            <w:vAlign w:val="center"/>
          </w:tcPr>
          <w:p>
            <w:pPr>
              <w:adjustRightInd w:val="0"/>
              <w:snapToGrid w:val="0"/>
              <w:spacing w:line="240" w:lineRule="auto"/>
              <w:ind w:firstLine="0" w:firstLineChars="0"/>
              <w:jc w:val="center"/>
              <w:rPr>
                <w:rFonts w:hint="eastAsia" w:eastAsia="宋体"/>
                <w:bCs/>
                <w:color w:val="auto"/>
                <w:sz w:val="21"/>
                <w:szCs w:val="21"/>
                <w:u w:val="none"/>
                <w:lang w:val="en-US" w:eastAsia="zh-CN"/>
              </w:rPr>
            </w:pPr>
            <w:r>
              <w:rPr>
                <w:rFonts w:hint="eastAsia"/>
                <w:bCs/>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restart"/>
            <w:noWrap w:val="0"/>
            <w:vAlign w:val="center"/>
          </w:tcPr>
          <w:p>
            <w:pPr>
              <w:adjustRightInd w:val="0"/>
              <w:snapToGrid w:val="0"/>
              <w:spacing w:line="240" w:lineRule="auto"/>
              <w:ind w:firstLine="0" w:firstLineChars="0"/>
              <w:jc w:val="center"/>
              <w:rPr>
                <w:rFonts w:hint="eastAsia"/>
                <w:bCs/>
                <w:color w:val="auto"/>
                <w:sz w:val="21"/>
                <w:szCs w:val="21"/>
                <w:u w:val="none"/>
              </w:rPr>
            </w:pPr>
            <w:r>
              <w:rPr>
                <w:rFonts w:hint="eastAsia"/>
                <w:bCs/>
                <w:color w:val="auto"/>
                <w:sz w:val="21"/>
                <w:szCs w:val="21"/>
                <w:u w:val="none"/>
              </w:rPr>
              <w:t>G2</w:t>
            </w:r>
          </w:p>
        </w:tc>
        <w:tc>
          <w:tcPr>
            <w:tcW w:w="77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color w:val="auto"/>
                <w:u w:val="none"/>
              </w:rPr>
              <w:t>TSP</w:t>
            </w:r>
          </w:p>
        </w:tc>
        <w:tc>
          <w:tcPr>
            <w:tcW w:w="722"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24h平均</w:t>
            </w:r>
          </w:p>
        </w:tc>
        <w:tc>
          <w:tcPr>
            <w:tcW w:w="621" w:type="pct"/>
            <w:noWrap w:val="0"/>
            <w:vAlign w:val="center"/>
          </w:tcPr>
          <w:p>
            <w:pPr>
              <w:adjustRightInd w:val="0"/>
              <w:snapToGrid w:val="0"/>
              <w:spacing w:line="240" w:lineRule="auto"/>
              <w:ind w:left="-120" w:leftChars="-50" w:right="-120" w:rightChars="-50" w:firstLine="0" w:firstLineChars="0"/>
              <w:jc w:val="center"/>
              <w:rPr>
                <w:bCs/>
                <w:color w:val="auto"/>
                <w:sz w:val="21"/>
                <w:szCs w:val="21"/>
                <w:u w:val="none"/>
              </w:rPr>
            </w:pPr>
            <w:r>
              <w:rPr>
                <w:bCs/>
                <w:color w:val="auto"/>
                <w:sz w:val="21"/>
                <w:szCs w:val="21"/>
                <w:u w:val="none"/>
              </w:rPr>
              <w:t>300</w:t>
            </w:r>
          </w:p>
        </w:tc>
        <w:tc>
          <w:tcPr>
            <w:tcW w:w="867"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60~64</w:t>
            </w:r>
          </w:p>
        </w:tc>
        <w:tc>
          <w:tcPr>
            <w:tcW w:w="695"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21.33</w:t>
            </w:r>
          </w:p>
        </w:tc>
        <w:tc>
          <w:tcPr>
            <w:tcW w:w="404"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0</w:t>
            </w:r>
          </w:p>
        </w:tc>
        <w:tc>
          <w:tcPr>
            <w:tcW w:w="42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noWrap w:val="0"/>
            <w:vAlign w:val="center"/>
          </w:tcPr>
          <w:p>
            <w:pPr>
              <w:adjustRightInd w:val="0"/>
              <w:snapToGrid w:val="0"/>
              <w:spacing w:line="240" w:lineRule="auto"/>
              <w:ind w:firstLine="0" w:firstLineChars="0"/>
              <w:jc w:val="center"/>
              <w:rPr>
                <w:bCs/>
                <w:color w:val="auto"/>
                <w:sz w:val="21"/>
                <w:szCs w:val="21"/>
                <w:u w:val="none"/>
              </w:rPr>
            </w:pPr>
          </w:p>
        </w:tc>
        <w:tc>
          <w:tcPr>
            <w:tcW w:w="77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color w:val="auto"/>
                <w:u w:val="none"/>
              </w:rPr>
              <w:t>NH</w:t>
            </w:r>
            <w:r>
              <w:rPr>
                <w:rFonts w:hint="eastAsia"/>
                <w:color w:val="auto"/>
                <w:u w:val="none"/>
                <w:vertAlign w:val="subscript"/>
              </w:rPr>
              <w:t>3</w:t>
            </w:r>
          </w:p>
        </w:tc>
        <w:tc>
          <w:tcPr>
            <w:tcW w:w="722" w:type="pct"/>
            <w:noWrap w:val="0"/>
            <w:vAlign w:val="center"/>
          </w:tcPr>
          <w:p>
            <w:pPr>
              <w:adjustRightInd w:val="0"/>
              <w:snapToGrid w:val="0"/>
              <w:spacing w:line="240" w:lineRule="auto"/>
              <w:ind w:firstLine="0" w:firstLineChars="0"/>
              <w:jc w:val="center"/>
              <w:rPr>
                <w:rFonts w:hint="eastAsia"/>
                <w:bCs/>
                <w:color w:val="auto"/>
                <w:sz w:val="21"/>
                <w:szCs w:val="21"/>
                <w:u w:val="none"/>
              </w:rPr>
            </w:pPr>
            <w:r>
              <w:rPr>
                <w:rFonts w:hint="eastAsia"/>
                <w:bCs/>
                <w:color w:val="auto"/>
                <w:sz w:val="21"/>
                <w:szCs w:val="21"/>
                <w:u w:val="none"/>
                <w:lang w:val="en-US" w:eastAsia="zh-CN"/>
              </w:rPr>
              <w:t>1h</w:t>
            </w:r>
            <w:r>
              <w:rPr>
                <w:rFonts w:hint="eastAsia"/>
                <w:bCs/>
                <w:color w:val="auto"/>
                <w:sz w:val="21"/>
                <w:szCs w:val="21"/>
                <w:u w:val="none"/>
              </w:rPr>
              <w:t>值</w:t>
            </w:r>
          </w:p>
        </w:tc>
        <w:tc>
          <w:tcPr>
            <w:tcW w:w="621" w:type="pct"/>
            <w:noWrap w:val="0"/>
            <w:vAlign w:val="center"/>
          </w:tcPr>
          <w:p>
            <w:pPr>
              <w:adjustRightInd w:val="0"/>
              <w:snapToGrid w:val="0"/>
              <w:spacing w:line="240" w:lineRule="auto"/>
              <w:ind w:left="-120" w:leftChars="-50" w:right="-120" w:rightChars="-50" w:firstLine="0" w:firstLineChars="0"/>
              <w:jc w:val="center"/>
              <w:rPr>
                <w:bCs/>
                <w:color w:val="auto"/>
                <w:sz w:val="21"/>
                <w:szCs w:val="21"/>
                <w:u w:val="none"/>
              </w:rPr>
            </w:pPr>
            <w:r>
              <w:rPr>
                <w:bCs/>
                <w:color w:val="auto"/>
                <w:sz w:val="21"/>
                <w:szCs w:val="21"/>
                <w:u w:val="none"/>
              </w:rPr>
              <w:t>200</w:t>
            </w:r>
          </w:p>
        </w:tc>
        <w:tc>
          <w:tcPr>
            <w:tcW w:w="867"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10~110</w:t>
            </w:r>
          </w:p>
        </w:tc>
        <w:tc>
          <w:tcPr>
            <w:tcW w:w="695"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55</w:t>
            </w:r>
          </w:p>
        </w:tc>
        <w:tc>
          <w:tcPr>
            <w:tcW w:w="404"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0</w:t>
            </w:r>
          </w:p>
        </w:tc>
        <w:tc>
          <w:tcPr>
            <w:tcW w:w="42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noWrap w:val="0"/>
            <w:vAlign w:val="center"/>
          </w:tcPr>
          <w:p>
            <w:pPr>
              <w:adjustRightInd w:val="0"/>
              <w:snapToGrid w:val="0"/>
              <w:spacing w:line="240" w:lineRule="auto"/>
              <w:ind w:firstLine="0" w:firstLineChars="0"/>
              <w:jc w:val="center"/>
              <w:rPr>
                <w:bCs/>
                <w:color w:val="auto"/>
                <w:sz w:val="21"/>
                <w:szCs w:val="21"/>
                <w:u w:val="none"/>
              </w:rPr>
            </w:pPr>
          </w:p>
        </w:tc>
        <w:tc>
          <w:tcPr>
            <w:tcW w:w="77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color w:val="auto"/>
                <w:u w:val="none"/>
              </w:rPr>
              <w:t>H</w:t>
            </w:r>
            <w:r>
              <w:rPr>
                <w:rFonts w:hint="eastAsia"/>
                <w:color w:val="auto"/>
                <w:u w:val="none"/>
                <w:vertAlign w:val="subscript"/>
              </w:rPr>
              <w:t>2</w:t>
            </w:r>
            <w:r>
              <w:rPr>
                <w:rFonts w:hint="eastAsia"/>
                <w:color w:val="auto"/>
                <w:u w:val="none"/>
              </w:rPr>
              <w:t>S</w:t>
            </w:r>
          </w:p>
        </w:tc>
        <w:tc>
          <w:tcPr>
            <w:tcW w:w="722"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lang w:val="en-US" w:eastAsia="zh-CN"/>
              </w:rPr>
              <w:t>1h</w:t>
            </w:r>
            <w:r>
              <w:rPr>
                <w:rFonts w:hint="eastAsia"/>
                <w:bCs/>
                <w:color w:val="auto"/>
                <w:sz w:val="21"/>
                <w:szCs w:val="21"/>
                <w:u w:val="none"/>
              </w:rPr>
              <w:t>值</w:t>
            </w:r>
          </w:p>
        </w:tc>
        <w:tc>
          <w:tcPr>
            <w:tcW w:w="621" w:type="pct"/>
            <w:noWrap w:val="0"/>
            <w:vAlign w:val="center"/>
          </w:tcPr>
          <w:p>
            <w:pPr>
              <w:adjustRightInd w:val="0"/>
              <w:snapToGrid w:val="0"/>
              <w:spacing w:line="240" w:lineRule="auto"/>
              <w:ind w:left="-120" w:leftChars="-50" w:right="-120" w:rightChars="-50" w:firstLine="0" w:firstLineChars="0"/>
              <w:jc w:val="center"/>
              <w:rPr>
                <w:bCs/>
                <w:color w:val="auto"/>
                <w:sz w:val="21"/>
                <w:szCs w:val="21"/>
                <w:u w:val="none"/>
              </w:rPr>
            </w:pPr>
            <w:r>
              <w:rPr>
                <w:bCs/>
                <w:color w:val="auto"/>
                <w:sz w:val="21"/>
                <w:szCs w:val="21"/>
                <w:u w:val="none"/>
              </w:rPr>
              <w:t>10</w:t>
            </w:r>
          </w:p>
        </w:tc>
        <w:tc>
          <w:tcPr>
            <w:tcW w:w="867"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9~10</w:t>
            </w:r>
          </w:p>
        </w:tc>
        <w:tc>
          <w:tcPr>
            <w:tcW w:w="695" w:type="pct"/>
            <w:noWrap w:val="0"/>
            <w:vAlign w:val="center"/>
          </w:tcPr>
          <w:p>
            <w:pPr>
              <w:adjustRightInd w:val="0"/>
              <w:snapToGrid w:val="0"/>
              <w:spacing w:line="240" w:lineRule="auto"/>
              <w:ind w:firstLine="0" w:firstLineChars="0"/>
              <w:jc w:val="center"/>
              <w:rPr>
                <w:rFonts w:hint="default" w:eastAsia="宋体"/>
                <w:bCs/>
                <w:color w:val="auto"/>
                <w:sz w:val="21"/>
                <w:szCs w:val="21"/>
                <w:u w:val="none"/>
                <w:lang w:val="en-US" w:eastAsia="zh-CN"/>
              </w:rPr>
            </w:pPr>
            <w:r>
              <w:rPr>
                <w:rFonts w:hint="eastAsia"/>
                <w:bCs/>
                <w:color w:val="auto"/>
                <w:sz w:val="21"/>
                <w:szCs w:val="21"/>
                <w:u w:val="none"/>
                <w:lang w:val="en-US" w:eastAsia="zh-CN"/>
              </w:rPr>
              <w:t>100</w:t>
            </w:r>
          </w:p>
        </w:tc>
        <w:tc>
          <w:tcPr>
            <w:tcW w:w="404"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0</w:t>
            </w:r>
          </w:p>
        </w:tc>
        <w:tc>
          <w:tcPr>
            <w:tcW w:w="425" w:type="pct"/>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vMerge w:val="continue"/>
            <w:noWrap w:val="0"/>
            <w:vAlign w:val="center"/>
          </w:tcPr>
          <w:p>
            <w:pPr>
              <w:adjustRightInd w:val="0"/>
              <w:snapToGrid w:val="0"/>
              <w:spacing w:line="240" w:lineRule="auto"/>
              <w:ind w:firstLine="0" w:firstLineChars="0"/>
              <w:jc w:val="center"/>
              <w:rPr>
                <w:bCs/>
                <w:color w:val="auto"/>
                <w:sz w:val="21"/>
                <w:szCs w:val="21"/>
                <w:u w:val="none"/>
              </w:rPr>
            </w:pPr>
          </w:p>
        </w:tc>
        <w:tc>
          <w:tcPr>
            <w:tcW w:w="775" w:type="pct"/>
            <w:noWrap w:val="0"/>
            <w:vAlign w:val="center"/>
          </w:tcPr>
          <w:p>
            <w:pPr>
              <w:adjustRightInd w:val="0"/>
              <w:snapToGrid w:val="0"/>
              <w:spacing w:line="240" w:lineRule="auto"/>
              <w:ind w:firstLine="0" w:firstLineChars="0"/>
              <w:jc w:val="center"/>
              <w:rPr>
                <w:rFonts w:hint="eastAsia"/>
                <w:color w:val="auto"/>
                <w:u w:val="none"/>
              </w:rPr>
            </w:pPr>
            <w:r>
              <w:rPr>
                <w:rFonts w:hint="eastAsia"/>
                <w:color w:val="auto"/>
                <w:u w:val="none"/>
                <w:lang w:eastAsia="zh-CN"/>
              </w:rPr>
              <w:t>臭气浓度</w:t>
            </w:r>
          </w:p>
        </w:tc>
        <w:tc>
          <w:tcPr>
            <w:tcW w:w="722" w:type="pct"/>
            <w:noWrap w:val="0"/>
            <w:vAlign w:val="center"/>
          </w:tcPr>
          <w:p>
            <w:pPr>
              <w:adjustRightInd w:val="0"/>
              <w:snapToGrid w:val="0"/>
              <w:spacing w:line="240" w:lineRule="auto"/>
              <w:ind w:firstLine="0" w:firstLineChars="0"/>
              <w:jc w:val="center"/>
              <w:rPr>
                <w:rFonts w:hint="eastAsia"/>
                <w:bCs/>
                <w:color w:val="auto"/>
                <w:sz w:val="21"/>
                <w:szCs w:val="21"/>
                <w:u w:val="none"/>
              </w:rPr>
            </w:pPr>
          </w:p>
        </w:tc>
        <w:tc>
          <w:tcPr>
            <w:tcW w:w="1060" w:type="dxa"/>
            <w:noWrap w:val="0"/>
            <w:vAlign w:val="center"/>
          </w:tcPr>
          <w:p>
            <w:pPr>
              <w:adjustRightInd w:val="0"/>
              <w:snapToGrid w:val="0"/>
              <w:spacing w:line="240" w:lineRule="auto"/>
              <w:ind w:left="-120" w:leftChars="-50" w:right="-120" w:rightChars="-50" w:firstLine="0" w:firstLineChars="0"/>
              <w:jc w:val="center"/>
              <w:rPr>
                <w:rFonts w:hint="eastAsia" w:eastAsia="宋体"/>
                <w:bCs/>
                <w:color w:val="auto"/>
                <w:sz w:val="21"/>
                <w:szCs w:val="21"/>
                <w:u w:val="none"/>
                <w:lang w:eastAsia="zh-CN"/>
              </w:rPr>
            </w:pPr>
            <w:r>
              <w:rPr>
                <w:rFonts w:hint="eastAsia" w:ascii="宋体" w:hAnsi="宋体" w:eastAsia="宋体" w:cs="宋体"/>
                <w:bCs/>
                <w:color w:val="auto"/>
                <w:sz w:val="21"/>
                <w:szCs w:val="21"/>
                <w:u w:val="none"/>
                <w:lang w:val="en-US" w:eastAsia="zh-CN"/>
              </w:rPr>
              <w:t>/</w:t>
            </w:r>
          </w:p>
        </w:tc>
        <w:tc>
          <w:tcPr>
            <w:tcW w:w="1479" w:type="dxa"/>
            <w:noWrap w:val="0"/>
            <w:vAlign w:val="center"/>
          </w:tcPr>
          <w:p>
            <w:pPr>
              <w:adjustRightInd w:val="0"/>
              <w:snapToGrid w:val="0"/>
              <w:spacing w:line="240" w:lineRule="auto"/>
              <w:ind w:firstLine="0" w:firstLineChars="0"/>
              <w:jc w:val="center"/>
              <w:rPr>
                <w:bCs/>
                <w:color w:val="auto"/>
                <w:sz w:val="21"/>
                <w:szCs w:val="21"/>
                <w:u w:val="none"/>
              </w:rPr>
            </w:pPr>
            <w:r>
              <w:rPr>
                <w:rFonts w:hint="eastAsia" w:ascii="宋体" w:hAnsi="宋体" w:eastAsia="宋体" w:cs="宋体"/>
                <w:bCs/>
                <w:color w:val="auto"/>
                <w:sz w:val="21"/>
                <w:szCs w:val="21"/>
                <w:u w:val="none"/>
              </w:rPr>
              <w:t>&lt;</w:t>
            </w:r>
            <w:r>
              <w:rPr>
                <w:rFonts w:hint="eastAsia" w:eastAsia="宋体"/>
                <w:bCs/>
                <w:color w:val="auto"/>
                <w:sz w:val="21"/>
                <w:szCs w:val="21"/>
                <w:u w:val="none"/>
                <w:lang w:val="en-US" w:eastAsia="zh-CN"/>
              </w:rPr>
              <w:t>10</w:t>
            </w:r>
          </w:p>
        </w:tc>
        <w:tc>
          <w:tcPr>
            <w:tcW w:w="1186" w:type="dxa"/>
            <w:noWrap w:val="0"/>
            <w:vAlign w:val="center"/>
          </w:tcPr>
          <w:p>
            <w:pPr>
              <w:adjustRightInd w:val="0"/>
              <w:snapToGrid w:val="0"/>
              <w:spacing w:line="240" w:lineRule="auto"/>
              <w:ind w:firstLine="0" w:firstLineChars="0"/>
              <w:jc w:val="center"/>
              <w:rPr>
                <w:bCs/>
                <w:color w:val="auto"/>
                <w:sz w:val="21"/>
                <w:szCs w:val="21"/>
                <w:u w:val="none"/>
              </w:rPr>
            </w:pPr>
            <w:r>
              <w:rPr>
                <w:rFonts w:hint="eastAsia"/>
                <w:bCs/>
                <w:color w:val="auto"/>
                <w:sz w:val="21"/>
                <w:szCs w:val="21"/>
                <w:u w:val="none"/>
                <w:lang w:val="en-US" w:eastAsia="zh-CN"/>
              </w:rPr>
              <w:t>/</w:t>
            </w:r>
          </w:p>
        </w:tc>
        <w:tc>
          <w:tcPr>
            <w:tcW w:w="689" w:type="dxa"/>
            <w:noWrap w:val="0"/>
            <w:vAlign w:val="center"/>
          </w:tcPr>
          <w:p>
            <w:pPr>
              <w:adjustRightInd w:val="0"/>
              <w:snapToGrid w:val="0"/>
              <w:spacing w:line="240" w:lineRule="auto"/>
              <w:ind w:firstLine="0" w:firstLineChars="0"/>
              <w:jc w:val="center"/>
              <w:rPr>
                <w:rFonts w:hint="eastAsia"/>
                <w:bCs/>
                <w:color w:val="auto"/>
                <w:sz w:val="21"/>
                <w:szCs w:val="21"/>
                <w:u w:val="none"/>
              </w:rPr>
            </w:pPr>
            <w:r>
              <w:rPr>
                <w:rFonts w:hint="eastAsia"/>
                <w:bCs/>
                <w:color w:val="auto"/>
                <w:sz w:val="21"/>
                <w:szCs w:val="21"/>
                <w:u w:val="none"/>
                <w:lang w:val="en-US" w:eastAsia="zh-CN"/>
              </w:rPr>
              <w:t>0</w:t>
            </w:r>
          </w:p>
        </w:tc>
        <w:tc>
          <w:tcPr>
            <w:tcW w:w="425" w:type="pct"/>
            <w:noWrap w:val="0"/>
            <w:vAlign w:val="center"/>
          </w:tcPr>
          <w:p>
            <w:pPr>
              <w:adjustRightInd w:val="0"/>
              <w:snapToGrid w:val="0"/>
              <w:spacing w:line="240" w:lineRule="auto"/>
              <w:ind w:firstLine="0" w:firstLineChars="0"/>
              <w:jc w:val="center"/>
              <w:rPr>
                <w:rFonts w:hint="eastAsia" w:eastAsia="宋体"/>
                <w:bCs/>
                <w:color w:val="auto"/>
                <w:sz w:val="21"/>
                <w:szCs w:val="21"/>
                <w:u w:val="none"/>
                <w:lang w:val="en-US" w:eastAsia="zh-CN"/>
              </w:rPr>
            </w:pPr>
            <w:r>
              <w:rPr>
                <w:rFonts w:hint="eastAsia"/>
                <w:bCs/>
                <w:color w:val="auto"/>
                <w:sz w:val="21"/>
                <w:szCs w:val="21"/>
                <w:u w:val="none"/>
                <w:lang w:val="en-US" w:eastAsia="zh-CN"/>
              </w:rPr>
              <w:t>/</w:t>
            </w:r>
          </w:p>
        </w:tc>
      </w:tr>
    </w:tbl>
    <w:p>
      <w:pPr>
        <w:ind w:firstLine="480"/>
        <w:jc w:val="both"/>
        <w:rPr>
          <w:rFonts w:hint="eastAsia"/>
          <w:color w:val="auto"/>
          <w:kern w:val="0"/>
          <w:u w:val="none"/>
        </w:rPr>
      </w:pPr>
      <w:r>
        <w:rPr>
          <w:rFonts w:hint="eastAsia"/>
          <w:color w:val="auto"/>
          <w:kern w:val="0"/>
          <w:u w:val="none"/>
        </w:rPr>
        <w:t>由此可以看出，项目所在区域的TSP的2</w:t>
      </w:r>
      <w:r>
        <w:rPr>
          <w:color w:val="auto"/>
          <w:kern w:val="0"/>
          <w:u w:val="none"/>
        </w:rPr>
        <w:t>4</w:t>
      </w:r>
      <w:r>
        <w:rPr>
          <w:rFonts w:hint="eastAsia"/>
          <w:color w:val="auto"/>
          <w:kern w:val="0"/>
          <w:u w:val="none"/>
        </w:rPr>
        <w:t>小时平均浓度值和NH</w:t>
      </w:r>
      <w:r>
        <w:rPr>
          <w:rFonts w:hint="eastAsia"/>
          <w:color w:val="auto"/>
          <w:kern w:val="0"/>
          <w:u w:val="none"/>
          <w:vertAlign w:val="subscript"/>
        </w:rPr>
        <w:t>3</w:t>
      </w:r>
      <w:r>
        <w:rPr>
          <w:rFonts w:hint="eastAsia"/>
          <w:color w:val="auto"/>
          <w:kern w:val="0"/>
          <w:u w:val="none"/>
        </w:rPr>
        <w:t>、H</w:t>
      </w:r>
      <w:r>
        <w:rPr>
          <w:rFonts w:hint="eastAsia"/>
          <w:color w:val="auto"/>
          <w:kern w:val="0"/>
          <w:u w:val="none"/>
          <w:vertAlign w:val="subscript"/>
        </w:rPr>
        <w:t>2</w:t>
      </w:r>
      <w:r>
        <w:rPr>
          <w:rFonts w:hint="eastAsia"/>
          <w:color w:val="auto"/>
          <w:kern w:val="0"/>
          <w:u w:val="none"/>
        </w:rPr>
        <w:t>S一次值满足《环境空气质量标准》（</w:t>
      </w:r>
      <w:r>
        <w:rPr>
          <w:color w:val="auto"/>
          <w:kern w:val="0"/>
          <w:u w:val="none"/>
        </w:rPr>
        <w:t>GB3095-2012</w:t>
      </w:r>
      <w:r>
        <w:rPr>
          <w:rFonts w:hint="eastAsia"/>
          <w:color w:val="auto"/>
          <w:kern w:val="0"/>
          <w:u w:val="none"/>
        </w:rPr>
        <w:t>）二级标准，环境空气质量良好。</w:t>
      </w:r>
    </w:p>
    <w:p>
      <w:pPr>
        <w:pStyle w:val="6"/>
        <w:bidi w:val="0"/>
        <w:rPr>
          <w:rFonts w:hint="eastAsia"/>
        </w:rPr>
      </w:pPr>
      <w:r>
        <w:rPr>
          <w:rFonts w:hint="eastAsia"/>
        </w:rPr>
        <w:t>3.4.2地表水环境质量</w:t>
      </w:r>
    </w:p>
    <w:p>
      <w:pPr>
        <w:pStyle w:val="69"/>
        <w:rPr>
          <w:color w:val="auto"/>
          <w:u w:val="none"/>
        </w:rPr>
      </w:pPr>
      <w:r>
        <w:rPr>
          <w:rFonts w:hint="eastAsia"/>
          <w:color w:val="auto"/>
          <w:u w:val="none"/>
        </w:rPr>
        <w:t>3.4.2.1区域地表水达标分析</w:t>
      </w:r>
    </w:p>
    <w:p>
      <w:pPr>
        <w:ind w:firstLine="480"/>
        <w:rPr>
          <w:rFonts w:hint="default" w:eastAsia="宋体"/>
          <w:color w:val="auto"/>
          <w:u w:val="single"/>
          <w:lang w:val="en-US" w:eastAsia="zh-CN"/>
        </w:rPr>
      </w:pPr>
      <w:r>
        <w:rPr>
          <w:rFonts w:hint="eastAsia"/>
          <w:color w:val="auto"/>
          <w:u w:val="single"/>
        </w:rPr>
        <w:t>本项目区域地表水系为</w:t>
      </w:r>
      <w:r>
        <w:rPr>
          <w:rFonts w:hint="eastAsia"/>
          <w:color w:val="auto"/>
          <w:u w:val="single"/>
          <w:lang w:eastAsia="zh-CN"/>
        </w:rPr>
        <w:t>猛洞</w:t>
      </w:r>
      <w:r>
        <w:rPr>
          <w:rFonts w:hint="eastAsia"/>
          <w:color w:val="auto"/>
          <w:u w:val="single"/>
        </w:rPr>
        <w:t>河，本次水环境功能区判定收集了湘西州地表水控制断面水质情况环境质量简报中</w:t>
      </w:r>
      <w:r>
        <w:rPr>
          <w:rFonts w:hint="eastAsia"/>
          <w:color w:val="auto"/>
          <w:u w:val="single"/>
          <w:lang w:eastAsia="zh-CN"/>
        </w:rPr>
        <w:t>永顺县</w:t>
      </w:r>
      <w:r>
        <w:rPr>
          <w:rFonts w:hint="eastAsia"/>
          <w:color w:val="auto"/>
          <w:u w:val="single"/>
        </w:rPr>
        <w:t>监测断面</w:t>
      </w:r>
      <w:r>
        <w:rPr>
          <w:rFonts w:hint="eastAsia"/>
          <w:color w:val="auto"/>
          <w:u w:val="single"/>
          <w:lang w:eastAsia="zh-CN"/>
        </w:rPr>
        <w:t>的</w:t>
      </w:r>
      <w:r>
        <w:rPr>
          <w:rFonts w:hint="eastAsia"/>
          <w:color w:val="auto"/>
          <w:u w:val="single"/>
        </w:rPr>
        <w:t>监测结果。</w:t>
      </w:r>
      <w:r>
        <w:rPr>
          <w:rFonts w:hint="eastAsia"/>
          <w:color w:val="auto"/>
          <w:u w:val="single"/>
          <w:lang w:eastAsia="zh-CN"/>
        </w:rPr>
        <w:t>永顺县水厂监测断面位于本项目排污口上游</w:t>
      </w:r>
      <w:r>
        <w:rPr>
          <w:rFonts w:hint="eastAsia"/>
          <w:color w:val="auto"/>
          <w:u w:val="single"/>
          <w:lang w:val="en-US" w:eastAsia="zh-CN"/>
        </w:rPr>
        <w:t>7000m，</w:t>
      </w:r>
      <w:r>
        <w:rPr>
          <w:rFonts w:hint="eastAsia"/>
          <w:color w:val="auto"/>
          <w:u w:val="single"/>
          <w:lang w:eastAsia="zh-CN"/>
        </w:rPr>
        <w:t>永顺县污水处理厂下游监测断面位于本项目排污口上游</w:t>
      </w:r>
      <w:r>
        <w:rPr>
          <w:rFonts w:hint="eastAsia"/>
          <w:color w:val="auto"/>
          <w:u w:val="single"/>
          <w:lang w:val="en-US" w:eastAsia="zh-CN"/>
        </w:rPr>
        <w:t>2340m，海螺电站下游300m监测断面位于本项目下游15310m。</w:t>
      </w:r>
    </w:p>
    <w:p>
      <w:pPr>
        <w:wordWrap w:val="0"/>
        <w:snapToGrid w:val="0"/>
        <w:spacing w:before="163" w:beforeLines="50"/>
        <w:ind w:firstLine="0" w:firstLineChars="0"/>
        <w:jc w:val="center"/>
        <w:rPr>
          <w:rFonts w:hint="eastAsia"/>
          <w:b/>
          <w:color w:val="auto"/>
          <w:kern w:val="0"/>
          <w:sz w:val="21"/>
          <w:szCs w:val="20"/>
          <w:u w:val="none"/>
        </w:rPr>
      </w:pPr>
      <w:r>
        <w:rPr>
          <w:b/>
          <w:color w:val="auto"/>
          <w:kern w:val="0"/>
          <w:sz w:val="21"/>
          <w:szCs w:val="20"/>
          <w:u w:val="none"/>
        </w:rPr>
        <w:t>表</w:t>
      </w:r>
      <w:r>
        <w:rPr>
          <w:rFonts w:hint="eastAsia"/>
          <w:b/>
          <w:color w:val="auto"/>
          <w:kern w:val="0"/>
          <w:sz w:val="21"/>
          <w:szCs w:val="20"/>
          <w:u w:val="none"/>
        </w:rPr>
        <w:t>3</w:t>
      </w:r>
      <w:r>
        <w:rPr>
          <w:b/>
          <w:color w:val="auto"/>
          <w:kern w:val="0"/>
          <w:sz w:val="21"/>
          <w:szCs w:val="20"/>
          <w:u w:val="none"/>
        </w:rPr>
        <w:t>.4-4</w:t>
      </w:r>
      <w:r>
        <w:rPr>
          <w:rFonts w:hint="eastAsia"/>
          <w:b/>
          <w:color w:val="auto"/>
          <w:kern w:val="0"/>
          <w:sz w:val="21"/>
          <w:szCs w:val="20"/>
          <w:u w:val="none"/>
        </w:rPr>
        <w:t xml:space="preserve"> </w:t>
      </w:r>
      <w:r>
        <w:rPr>
          <w:b/>
          <w:color w:val="auto"/>
          <w:kern w:val="0"/>
          <w:sz w:val="21"/>
          <w:szCs w:val="20"/>
          <w:u w:val="none"/>
        </w:rPr>
        <w:t xml:space="preserve"> </w:t>
      </w:r>
      <w:r>
        <w:rPr>
          <w:rFonts w:hint="eastAsia"/>
          <w:b/>
          <w:color w:val="auto"/>
          <w:kern w:val="0"/>
          <w:sz w:val="21"/>
          <w:szCs w:val="20"/>
          <w:u w:val="none"/>
          <w:lang w:val="en-US" w:eastAsia="zh-CN"/>
        </w:rPr>
        <w:t>2021</w:t>
      </w:r>
      <w:r>
        <w:rPr>
          <w:rFonts w:hint="eastAsia"/>
          <w:b/>
          <w:color w:val="auto"/>
          <w:kern w:val="0"/>
          <w:sz w:val="21"/>
          <w:szCs w:val="20"/>
          <w:u w:val="none"/>
        </w:rPr>
        <w:t>年</w:t>
      </w:r>
      <w:r>
        <w:rPr>
          <w:rFonts w:hint="eastAsia"/>
          <w:b/>
          <w:color w:val="auto"/>
          <w:kern w:val="0"/>
          <w:sz w:val="21"/>
          <w:szCs w:val="20"/>
          <w:u w:val="none"/>
          <w:lang w:eastAsia="zh-CN"/>
        </w:rPr>
        <w:t>永顺县地表水监测断面的</w:t>
      </w:r>
      <w:r>
        <w:rPr>
          <w:rFonts w:hint="eastAsia"/>
          <w:b/>
          <w:color w:val="auto"/>
          <w:kern w:val="0"/>
          <w:sz w:val="21"/>
          <w:szCs w:val="20"/>
          <w:u w:val="none"/>
        </w:rPr>
        <w:t>监测数据   单位：mg/L（pH无量纲）</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710"/>
        <w:gridCol w:w="1860"/>
        <w:gridCol w:w="1860"/>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4" w:type="pct"/>
            <w:gridSpan w:val="2"/>
            <w:noWrap w:val="0"/>
            <w:vAlign w:val="center"/>
          </w:tcPr>
          <w:p>
            <w:pPr>
              <w:pStyle w:val="120"/>
              <w:bidi w:val="0"/>
              <w:rPr>
                <w:rFonts w:hint="default"/>
              </w:rPr>
            </w:pPr>
            <w:r>
              <w:rPr>
                <w:rFonts w:hint="default"/>
              </w:rPr>
              <w:t>监测项目</w:t>
            </w:r>
          </w:p>
        </w:tc>
        <w:tc>
          <w:tcPr>
            <w:tcW w:w="1091" w:type="pct"/>
            <w:noWrap w:val="0"/>
            <w:vAlign w:val="center"/>
          </w:tcPr>
          <w:p>
            <w:pPr>
              <w:pStyle w:val="120"/>
              <w:bidi w:val="0"/>
              <w:rPr>
                <w:rFonts w:hint="default"/>
                <w:lang w:val="en-US" w:eastAsia="zh-CN"/>
              </w:rPr>
            </w:pPr>
            <w:r>
              <w:rPr>
                <w:rFonts w:hint="default"/>
                <w:lang w:val="en-US" w:eastAsia="zh-CN"/>
              </w:rPr>
              <w:t>永顺县水厂</w:t>
            </w:r>
          </w:p>
        </w:tc>
        <w:tc>
          <w:tcPr>
            <w:tcW w:w="1091" w:type="pct"/>
            <w:noWrap w:val="0"/>
            <w:vAlign w:val="center"/>
          </w:tcPr>
          <w:p>
            <w:pPr>
              <w:pStyle w:val="120"/>
              <w:bidi w:val="0"/>
              <w:rPr>
                <w:rFonts w:hint="default"/>
                <w:lang w:val="en-US" w:eastAsia="zh-CN"/>
              </w:rPr>
            </w:pPr>
            <w:r>
              <w:rPr>
                <w:rFonts w:hint="default"/>
                <w:lang w:val="en-US" w:eastAsia="zh-CN"/>
              </w:rPr>
              <w:t>永顺县污水处理厂下游</w:t>
            </w:r>
          </w:p>
        </w:tc>
        <w:tc>
          <w:tcPr>
            <w:tcW w:w="1092" w:type="pct"/>
            <w:noWrap w:val="0"/>
            <w:vAlign w:val="center"/>
          </w:tcPr>
          <w:p>
            <w:pPr>
              <w:pStyle w:val="120"/>
              <w:bidi w:val="0"/>
              <w:rPr>
                <w:rFonts w:hint="default"/>
                <w:lang w:val="en-US" w:eastAsia="zh-CN"/>
              </w:rPr>
            </w:pPr>
            <w:r>
              <w:rPr>
                <w:rFonts w:hint="eastAsia"/>
                <w:lang w:val="en-US" w:eastAsia="zh-CN"/>
              </w:rPr>
              <w:t>海螺电站下游300m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pH值(无量纲)</w:t>
            </w:r>
          </w:p>
        </w:tc>
        <w:tc>
          <w:tcPr>
            <w:tcW w:w="1003" w:type="pct"/>
            <w:noWrap w:val="0"/>
            <w:vAlign w:val="center"/>
          </w:tcPr>
          <w:p>
            <w:pPr>
              <w:pStyle w:val="120"/>
              <w:bidi w:val="0"/>
              <w:rPr>
                <w:rFonts w:hint="default"/>
              </w:rPr>
            </w:pPr>
            <w:r>
              <w:rPr>
                <w:rFonts w:hint="eastAsia"/>
                <w:lang w:eastAsia="zh-CN"/>
              </w:rPr>
              <w:t>平均</w:t>
            </w:r>
            <w:r>
              <w:rPr>
                <w:rFonts w:hint="default"/>
              </w:rPr>
              <w:t>浓度</w:t>
            </w:r>
          </w:p>
        </w:tc>
        <w:tc>
          <w:tcPr>
            <w:tcW w:w="1091" w:type="pct"/>
            <w:noWrap w:val="0"/>
            <w:vAlign w:val="center"/>
          </w:tcPr>
          <w:p>
            <w:pPr>
              <w:pStyle w:val="120"/>
              <w:bidi w:val="0"/>
              <w:rPr>
                <w:rFonts w:hint="default"/>
                <w:lang w:val="en-US" w:eastAsia="zh-CN"/>
              </w:rPr>
            </w:pPr>
            <w:r>
              <w:rPr>
                <w:rFonts w:hint="eastAsia"/>
                <w:lang w:val="en-US" w:eastAsia="zh-CN"/>
              </w:rPr>
              <w:t>7.8</w:t>
            </w:r>
          </w:p>
        </w:tc>
        <w:tc>
          <w:tcPr>
            <w:tcW w:w="1091" w:type="pct"/>
            <w:noWrap w:val="0"/>
            <w:vAlign w:val="center"/>
          </w:tcPr>
          <w:p>
            <w:pPr>
              <w:pStyle w:val="120"/>
              <w:bidi w:val="0"/>
              <w:rPr>
                <w:rFonts w:hint="default"/>
                <w:lang w:val="en-US" w:eastAsia="zh-CN"/>
              </w:rPr>
            </w:pPr>
            <w:r>
              <w:rPr>
                <w:rFonts w:hint="eastAsia"/>
                <w:lang w:val="en-US" w:eastAsia="zh-CN"/>
              </w:rPr>
              <w:t>7.8</w:t>
            </w:r>
          </w:p>
        </w:tc>
        <w:tc>
          <w:tcPr>
            <w:tcW w:w="1092" w:type="pct"/>
            <w:noWrap w:val="0"/>
            <w:vAlign w:val="center"/>
          </w:tcPr>
          <w:p>
            <w:pPr>
              <w:pStyle w:val="120"/>
              <w:bidi w:val="0"/>
              <w:rPr>
                <w:rFonts w:hint="default"/>
                <w:lang w:val="en-US" w:eastAsia="zh-CN"/>
              </w:rPr>
            </w:pPr>
            <w:r>
              <w:rPr>
                <w:rFonts w:hint="eastAsia"/>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rPr>
            </w:pPr>
            <w:r>
              <w:rPr>
                <w:rFonts w:hint="default"/>
              </w:rPr>
              <w:t>6~9</w:t>
            </w:r>
          </w:p>
        </w:tc>
        <w:tc>
          <w:tcPr>
            <w:tcW w:w="1091" w:type="pct"/>
            <w:noWrap w:val="0"/>
            <w:vAlign w:val="center"/>
          </w:tcPr>
          <w:p>
            <w:pPr>
              <w:pStyle w:val="120"/>
              <w:bidi w:val="0"/>
              <w:rPr>
                <w:rFonts w:hint="default"/>
              </w:rPr>
            </w:pPr>
            <w:r>
              <w:rPr>
                <w:rFonts w:hint="default"/>
              </w:rPr>
              <w:t>6~9</w:t>
            </w:r>
          </w:p>
        </w:tc>
        <w:tc>
          <w:tcPr>
            <w:tcW w:w="1092" w:type="pct"/>
            <w:noWrap w:val="0"/>
            <w:vAlign w:val="center"/>
          </w:tcPr>
          <w:p>
            <w:pPr>
              <w:pStyle w:val="120"/>
              <w:bidi w:val="0"/>
              <w:rPr>
                <w:rFonts w:hint="default"/>
              </w:rPr>
            </w:pPr>
            <w:r>
              <w:rPr>
                <w:rFonts w:hint="default"/>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化学需氧量</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eastAsia"/>
                <w:lang w:val="en-US" w:eastAsia="zh-CN"/>
              </w:rPr>
              <w:t>9.6</w:t>
            </w:r>
          </w:p>
        </w:tc>
        <w:tc>
          <w:tcPr>
            <w:tcW w:w="1091" w:type="pct"/>
            <w:noWrap w:val="0"/>
            <w:vAlign w:val="center"/>
          </w:tcPr>
          <w:p>
            <w:pPr>
              <w:pStyle w:val="120"/>
              <w:bidi w:val="0"/>
              <w:rPr>
                <w:rFonts w:hint="default"/>
                <w:lang w:val="en-US" w:eastAsia="zh-CN"/>
              </w:rPr>
            </w:pPr>
            <w:r>
              <w:rPr>
                <w:rFonts w:hint="eastAsia"/>
                <w:lang w:val="en-US" w:eastAsia="zh-CN"/>
              </w:rPr>
              <w:t>10.0</w:t>
            </w:r>
          </w:p>
        </w:tc>
        <w:tc>
          <w:tcPr>
            <w:tcW w:w="1092" w:type="pct"/>
            <w:noWrap w:val="0"/>
            <w:vAlign w:val="center"/>
          </w:tcPr>
          <w:p>
            <w:pPr>
              <w:pStyle w:val="120"/>
              <w:bidi w:val="0"/>
              <w:rPr>
                <w:rFonts w:hint="default"/>
                <w:lang w:val="en-US" w:eastAsia="zh-CN"/>
              </w:rPr>
            </w:pPr>
            <w:r>
              <w:rPr>
                <w:rFonts w:hint="eastAsia"/>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lang w:val="en-US" w:eastAsia="zh-CN"/>
              </w:rPr>
            </w:pPr>
            <w:r>
              <w:rPr>
                <w:rFonts w:hint="default"/>
              </w:rPr>
              <w:t>≤</w:t>
            </w:r>
            <w:r>
              <w:rPr>
                <w:rFonts w:hint="default"/>
                <w:lang w:val="en-US" w:eastAsia="zh-CN"/>
              </w:rPr>
              <w:t>15</w:t>
            </w:r>
          </w:p>
        </w:tc>
        <w:tc>
          <w:tcPr>
            <w:tcW w:w="1091" w:type="pct"/>
            <w:noWrap w:val="0"/>
            <w:vAlign w:val="center"/>
          </w:tcPr>
          <w:p>
            <w:pPr>
              <w:pStyle w:val="120"/>
              <w:bidi w:val="0"/>
              <w:rPr>
                <w:rFonts w:hint="default"/>
              </w:rPr>
            </w:pPr>
            <w:r>
              <w:rPr>
                <w:rFonts w:hint="default"/>
              </w:rPr>
              <w:t>≤20</w:t>
            </w:r>
          </w:p>
        </w:tc>
        <w:tc>
          <w:tcPr>
            <w:tcW w:w="1092" w:type="pct"/>
            <w:noWrap w:val="0"/>
            <w:vAlign w:val="center"/>
          </w:tcPr>
          <w:p>
            <w:pPr>
              <w:pStyle w:val="120"/>
              <w:bidi w:val="0"/>
              <w:rPr>
                <w:rFonts w:hint="default"/>
              </w:rPr>
            </w:pPr>
            <w:r>
              <w:rPr>
                <w:rFonts w:hint="default"/>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五日生化需氧量</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eastAsia"/>
                <w:lang w:val="en-US" w:eastAsia="zh-CN"/>
              </w:rPr>
              <w:t>1.4</w:t>
            </w:r>
          </w:p>
        </w:tc>
        <w:tc>
          <w:tcPr>
            <w:tcW w:w="1091" w:type="pct"/>
            <w:noWrap w:val="0"/>
            <w:vAlign w:val="center"/>
          </w:tcPr>
          <w:p>
            <w:pPr>
              <w:pStyle w:val="120"/>
              <w:bidi w:val="0"/>
              <w:rPr>
                <w:rFonts w:hint="default"/>
                <w:lang w:val="en-US" w:eastAsia="zh-CN"/>
              </w:rPr>
            </w:pPr>
            <w:r>
              <w:rPr>
                <w:rFonts w:hint="eastAsia"/>
                <w:lang w:val="en-US" w:eastAsia="zh-CN"/>
              </w:rPr>
              <w:t>1.5</w:t>
            </w:r>
          </w:p>
        </w:tc>
        <w:tc>
          <w:tcPr>
            <w:tcW w:w="1092" w:type="pct"/>
            <w:noWrap w:val="0"/>
            <w:vAlign w:val="center"/>
          </w:tcPr>
          <w:p>
            <w:pPr>
              <w:pStyle w:val="120"/>
              <w:bidi w:val="0"/>
              <w:rPr>
                <w:rFonts w:hint="default"/>
                <w:lang w:val="en-US" w:eastAsia="zh-CN"/>
              </w:rPr>
            </w:pPr>
            <w:r>
              <w:rPr>
                <w:rFonts w:hint="eastAsia"/>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lang w:eastAsia="zh-CN"/>
              </w:rPr>
            </w:pPr>
            <w:r>
              <w:rPr>
                <w:rFonts w:hint="default"/>
              </w:rPr>
              <w:t>≤</w:t>
            </w:r>
            <w:r>
              <w:rPr>
                <w:rFonts w:hint="default"/>
                <w:lang w:val="en-US" w:eastAsia="zh-CN"/>
              </w:rPr>
              <w:t>3</w:t>
            </w:r>
          </w:p>
        </w:tc>
        <w:tc>
          <w:tcPr>
            <w:tcW w:w="1091" w:type="pct"/>
            <w:noWrap w:val="0"/>
            <w:vAlign w:val="center"/>
          </w:tcPr>
          <w:p>
            <w:pPr>
              <w:pStyle w:val="120"/>
              <w:bidi w:val="0"/>
              <w:rPr>
                <w:rFonts w:hint="default"/>
              </w:rPr>
            </w:pPr>
            <w:r>
              <w:rPr>
                <w:rFonts w:hint="default"/>
              </w:rPr>
              <w:t>≤4</w:t>
            </w:r>
          </w:p>
        </w:tc>
        <w:tc>
          <w:tcPr>
            <w:tcW w:w="1092" w:type="pct"/>
            <w:noWrap w:val="0"/>
            <w:vAlign w:val="center"/>
          </w:tcPr>
          <w:p>
            <w:pPr>
              <w:pStyle w:val="120"/>
              <w:bidi w:val="0"/>
              <w:rPr>
                <w:rFonts w:hint="default"/>
              </w:rPr>
            </w:pPr>
            <w:r>
              <w:rPr>
                <w:rFonts w:hint="defaul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氨氮</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eastAsia"/>
                <w:lang w:val="en-US" w:eastAsia="zh-CN"/>
              </w:rPr>
              <w:t>0.14</w:t>
            </w:r>
          </w:p>
        </w:tc>
        <w:tc>
          <w:tcPr>
            <w:tcW w:w="1091" w:type="pct"/>
            <w:noWrap w:val="0"/>
            <w:vAlign w:val="center"/>
          </w:tcPr>
          <w:p>
            <w:pPr>
              <w:pStyle w:val="120"/>
              <w:bidi w:val="0"/>
              <w:rPr>
                <w:rFonts w:hint="default"/>
                <w:lang w:val="en-US" w:eastAsia="zh-CN"/>
              </w:rPr>
            </w:pPr>
            <w:r>
              <w:rPr>
                <w:rFonts w:hint="eastAsia"/>
                <w:lang w:val="en-US" w:eastAsia="zh-CN"/>
              </w:rPr>
              <w:t>0.23</w:t>
            </w:r>
          </w:p>
        </w:tc>
        <w:tc>
          <w:tcPr>
            <w:tcW w:w="1092" w:type="pct"/>
            <w:noWrap w:val="0"/>
            <w:vAlign w:val="center"/>
          </w:tcPr>
          <w:p>
            <w:pPr>
              <w:pStyle w:val="120"/>
              <w:bidi w:val="0"/>
              <w:rPr>
                <w:rFonts w:hint="default"/>
                <w:lang w:val="en-US" w:eastAsia="zh-CN"/>
              </w:rPr>
            </w:pPr>
            <w:r>
              <w:rPr>
                <w:rFonts w:hint="eastAsia"/>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lang w:val="en-US" w:eastAsia="zh-CN"/>
              </w:rPr>
            </w:pPr>
            <w:r>
              <w:rPr>
                <w:rFonts w:hint="default"/>
              </w:rPr>
              <w:t>≤</w:t>
            </w:r>
            <w:r>
              <w:rPr>
                <w:rFonts w:hint="default"/>
                <w:lang w:val="en-US" w:eastAsia="zh-CN"/>
              </w:rPr>
              <w:t>0.5</w:t>
            </w:r>
          </w:p>
        </w:tc>
        <w:tc>
          <w:tcPr>
            <w:tcW w:w="1091" w:type="pct"/>
            <w:noWrap w:val="0"/>
            <w:vAlign w:val="center"/>
          </w:tcPr>
          <w:p>
            <w:pPr>
              <w:pStyle w:val="120"/>
              <w:bidi w:val="0"/>
              <w:rPr>
                <w:rFonts w:hint="default"/>
              </w:rPr>
            </w:pPr>
            <w:r>
              <w:rPr>
                <w:rFonts w:hint="default"/>
              </w:rPr>
              <w:t>≤1.0</w:t>
            </w:r>
          </w:p>
        </w:tc>
        <w:tc>
          <w:tcPr>
            <w:tcW w:w="1092" w:type="pct"/>
            <w:noWrap w:val="0"/>
            <w:vAlign w:val="center"/>
          </w:tcPr>
          <w:p>
            <w:pPr>
              <w:pStyle w:val="120"/>
              <w:bidi w:val="0"/>
              <w:rPr>
                <w:rFonts w:hint="default"/>
              </w:rPr>
            </w:pPr>
            <w:r>
              <w:rPr>
                <w:rFonts w:hint="defaul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总磷（以P计）</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eastAsia"/>
                <w:lang w:val="en-US" w:eastAsia="zh-CN"/>
              </w:rPr>
              <w:t>0.028</w:t>
            </w:r>
          </w:p>
        </w:tc>
        <w:tc>
          <w:tcPr>
            <w:tcW w:w="1091" w:type="pct"/>
            <w:noWrap w:val="0"/>
            <w:vAlign w:val="center"/>
          </w:tcPr>
          <w:p>
            <w:pPr>
              <w:pStyle w:val="120"/>
              <w:bidi w:val="0"/>
              <w:rPr>
                <w:rFonts w:hint="default"/>
                <w:lang w:val="en-US"/>
              </w:rPr>
            </w:pPr>
            <w:r>
              <w:rPr>
                <w:rFonts w:hint="eastAsia"/>
                <w:lang w:val="en-US" w:eastAsia="zh-CN"/>
              </w:rPr>
              <w:t>0.050</w:t>
            </w:r>
          </w:p>
        </w:tc>
        <w:tc>
          <w:tcPr>
            <w:tcW w:w="1092" w:type="pct"/>
            <w:noWrap w:val="0"/>
            <w:vAlign w:val="center"/>
          </w:tcPr>
          <w:p>
            <w:pPr>
              <w:pStyle w:val="120"/>
              <w:bidi w:val="0"/>
              <w:rPr>
                <w:rFonts w:hint="default"/>
                <w:lang w:val="en-US" w:eastAsia="zh-CN"/>
              </w:rPr>
            </w:pPr>
            <w:r>
              <w:rPr>
                <w:rFonts w:hint="eastAsia"/>
                <w:lang w:val="en-US" w:eastAsia="zh-CN"/>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lang w:val="en-US" w:eastAsia="zh-CN"/>
              </w:rPr>
            </w:pPr>
            <w:r>
              <w:rPr>
                <w:rFonts w:hint="default"/>
              </w:rPr>
              <w:t>≤</w:t>
            </w:r>
            <w:r>
              <w:rPr>
                <w:rFonts w:hint="default"/>
                <w:lang w:val="en-US" w:eastAsia="zh-CN"/>
              </w:rPr>
              <w:t>0.1</w:t>
            </w:r>
          </w:p>
        </w:tc>
        <w:tc>
          <w:tcPr>
            <w:tcW w:w="1091" w:type="pct"/>
            <w:noWrap w:val="0"/>
            <w:vAlign w:val="center"/>
          </w:tcPr>
          <w:p>
            <w:pPr>
              <w:pStyle w:val="120"/>
              <w:bidi w:val="0"/>
              <w:rPr>
                <w:rFonts w:hint="default"/>
              </w:rPr>
            </w:pPr>
            <w:r>
              <w:rPr>
                <w:rFonts w:hint="default"/>
              </w:rPr>
              <w:t>≤0.2</w:t>
            </w:r>
          </w:p>
        </w:tc>
        <w:tc>
          <w:tcPr>
            <w:tcW w:w="1092" w:type="pct"/>
            <w:noWrap w:val="0"/>
            <w:vAlign w:val="center"/>
          </w:tcPr>
          <w:p>
            <w:pPr>
              <w:pStyle w:val="120"/>
              <w:bidi w:val="0"/>
              <w:rPr>
                <w:rFonts w:hint="default"/>
              </w:rPr>
            </w:pPr>
            <w:r>
              <w:rPr>
                <w:rFonts w:hint="default"/>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石油类</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default"/>
                <w:lang w:val="en-US" w:eastAsia="zh-CN"/>
              </w:rPr>
              <w:t>0.01L</w:t>
            </w:r>
          </w:p>
        </w:tc>
        <w:tc>
          <w:tcPr>
            <w:tcW w:w="1091" w:type="pct"/>
            <w:noWrap w:val="0"/>
            <w:vAlign w:val="center"/>
          </w:tcPr>
          <w:p>
            <w:pPr>
              <w:pStyle w:val="120"/>
              <w:bidi w:val="0"/>
              <w:rPr>
                <w:rFonts w:hint="default"/>
                <w:lang w:val="en-US" w:eastAsia="zh-CN"/>
              </w:rPr>
            </w:pPr>
            <w:r>
              <w:rPr>
                <w:rFonts w:hint="default"/>
                <w:lang w:val="en-US" w:eastAsia="zh-CN"/>
              </w:rPr>
              <w:t>0.01L</w:t>
            </w:r>
          </w:p>
        </w:tc>
        <w:tc>
          <w:tcPr>
            <w:tcW w:w="1092" w:type="pct"/>
            <w:noWrap w:val="0"/>
            <w:vAlign w:val="center"/>
          </w:tcPr>
          <w:p>
            <w:pPr>
              <w:pStyle w:val="120"/>
              <w:bidi w:val="0"/>
              <w:rPr>
                <w:rFonts w:hint="default"/>
                <w:lang w:val="en-US" w:eastAsia="zh-CN"/>
              </w:rPr>
            </w:pPr>
            <w:r>
              <w:rPr>
                <w:rFonts w:hint="eastAsia"/>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rPr>
            </w:pPr>
            <w:r>
              <w:rPr>
                <w:rFonts w:hint="default"/>
              </w:rPr>
              <w:t>≤0.05</w:t>
            </w:r>
          </w:p>
        </w:tc>
        <w:tc>
          <w:tcPr>
            <w:tcW w:w="1091" w:type="pct"/>
            <w:noWrap w:val="0"/>
            <w:vAlign w:val="center"/>
          </w:tcPr>
          <w:p>
            <w:pPr>
              <w:pStyle w:val="120"/>
              <w:bidi w:val="0"/>
              <w:rPr>
                <w:rFonts w:hint="default"/>
              </w:rPr>
            </w:pPr>
            <w:r>
              <w:rPr>
                <w:rFonts w:hint="default"/>
              </w:rPr>
              <w:t>≤0.05</w:t>
            </w:r>
          </w:p>
        </w:tc>
        <w:tc>
          <w:tcPr>
            <w:tcW w:w="1092" w:type="pct"/>
            <w:noWrap w:val="0"/>
            <w:vAlign w:val="center"/>
          </w:tcPr>
          <w:p>
            <w:pPr>
              <w:pStyle w:val="120"/>
              <w:bidi w:val="0"/>
              <w:rPr>
                <w:rFonts w:hint="default"/>
              </w:rPr>
            </w:pPr>
            <w:r>
              <w:rPr>
                <w:rFonts w:hint="default"/>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挥发酚</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eastAsia"/>
                <w:lang w:val="en-US" w:eastAsia="zh-CN"/>
              </w:rPr>
              <w:t>0.00003</w:t>
            </w:r>
            <w:r>
              <w:rPr>
                <w:rFonts w:hint="default"/>
                <w:lang w:val="en-US" w:eastAsia="zh-CN"/>
              </w:rPr>
              <w:t>L</w:t>
            </w:r>
          </w:p>
        </w:tc>
        <w:tc>
          <w:tcPr>
            <w:tcW w:w="1091" w:type="pct"/>
            <w:noWrap w:val="0"/>
            <w:vAlign w:val="center"/>
          </w:tcPr>
          <w:p>
            <w:pPr>
              <w:pStyle w:val="120"/>
              <w:bidi w:val="0"/>
              <w:rPr>
                <w:rFonts w:hint="default"/>
                <w:lang w:val="en-US" w:eastAsia="zh-CN"/>
              </w:rPr>
            </w:pPr>
            <w:r>
              <w:rPr>
                <w:rFonts w:hint="default"/>
                <w:lang w:val="en-US" w:eastAsia="zh-CN"/>
              </w:rPr>
              <w:t>0.0003L</w:t>
            </w:r>
          </w:p>
        </w:tc>
        <w:tc>
          <w:tcPr>
            <w:tcW w:w="1092" w:type="pct"/>
            <w:noWrap w:val="0"/>
            <w:vAlign w:val="center"/>
          </w:tcPr>
          <w:p>
            <w:pPr>
              <w:pStyle w:val="120"/>
              <w:bidi w:val="0"/>
              <w:rPr>
                <w:rFonts w:hint="default"/>
                <w:lang w:val="en-US" w:eastAsia="zh-CN"/>
              </w:rPr>
            </w:pPr>
            <w:r>
              <w:rPr>
                <w:rFonts w:hint="eastAsia"/>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lang w:eastAsia="zh-CN"/>
              </w:rPr>
            </w:pPr>
            <w:r>
              <w:rPr>
                <w:rFonts w:hint="default"/>
              </w:rPr>
              <w:t>≤0.00</w:t>
            </w:r>
            <w:r>
              <w:rPr>
                <w:rFonts w:hint="default"/>
                <w:lang w:val="en-US" w:eastAsia="zh-CN"/>
              </w:rPr>
              <w:t>2</w:t>
            </w:r>
          </w:p>
        </w:tc>
        <w:tc>
          <w:tcPr>
            <w:tcW w:w="1091" w:type="pct"/>
            <w:noWrap w:val="0"/>
            <w:vAlign w:val="center"/>
          </w:tcPr>
          <w:p>
            <w:pPr>
              <w:pStyle w:val="120"/>
              <w:bidi w:val="0"/>
              <w:rPr>
                <w:rFonts w:hint="default"/>
              </w:rPr>
            </w:pPr>
            <w:r>
              <w:rPr>
                <w:rFonts w:hint="default"/>
              </w:rPr>
              <w:t>≤0.005</w:t>
            </w:r>
          </w:p>
        </w:tc>
        <w:tc>
          <w:tcPr>
            <w:tcW w:w="1092" w:type="pct"/>
            <w:noWrap w:val="0"/>
            <w:vAlign w:val="center"/>
          </w:tcPr>
          <w:p>
            <w:pPr>
              <w:pStyle w:val="120"/>
              <w:bidi w:val="0"/>
              <w:rPr>
                <w:rFonts w:hint="default"/>
              </w:rPr>
            </w:pPr>
            <w:r>
              <w:rPr>
                <w:rFonts w:hint="default"/>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铜</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default"/>
                <w:lang w:val="en-US" w:eastAsia="zh-CN"/>
              </w:rPr>
              <w:t>0.001</w:t>
            </w:r>
          </w:p>
        </w:tc>
        <w:tc>
          <w:tcPr>
            <w:tcW w:w="1091" w:type="pct"/>
            <w:noWrap w:val="0"/>
            <w:vAlign w:val="center"/>
          </w:tcPr>
          <w:p>
            <w:pPr>
              <w:pStyle w:val="120"/>
              <w:bidi w:val="0"/>
              <w:rPr>
                <w:rFonts w:hint="default"/>
                <w:lang w:val="en-US" w:eastAsia="zh-CN"/>
              </w:rPr>
            </w:pPr>
            <w:r>
              <w:rPr>
                <w:rFonts w:hint="default"/>
                <w:lang w:val="en-US" w:eastAsia="zh-CN"/>
              </w:rPr>
              <w:t>0.001</w:t>
            </w:r>
          </w:p>
        </w:tc>
        <w:tc>
          <w:tcPr>
            <w:tcW w:w="1092" w:type="pct"/>
            <w:noWrap w:val="0"/>
            <w:vAlign w:val="center"/>
          </w:tcPr>
          <w:p>
            <w:pPr>
              <w:pStyle w:val="120"/>
              <w:bidi w:val="0"/>
              <w:rPr>
                <w:rFonts w:hint="default"/>
                <w:lang w:val="en-US" w:eastAsia="zh-CN"/>
              </w:rPr>
            </w:pPr>
            <w:r>
              <w:rPr>
                <w:rFonts w:hint="eastAsia"/>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rPr>
            </w:pPr>
            <w:r>
              <w:rPr>
                <w:rFonts w:hint="default"/>
              </w:rPr>
              <w:t>≤1.0</w:t>
            </w:r>
          </w:p>
        </w:tc>
        <w:tc>
          <w:tcPr>
            <w:tcW w:w="1091" w:type="pct"/>
            <w:noWrap w:val="0"/>
            <w:vAlign w:val="center"/>
          </w:tcPr>
          <w:p>
            <w:pPr>
              <w:pStyle w:val="120"/>
              <w:bidi w:val="0"/>
              <w:rPr>
                <w:rFonts w:hint="default"/>
              </w:rPr>
            </w:pPr>
            <w:r>
              <w:rPr>
                <w:rFonts w:hint="default"/>
              </w:rPr>
              <w:t>≤1.0</w:t>
            </w:r>
          </w:p>
        </w:tc>
        <w:tc>
          <w:tcPr>
            <w:tcW w:w="1092" w:type="pct"/>
            <w:noWrap w:val="0"/>
            <w:vAlign w:val="center"/>
          </w:tcPr>
          <w:p>
            <w:pPr>
              <w:pStyle w:val="120"/>
              <w:bidi w:val="0"/>
              <w:rPr>
                <w:rFonts w:hint="default"/>
              </w:rPr>
            </w:pPr>
            <w:r>
              <w:rPr>
                <w:rFonts w:hint="defaul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锌</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default"/>
                <w:lang w:val="en-US" w:eastAsia="zh-CN"/>
              </w:rPr>
              <w:t>0.0</w:t>
            </w:r>
            <w:r>
              <w:rPr>
                <w:rFonts w:hint="eastAsia"/>
                <w:lang w:val="en-US" w:eastAsia="zh-CN"/>
              </w:rPr>
              <w:t>04</w:t>
            </w:r>
            <w:r>
              <w:rPr>
                <w:rFonts w:hint="default"/>
                <w:lang w:val="en-US" w:eastAsia="zh-CN"/>
              </w:rPr>
              <w:t>L</w:t>
            </w:r>
          </w:p>
        </w:tc>
        <w:tc>
          <w:tcPr>
            <w:tcW w:w="1091" w:type="pct"/>
            <w:noWrap w:val="0"/>
            <w:vAlign w:val="center"/>
          </w:tcPr>
          <w:p>
            <w:pPr>
              <w:pStyle w:val="120"/>
              <w:bidi w:val="0"/>
              <w:rPr>
                <w:rFonts w:hint="default"/>
                <w:lang w:val="en-US" w:eastAsia="zh-CN"/>
              </w:rPr>
            </w:pPr>
            <w:r>
              <w:rPr>
                <w:rFonts w:hint="default"/>
                <w:lang w:val="en-US" w:eastAsia="zh-CN"/>
              </w:rPr>
              <w:t>0.0</w:t>
            </w:r>
            <w:r>
              <w:rPr>
                <w:rFonts w:hint="eastAsia"/>
                <w:lang w:val="en-US" w:eastAsia="zh-CN"/>
              </w:rPr>
              <w:t>04</w:t>
            </w:r>
            <w:r>
              <w:rPr>
                <w:rFonts w:hint="default"/>
                <w:lang w:val="en-US" w:eastAsia="zh-CN"/>
              </w:rPr>
              <w:t>L</w:t>
            </w:r>
          </w:p>
        </w:tc>
        <w:tc>
          <w:tcPr>
            <w:tcW w:w="1092" w:type="pct"/>
            <w:noWrap w:val="0"/>
            <w:vAlign w:val="center"/>
          </w:tcPr>
          <w:p>
            <w:pPr>
              <w:pStyle w:val="120"/>
              <w:bidi w:val="0"/>
              <w:rPr>
                <w:rFonts w:hint="default"/>
                <w:lang w:val="en-US" w:eastAsia="zh-CN"/>
              </w:rPr>
            </w:pPr>
            <w:r>
              <w:rPr>
                <w:rFonts w:hint="eastAsia"/>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rPr>
            </w:pPr>
            <w:r>
              <w:rPr>
                <w:rFonts w:hint="default"/>
              </w:rPr>
              <w:t>≤1.0</w:t>
            </w:r>
          </w:p>
        </w:tc>
        <w:tc>
          <w:tcPr>
            <w:tcW w:w="1091" w:type="pct"/>
            <w:noWrap w:val="0"/>
            <w:vAlign w:val="center"/>
          </w:tcPr>
          <w:p>
            <w:pPr>
              <w:pStyle w:val="120"/>
              <w:bidi w:val="0"/>
              <w:rPr>
                <w:rFonts w:hint="default"/>
              </w:rPr>
            </w:pPr>
            <w:r>
              <w:rPr>
                <w:rFonts w:hint="default"/>
              </w:rPr>
              <w:t>≤1.0</w:t>
            </w:r>
          </w:p>
        </w:tc>
        <w:tc>
          <w:tcPr>
            <w:tcW w:w="1092" w:type="pct"/>
            <w:noWrap w:val="0"/>
            <w:vAlign w:val="center"/>
          </w:tcPr>
          <w:p>
            <w:pPr>
              <w:pStyle w:val="120"/>
              <w:bidi w:val="0"/>
              <w:rPr>
                <w:rFonts w:hint="default"/>
              </w:rPr>
            </w:pPr>
            <w:r>
              <w:rPr>
                <w:rFonts w:hint="defaul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铅</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eastAsia"/>
                <w:lang w:val="en-US" w:eastAsia="zh-CN"/>
              </w:rPr>
              <w:t>0.0004</w:t>
            </w:r>
          </w:p>
        </w:tc>
        <w:tc>
          <w:tcPr>
            <w:tcW w:w="1091" w:type="pct"/>
            <w:noWrap w:val="0"/>
            <w:vAlign w:val="center"/>
          </w:tcPr>
          <w:p>
            <w:pPr>
              <w:pStyle w:val="120"/>
              <w:bidi w:val="0"/>
              <w:rPr>
                <w:rFonts w:hint="default"/>
                <w:lang w:val="en-US" w:eastAsia="zh-CN"/>
              </w:rPr>
            </w:pPr>
            <w:r>
              <w:rPr>
                <w:rFonts w:hint="eastAsia"/>
                <w:lang w:val="en-US" w:eastAsia="zh-CN"/>
              </w:rPr>
              <w:t>0.001</w:t>
            </w:r>
          </w:p>
        </w:tc>
        <w:tc>
          <w:tcPr>
            <w:tcW w:w="1092" w:type="pct"/>
            <w:noWrap w:val="0"/>
            <w:vAlign w:val="center"/>
          </w:tcPr>
          <w:p>
            <w:pPr>
              <w:pStyle w:val="120"/>
              <w:bidi w:val="0"/>
              <w:rPr>
                <w:rFonts w:hint="default"/>
                <w:lang w:val="en-US" w:eastAsia="zh-CN"/>
              </w:rPr>
            </w:pPr>
            <w:r>
              <w:rPr>
                <w:rFonts w:hint="eastAsia"/>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lang w:eastAsia="zh-CN"/>
              </w:rPr>
            </w:pPr>
            <w:r>
              <w:rPr>
                <w:rFonts w:hint="default"/>
              </w:rPr>
              <w:t>≤0.0</w:t>
            </w:r>
            <w:r>
              <w:rPr>
                <w:rFonts w:hint="default"/>
                <w:lang w:val="en-US" w:eastAsia="zh-CN"/>
              </w:rPr>
              <w:t>1</w:t>
            </w:r>
          </w:p>
        </w:tc>
        <w:tc>
          <w:tcPr>
            <w:tcW w:w="1091" w:type="pct"/>
            <w:noWrap w:val="0"/>
            <w:vAlign w:val="center"/>
          </w:tcPr>
          <w:p>
            <w:pPr>
              <w:pStyle w:val="120"/>
              <w:bidi w:val="0"/>
              <w:rPr>
                <w:rFonts w:hint="default"/>
              </w:rPr>
            </w:pPr>
            <w:r>
              <w:rPr>
                <w:rFonts w:hint="default"/>
              </w:rPr>
              <w:t>≤0.05</w:t>
            </w:r>
          </w:p>
        </w:tc>
        <w:tc>
          <w:tcPr>
            <w:tcW w:w="1092" w:type="pct"/>
            <w:noWrap w:val="0"/>
            <w:vAlign w:val="center"/>
          </w:tcPr>
          <w:p>
            <w:pPr>
              <w:pStyle w:val="120"/>
              <w:bidi w:val="0"/>
              <w:rPr>
                <w:rFonts w:hint="default"/>
              </w:rPr>
            </w:pPr>
            <w:r>
              <w:rPr>
                <w:rFonts w:hint="default"/>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镉</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default"/>
                <w:lang w:val="en-US" w:eastAsia="zh-CN"/>
              </w:rPr>
              <w:t>0.000</w:t>
            </w:r>
            <w:r>
              <w:rPr>
                <w:rFonts w:hint="eastAsia"/>
                <w:lang w:val="en-US" w:eastAsia="zh-CN"/>
              </w:rPr>
              <w:t>05</w:t>
            </w:r>
            <w:r>
              <w:rPr>
                <w:rFonts w:hint="default"/>
                <w:lang w:val="en-US" w:eastAsia="zh-CN"/>
              </w:rPr>
              <w:t>L</w:t>
            </w:r>
          </w:p>
        </w:tc>
        <w:tc>
          <w:tcPr>
            <w:tcW w:w="1091" w:type="pct"/>
            <w:noWrap w:val="0"/>
            <w:vAlign w:val="center"/>
          </w:tcPr>
          <w:p>
            <w:pPr>
              <w:pStyle w:val="120"/>
              <w:bidi w:val="0"/>
              <w:rPr>
                <w:rFonts w:hint="default"/>
                <w:lang w:val="en-US" w:eastAsia="zh-CN"/>
              </w:rPr>
            </w:pPr>
            <w:r>
              <w:rPr>
                <w:rFonts w:hint="default"/>
                <w:lang w:val="en-US" w:eastAsia="zh-CN"/>
              </w:rPr>
              <w:t>0.000</w:t>
            </w:r>
            <w:r>
              <w:rPr>
                <w:rFonts w:hint="eastAsia"/>
                <w:lang w:val="en-US" w:eastAsia="zh-CN"/>
              </w:rPr>
              <w:t>05</w:t>
            </w:r>
            <w:r>
              <w:rPr>
                <w:rFonts w:hint="default"/>
                <w:lang w:val="en-US" w:eastAsia="zh-CN"/>
              </w:rPr>
              <w:t>L</w:t>
            </w:r>
          </w:p>
        </w:tc>
        <w:tc>
          <w:tcPr>
            <w:tcW w:w="1092" w:type="pct"/>
            <w:noWrap w:val="0"/>
            <w:vAlign w:val="center"/>
          </w:tcPr>
          <w:p>
            <w:pPr>
              <w:pStyle w:val="120"/>
              <w:bidi w:val="0"/>
              <w:rPr>
                <w:rFonts w:hint="default"/>
                <w:lang w:val="en-US" w:eastAsia="zh-CN"/>
              </w:rPr>
            </w:pPr>
            <w:r>
              <w:rPr>
                <w:rFonts w:hint="eastAsia"/>
                <w:lang w:val="en-US" w:eastAsia="zh-CN"/>
              </w:rPr>
              <w:t>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rPr>
            </w:pPr>
            <w:r>
              <w:rPr>
                <w:rFonts w:hint="default"/>
              </w:rPr>
              <w:t>≤0.005</w:t>
            </w:r>
          </w:p>
        </w:tc>
        <w:tc>
          <w:tcPr>
            <w:tcW w:w="1091" w:type="pct"/>
            <w:noWrap w:val="0"/>
            <w:vAlign w:val="center"/>
          </w:tcPr>
          <w:p>
            <w:pPr>
              <w:pStyle w:val="120"/>
              <w:bidi w:val="0"/>
              <w:rPr>
                <w:rFonts w:hint="default"/>
              </w:rPr>
            </w:pPr>
            <w:r>
              <w:rPr>
                <w:rFonts w:hint="default"/>
              </w:rPr>
              <w:t>≤0.005</w:t>
            </w:r>
          </w:p>
        </w:tc>
        <w:tc>
          <w:tcPr>
            <w:tcW w:w="1092" w:type="pct"/>
            <w:noWrap w:val="0"/>
            <w:vAlign w:val="center"/>
          </w:tcPr>
          <w:p>
            <w:pPr>
              <w:pStyle w:val="120"/>
              <w:bidi w:val="0"/>
              <w:rPr>
                <w:rFonts w:hint="default"/>
              </w:rPr>
            </w:pPr>
            <w:r>
              <w:rPr>
                <w:rFonts w:hint="default"/>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汞</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default"/>
                <w:lang w:val="en-US" w:eastAsia="zh-CN"/>
              </w:rPr>
              <w:t>0.00004L</w:t>
            </w:r>
          </w:p>
        </w:tc>
        <w:tc>
          <w:tcPr>
            <w:tcW w:w="1091" w:type="pct"/>
            <w:noWrap w:val="0"/>
            <w:vAlign w:val="center"/>
          </w:tcPr>
          <w:p>
            <w:pPr>
              <w:pStyle w:val="120"/>
              <w:bidi w:val="0"/>
              <w:rPr>
                <w:rFonts w:hint="default"/>
                <w:lang w:val="en-US" w:eastAsia="zh-CN"/>
              </w:rPr>
            </w:pPr>
            <w:r>
              <w:rPr>
                <w:rFonts w:hint="default"/>
                <w:lang w:val="en-US" w:eastAsia="zh-CN"/>
              </w:rPr>
              <w:t>0.00004L</w:t>
            </w:r>
          </w:p>
        </w:tc>
        <w:tc>
          <w:tcPr>
            <w:tcW w:w="1092" w:type="pct"/>
            <w:noWrap w:val="0"/>
            <w:vAlign w:val="center"/>
          </w:tcPr>
          <w:p>
            <w:pPr>
              <w:pStyle w:val="120"/>
              <w:bidi w:val="0"/>
              <w:rPr>
                <w:rFonts w:hint="default"/>
                <w:lang w:val="en-US" w:eastAsia="zh-CN"/>
              </w:rPr>
            </w:pPr>
            <w:r>
              <w:rPr>
                <w:rFonts w:hint="eastAsia"/>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lang w:val="en-US" w:eastAsia="zh-CN"/>
              </w:rPr>
            </w:pPr>
            <w:r>
              <w:rPr>
                <w:rFonts w:hint="default"/>
              </w:rPr>
              <w:t>≤0.000</w:t>
            </w:r>
            <w:r>
              <w:rPr>
                <w:rFonts w:hint="default"/>
                <w:lang w:val="en-US" w:eastAsia="zh-CN"/>
              </w:rPr>
              <w:t>05</w:t>
            </w:r>
          </w:p>
        </w:tc>
        <w:tc>
          <w:tcPr>
            <w:tcW w:w="1091" w:type="pct"/>
            <w:noWrap w:val="0"/>
            <w:vAlign w:val="center"/>
          </w:tcPr>
          <w:p>
            <w:pPr>
              <w:pStyle w:val="120"/>
              <w:bidi w:val="0"/>
              <w:rPr>
                <w:rFonts w:hint="default"/>
              </w:rPr>
            </w:pPr>
            <w:r>
              <w:rPr>
                <w:rFonts w:hint="default"/>
              </w:rPr>
              <w:t>≤0.0001</w:t>
            </w:r>
          </w:p>
        </w:tc>
        <w:tc>
          <w:tcPr>
            <w:tcW w:w="1092" w:type="pct"/>
            <w:noWrap w:val="0"/>
            <w:vAlign w:val="center"/>
          </w:tcPr>
          <w:p>
            <w:pPr>
              <w:pStyle w:val="120"/>
              <w:bidi w:val="0"/>
              <w:rPr>
                <w:rFonts w:hint="default"/>
              </w:rPr>
            </w:pPr>
            <w:r>
              <w:rPr>
                <w:rFonts w:hint="default"/>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六价铬</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default"/>
                <w:lang w:val="en-US" w:eastAsia="zh-CN"/>
              </w:rPr>
              <w:t>0.004L</w:t>
            </w:r>
          </w:p>
        </w:tc>
        <w:tc>
          <w:tcPr>
            <w:tcW w:w="1091" w:type="pct"/>
            <w:noWrap w:val="0"/>
            <w:vAlign w:val="center"/>
          </w:tcPr>
          <w:p>
            <w:pPr>
              <w:pStyle w:val="120"/>
              <w:bidi w:val="0"/>
              <w:rPr>
                <w:rFonts w:hint="default"/>
                <w:lang w:val="en-US" w:eastAsia="zh-CN"/>
              </w:rPr>
            </w:pPr>
            <w:r>
              <w:rPr>
                <w:rFonts w:hint="default"/>
                <w:lang w:val="en-US" w:eastAsia="zh-CN"/>
              </w:rPr>
              <w:t>0.004L</w:t>
            </w:r>
          </w:p>
        </w:tc>
        <w:tc>
          <w:tcPr>
            <w:tcW w:w="1092" w:type="pct"/>
            <w:noWrap w:val="0"/>
            <w:vAlign w:val="center"/>
          </w:tcPr>
          <w:p>
            <w:pPr>
              <w:pStyle w:val="120"/>
              <w:bidi w:val="0"/>
              <w:rPr>
                <w:rFonts w:hint="default"/>
                <w:lang w:val="en-US" w:eastAsia="zh-CN"/>
              </w:rPr>
            </w:pPr>
            <w:r>
              <w:rPr>
                <w:rFonts w:hint="default"/>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rPr>
            </w:pPr>
            <w:r>
              <w:rPr>
                <w:rFonts w:hint="default"/>
              </w:rPr>
              <w:t>≤0.05</w:t>
            </w:r>
          </w:p>
        </w:tc>
        <w:tc>
          <w:tcPr>
            <w:tcW w:w="1091" w:type="pct"/>
            <w:noWrap w:val="0"/>
            <w:vAlign w:val="center"/>
          </w:tcPr>
          <w:p>
            <w:pPr>
              <w:pStyle w:val="120"/>
              <w:bidi w:val="0"/>
              <w:rPr>
                <w:rFonts w:hint="default"/>
              </w:rPr>
            </w:pPr>
            <w:r>
              <w:rPr>
                <w:rFonts w:hint="default"/>
              </w:rPr>
              <w:t>≤0.05</w:t>
            </w:r>
          </w:p>
        </w:tc>
        <w:tc>
          <w:tcPr>
            <w:tcW w:w="1092" w:type="pct"/>
            <w:noWrap w:val="0"/>
            <w:vAlign w:val="center"/>
          </w:tcPr>
          <w:p>
            <w:pPr>
              <w:pStyle w:val="120"/>
              <w:bidi w:val="0"/>
              <w:rPr>
                <w:rFonts w:hint="default"/>
              </w:rPr>
            </w:pPr>
            <w:r>
              <w:rPr>
                <w:rFonts w:hint="default"/>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砷</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default"/>
                <w:lang w:val="en-US" w:eastAsia="zh-CN"/>
              </w:rPr>
              <w:t>0.000</w:t>
            </w:r>
            <w:r>
              <w:rPr>
                <w:rFonts w:hint="eastAsia"/>
                <w:lang w:val="en-US" w:eastAsia="zh-CN"/>
              </w:rPr>
              <w:t>4</w:t>
            </w:r>
          </w:p>
        </w:tc>
        <w:tc>
          <w:tcPr>
            <w:tcW w:w="1091" w:type="pct"/>
            <w:noWrap w:val="0"/>
            <w:vAlign w:val="center"/>
          </w:tcPr>
          <w:p>
            <w:pPr>
              <w:pStyle w:val="120"/>
              <w:bidi w:val="0"/>
              <w:rPr>
                <w:rFonts w:hint="default"/>
                <w:lang w:val="en-US" w:eastAsia="zh-CN"/>
              </w:rPr>
            </w:pPr>
            <w:r>
              <w:rPr>
                <w:rFonts w:hint="default"/>
                <w:lang w:val="en-US" w:eastAsia="zh-CN"/>
              </w:rPr>
              <w:t>0.00</w:t>
            </w:r>
            <w:r>
              <w:rPr>
                <w:rFonts w:hint="eastAsia"/>
                <w:lang w:val="en-US" w:eastAsia="zh-CN"/>
              </w:rPr>
              <w:t>1</w:t>
            </w:r>
          </w:p>
        </w:tc>
        <w:tc>
          <w:tcPr>
            <w:tcW w:w="1092" w:type="pct"/>
            <w:noWrap w:val="0"/>
            <w:vAlign w:val="center"/>
          </w:tcPr>
          <w:p>
            <w:pPr>
              <w:pStyle w:val="120"/>
              <w:bidi w:val="0"/>
              <w:rPr>
                <w:rFonts w:hint="default"/>
                <w:lang w:val="en-US" w:eastAsia="zh-CN"/>
              </w:rPr>
            </w:pPr>
            <w:r>
              <w:rPr>
                <w:rFonts w:hint="eastAsia"/>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rPr>
            </w:pPr>
            <w:r>
              <w:rPr>
                <w:rFonts w:hint="default"/>
              </w:rPr>
              <w:t>≤0.05</w:t>
            </w:r>
          </w:p>
        </w:tc>
        <w:tc>
          <w:tcPr>
            <w:tcW w:w="1091" w:type="pct"/>
            <w:noWrap w:val="0"/>
            <w:vAlign w:val="center"/>
          </w:tcPr>
          <w:p>
            <w:pPr>
              <w:pStyle w:val="120"/>
              <w:bidi w:val="0"/>
              <w:rPr>
                <w:rFonts w:hint="default"/>
              </w:rPr>
            </w:pPr>
            <w:r>
              <w:rPr>
                <w:rFonts w:hint="default"/>
              </w:rPr>
              <w:t>≤0.05</w:t>
            </w:r>
          </w:p>
        </w:tc>
        <w:tc>
          <w:tcPr>
            <w:tcW w:w="1092" w:type="pct"/>
            <w:noWrap w:val="0"/>
            <w:vAlign w:val="center"/>
          </w:tcPr>
          <w:p>
            <w:pPr>
              <w:pStyle w:val="120"/>
              <w:bidi w:val="0"/>
              <w:rPr>
                <w:rFonts w:hint="default"/>
              </w:rPr>
            </w:pPr>
            <w:r>
              <w:rPr>
                <w:rFonts w:hint="default"/>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氰化物</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default"/>
                <w:lang w:val="en-US" w:eastAsia="zh-CN"/>
              </w:rPr>
              <w:t>0.00</w:t>
            </w:r>
            <w:r>
              <w:rPr>
                <w:rFonts w:hint="eastAsia"/>
                <w:lang w:val="en-US" w:eastAsia="zh-CN"/>
              </w:rPr>
              <w:t>1</w:t>
            </w:r>
            <w:r>
              <w:rPr>
                <w:rFonts w:hint="default"/>
                <w:lang w:val="en-US" w:eastAsia="zh-CN"/>
              </w:rPr>
              <w:t>L</w:t>
            </w:r>
          </w:p>
        </w:tc>
        <w:tc>
          <w:tcPr>
            <w:tcW w:w="1091" w:type="pct"/>
            <w:noWrap w:val="0"/>
            <w:vAlign w:val="center"/>
          </w:tcPr>
          <w:p>
            <w:pPr>
              <w:pStyle w:val="120"/>
              <w:bidi w:val="0"/>
              <w:rPr>
                <w:rFonts w:hint="default"/>
                <w:lang w:val="en-US" w:eastAsia="zh-CN"/>
              </w:rPr>
            </w:pPr>
            <w:r>
              <w:rPr>
                <w:rFonts w:hint="default"/>
                <w:lang w:val="en-US" w:eastAsia="zh-CN"/>
              </w:rPr>
              <w:t>0.00</w:t>
            </w:r>
            <w:r>
              <w:rPr>
                <w:rFonts w:hint="eastAsia"/>
                <w:lang w:val="en-US" w:eastAsia="zh-CN"/>
              </w:rPr>
              <w:t>1</w:t>
            </w:r>
            <w:r>
              <w:rPr>
                <w:rFonts w:hint="default"/>
                <w:lang w:val="en-US" w:eastAsia="zh-CN"/>
              </w:rPr>
              <w:t>L</w:t>
            </w:r>
          </w:p>
        </w:tc>
        <w:tc>
          <w:tcPr>
            <w:tcW w:w="1092" w:type="pct"/>
            <w:noWrap w:val="0"/>
            <w:vAlign w:val="center"/>
          </w:tcPr>
          <w:p>
            <w:pPr>
              <w:pStyle w:val="120"/>
              <w:bidi w:val="0"/>
              <w:rPr>
                <w:rFonts w:hint="default"/>
                <w:lang w:val="en-US" w:eastAsia="zh-CN"/>
              </w:rPr>
            </w:pPr>
            <w:r>
              <w:rPr>
                <w:rFonts w:hint="eastAsia"/>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lang w:val="en-US" w:eastAsia="zh-CN"/>
              </w:rPr>
            </w:pPr>
            <w:r>
              <w:rPr>
                <w:rFonts w:hint="default"/>
              </w:rPr>
              <w:t>≤0.</w:t>
            </w:r>
            <w:r>
              <w:rPr>
                <w:rFonts w:hint="default"/>
                <w:lang w:val="en-US" w:eastAsia="zh-CN"/>
              </w:rPr>
              <w:t>05</w:t>
            </w:r>
          </w:p>
        </w:tc>
        <w:tc>
          <w:tcPr>
            <w:tcW w:w="1091" w:type="pct"/>
            <w:noWrap w:val="0"/>
            <w:vAlign w:val="center"/>
          </w:tcPr>
          <w:p>
            <w:pPr>
              <w:pStyle w:val="120"/>
              <w:bidi w:val="0"/>
              <w:rPr>
                <w:rFonts w:hint="default"/>
              </w:rPr>
            </w:pPr>
            <w:r>
              <w:rPr>
                <w:rFonts w:hint="default"/>
              </w:rPr>
              <w:t>≤0.2</w:t>
            </w:r>
          </w:p>
        </w:tc>
        <w:tc>
          <w:tcPr>
            <w:tcW w:w="1092" w:type="pct"/>
            <w:noWrap w:val="0"/>
            <w:vAlign w:val="center"/>
          </w:tcPr>
          <w:p>
            <w:pPr>
              <w:pStyle w:val="120"/>
              <w:bidi w:val="0"/>
              <w:rPr>
                <w:rFonts w:hint="default"/>
              </w:rPr>
            </w:pPr>
            <w:r>
              <w:rPr>
                <w:rFonts w:hint="default"/>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rPr>
            </w:pPr>
            <w:r>
              <w:rPr>
                <w:rFonts w:hint="default"/>
              </w:rPr>
              <w:t>硫化物</w:t>
            </w:r>
          </w:p>
        </w:tc>
        <w:tc>
          <w:tcPr>
            <w:tcW w:w="1003" w:type="pct"/>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default"/>
                <w:lang w:val="en-US" w:eastAsia="zh-CN"/>
              </w:rPr>
              <w:t>0.005L</w:t>
            </w:r>
          </w:p>
        </w:tc>
        <w:tc>
          <w:tcPr>
            <w:tcW w:w="1091" w:type="pct"/>
            <w:noWrap w:val="0"/>
            <w:vAlign w:val="center"/>
          </w:tcPr>
          <w:p>
            <w:pPr>
              <w:pStyle w:val="120"/>
              <w:bidi w:val="0"/>
              <w:rPr>
                <w:rFonts w:hint="default"/>
                <w:lang w:val="en-US" w:eastAsia="zh-CN"/>
              </w:rPr>
            </w:pPr>
            <w:r>
              <w:rPr>
                <w:rFonts w:hint="default"/>
                <w:lang w:val="en-US" w:eastAsia="zh-CN"/>
              </w:rPr>
              <w:t>0.005L</w:t>
            </w:r>
          </w:p>
        </w:tc>
        <w:tc>
          <w:tcPr>
            <w:tcW w:w="1092" w:type="pct"/>
            <w:noWrap w:val="0"/>
            <w:vAlign w:val="center"/>
          </w:tcPr>
          <w:p>
            <w:pPr>
              <w:pStyle w:val="120"/>
              <w:bidi w:val="0"/>
              <w:rPr>
                <w:rFonts w:hint="default"/>
                <w:lang w:val="en-US" w:eastAsia="zh-CN"/>
              </w:rPr>
            </w:pPr>
            <w:r>
              <w:rPr>
                <w:rFonts w:hint="eastAsia"/>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评价标准</w:t>
            </w:r>
          </w:p>
        </w:tc>
        <w:tc>
          <w:tcPr>
            <w:tcW w:w="1091" w:type="pct"/>
            <w:noWrap w:val="0"/>
            <w:vAlign w:val="center"/>
          </w:tcPr>
          <w:p>
            <w:pPr>
              <w:pStyle w:val="120"/>
              <w:bidi w:val="0"/>
              <w:rPr>
                <w:rFonts w:hint="default"/>
                <w:lang w:eastAsia="zh-CN"/>
              </w:rPr>
            </w:pPr>
            <w:r>
              <w:rPr>
                <w:rFonts w:hint="default"/>
              </w:rPr>
              <w:t>≤0.</w:t>
            </w:r>
            <w:r>
              <w:rPr>
                <w:rFonts w:hint="default"/>
                <w:lang w:val="en-US" w:eastAsia="zh-CN"/>
              </w:rPr>
              <w:t>1</w:t>
            </w:r>
          </w:p>
        </w:tc>
        <w:tc>
          <w:tcPr>
            <w:tcW w:w="1091" w:type="pct"/>
            <w:noWrap w:val="0"/>
            <w:vAlign w:val="center"/>
          </w:tcPr>
          <w:p>
            <w:pPr>
              <w:pStyle w:val="120"/>
              <w:bidi w:val="0"/>
              <w:rPr>
                <w:rFonts w:hint="default"/>
              </w:rPr>
            </w:pPr>
            <w:r>
              <w:rPr>
                <w:rFonts w:hint="default"/>
              </w:rPr>
              <w:t>≤0.2</w:t>
            </w:r>
          </w:p>
        </w:tc>
        <w:tc>
          <w:tcPr>
            <w:tcW w:w="1092" w:type="pct"/>
            <w:noWrap w:val="0"/>
            <w:vAlign w:val="center"/>
          </w:tcPr>
          <w:p>
            <w:pPr>
              <w:pStyle w:val="120"/>
              <w:bidi w:val="0"/>
              <w:rPr>
                <w:rFonts w:hint="default"/>
              </w:rPr>
            </w:pPr>
            <w:r>
              <w:rPr>
                <w:rFonts w:hint="default"/>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超标率（%）</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003" w:type="pct"/>
            <w:noWrap w:val="0"/>
            <w:vAlign w:val="center"/>
          </w:tcPr>
          <w:p>
            <w:pPr>
              <w:pStyle w:val="120"/>
              <w:bidi w:val="0"/>
              <w:rPr>
                <w:rFonts w:hint="default"/>
              </w:rPr>
            </w:pPr>
            <w:r>
              <w:rPr>
                <w:rFonts w:hint="default"/>
              </w:rPr>
              <w:t>最大超标倍数</w:t>
            </w:r>
          </w:p>
        </w:tc>
        <w:tc>
          <w:tcPr>
            <w:tcW w:w="1091" w:type="pct"/>
            <w:noWrap w:val="0"/>
            <w:vAlign w:val="center"/>
          </w:tcPr>
          <w:p>
            <w:pPr>
              <w:pStyle w:val="120"/>
              <w:bidi w:val="0"/>
              <w:rPr>
                <w:rFonts w:hint="default"/>
              </w:rPr>
            </w:pPr>
            <w:r>
              <w:rPr>
                <w:rFonts w:hint="default"/>
              </w:rPr>
              <w:t>0</w:t>
            </w:r>
          </w:p>
        </w:tc>
        <w:tc>
          <w:tcPr>
            <w:tcW w:w="1091" w:type="pct"/>
            <w:noWrap w:val="0"/>
            <w:vAlign w:val="center"/>
          </w:tcPr>
          <w:p>
            <w:pPr>
              <w:pStyle w:val="120"/>
              <w:bidi w:val="0"/>
              <w:rPr>
                <w:rFonts w:hint="default"/>
              </w:rPr>
            </w:pPr>
            <w:r>
              <w:rPr>
                <w:rFonts w:hint="default"/>
              </w:rPr>
              <w:t>0</w:t>
            </w:r>
          </w:p>
        </w:tc>
        <w:tc>
          <w:tcPr>
            <w:tcW w:w="1092" w:type="pct"/>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pPr>
              <w:pStyle w:val="120"/>
              <w:bidi w:val="0"/>
              <w:rPr>
                <w:rFonts w:hint="default"/>
                <w:lang w:val="en-US" w:eastAsia="zh-CN"/>
              </w:rPr>
            </w:pPr>
            <w:r>
              <w:rPr>
                <w:rFonts w:hint="default"/>
                <w:lang w:val="en-US" w:eastAsia="zh-CN"/>
              </w:rPr>
              <w:t>氟化物</w:t>
            </w:r>
          </w:p>
        </w:tc>
        <w:tc>
          <w:tcPr>
            <w:tcW w:w="1709" w:type="dxa"/>
            <w:noWrap w:val="0"/>
            <w:vAlign w:val="center"/>
          </w:tcPr>
          <w:p>
            <w:pPr>
              <w:pStyle w:val="120"/>
              <w:bidi w:val="0"/>
              <w:rPr>
                <w:rFonts w:hint="default"/>
              </w:rPr>
            </w:pPr>
            <w:r>
              <w:rPr>
                <w:rFonts w:hint="default"/>
              </w:rPr>
              <w:t>浓度范围</w:t>
            </w:r>
          </w:p>
        </w:tc>
        <w:tc>
          <w:tcPr>
            <w:tcW w:w="1091" w:type="pct"/>
            <w:noWrap w:val="0"/>
            <w:vAlign w:val="center"/>
          </w:tcPr>
          <w:p>
            <w:pPr>
              <w:pStyle w:val="120"/>
              <w:bidi w:val="0"/>
              <w:rPr>
                <w:rFonts w:hint="default"/>
                <w:lang w:val="en-US" w:eastAsia="zh-CN"/>
              </w:rPr>
            </w:pPr>
            <w:r>
              <w:rPr>
                <w:rFonts w:hint="eastAsia"/>
                <w:lang w:val="en-US" w:eastAsia="zh-CN"/>
              </w:rPr>
              <w:t>0.06</w:t>
            </w:r>
          </w:p>
        </w:tc>
        <w:tc>
          <w:tcPr>
            <w:tcW w:w="1091" w:type="pct"/>
            <w:noWrap w:val="0"/>
            <w:vAlign w:val="center"/>
          </w:tcPr>
          <w:p>
            <w:pPr>
              <w:pStyle w:val="120"/>
              <w:bidi w:val="0"/>
              <w:rPr>
                <w:rFonts w:hint="default"/>
                <w:lang w:val="en-US" w:eastAsia="zh-CN"/>
              </w:rPr>
            </w:pPr>
            <w:r>
              <w:rPr>
                <w:rFonts w:hint="eastAsia"/>
                <w:lang w:val="en-US" w:eastAsia="zh-CN"/>
              </w:rPr>
              <w:t>0.13</w:t>
            </w:r>
          </w:p>
        </w:tc>
        <w:tc>
          <w:tcPr>
            <w:tcW w:w="1092" w:type="pct"/>
            <w:noWrap w:val="0"/>
            <w:vAlign w:val="center"/>
          </w:tcPr>
          <w:p>
            <w:pPr>
              <w:pStyle w:val="120"/>
              <w:bidi w:val="0"/>
              <w:rPr>
                <w:rFonts w:hint="default"/>
                <w:lang w:val="en-US" w:eastAsia="zh-CN"/>
              </w:rPr>
            </w:pPr>
            <w:r>
              <w:rPr>
                <w:rFonts w:hint="eastAsia"/>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709" w:type="dxa"/>
            <w:noWrap w:val="0"/>
            <w:vAlign w:val="center"/>
          </w:tcPr>
          <w:p>
            <w:pPr>
              <w:pStyle w:val="120"/>
              <w:bidi w:val="0"/>
              <w:rPr>
                <w:rFonts w:hint="default"/>
              </w:rPr>
            </w:pPr>
            <w:r>
              <w:rPr>
                <w:rFonts w:hint="default"/>
              </w:rPr>
              <w:t>评价标准</w:t>
            </w:r>
          </w:p>
        </w:tc>
        <w:tc>
          <w:tcPr>
            <w:tcW w:w="1860" w:type="dxa"/>
            <w:noWrap w:val="0"/>
            <w:vAlign w:val="center"/>
          </w:tcPr>
          <w:p>
            <w:pPr>
              <w:pStyle w:val="120"/>
              <w:bidi w:val="0"/>
              <w:rPr>
                <w:rFonts w:hint="default"/>
                <w:lang w:val="en-US" w:eastAsia="zh-CN"/>
              </w:rPr>
            </w:pPr>
            <w:r>
              <w:rPr>
                <w:rFonts w:hint="default"/>
              </w:rPr>
              <w:t>≤</w:t>
            </w:r>
            <w:r>
              <w:rPr>
                <w:rFonts w:hint="default"/>
                <w:lang w:val="en-US" w:eastAsia="zh-CN"/>
              </w:rPr>
              <w:t>1.0</w:t>
            </w:r>
          </w:p>
        </w:tc>
        <w:tc>
          <w:tcPr>
            <w:tcW w:w="1860" w:type="dxa"/>
            <w:noWrap w:val="0"/>
            <w:vAlign w:val="center"/>
          </w:tcPr>
          <w:p>
            <w:pPr>
              <w:pStyle w:val="120"/>
              <w:bidi w:val="0"/>
              <w:rPr>
                <w:rFonts w:hint="default"/>
                <w:lang w:val="en-US" w:eastAsia="zh-CN"/>
              </w:rPr>
            </w:pPr>
            <w:r>
              <w:rPr>
                <w:rFonts w:hint="default"/>
              </w:rPr>
              <w:t>≤</w:t>
            </w:r>
            <w:r>
              <w:rPr>
                <w:rFonts w:hint="default"/>
                <w:lang w:val="en-US" w:eastAsia="zh-CN"/>
              </w:rPr>
              <w:t>1.0</w:t>
            </w:r>
          </w:p>
        </w:tc>
        <w:tc>
          <w:tcPr>
            <w:tcW w:w="1861" w:type="dxa"/>
            <w:noWrap w:val="0"/>
            <w:vAlign w:val="center"/>
          </w:tcPr>
          <w:p>
            <w:pPr>
              <w:pStyle w:val="120"/>
              <w:bidi w:val="0"/>
              <w:rPr>
                <w:rFonts w:hint="default"/>
                <w:lang w:val="en-US" w:eastAsia="zh-CN"/>
              </w:rPr>
            </w:pPr>
            <w:r>
              <w:rPr>
                <w:rFonts w:hint="default"/>
              </w:rPr>
              <w:t>≤</w:t>
            </w: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709" w:type="dxa"/>
            <w:noWrap w:val="0"/>
            <w:vAlign w:val="center"/>
          </w:tcPr>
          <w:p>
            <w:pPr>
              <w:pStyle w:val="120"/>
              <w:bidi w:val="0"/>
              <w:rPr>
                <w:rFonts w:hint="default"/>
              </w:rPr>
            </w:pPr>
            <w:r>
              <w:rPr>
                <w:rFonts w:hint="default"/>
              </w:rPr>
              <w:t>超标率（%）</w:t>
            </w:r>
          </w:p>
        </w:tc>
        <w:tc>
          <w:tcPr>
            <w:tcW w:w="1860" w:type="dxa"/>
            <w:noWrap w:val="0"/>
            <w:vAlign w:val="center"/>
          </w:tcPr>
          <w:p>
            <w:pPr>
              <w:pStyle w:val="120"/>
              <w:bidi w:val="0"/>
              <w:rPr>
                <w:rFonts w:hint="default"/>
              </w:rPr>
            </w:pPr>
            <w:r>
              <w:rPr>
                <w:rFonts w:hint="default"/>
              </w:rPr>
              <w:t>0</w:t>
            </w:r>
          </w:p>
        </w:tc>
        <w:tc>
          <w:tcPr>
            <w:tcW w:w="1860" w:type="dxa"/>
            <w:noWrap w:val="0"/>
            <w:vAlign w:val="center"/>
          </w:tcPr>
          <w:p>
            <w:pPr>
              <w:pStyle w:val="120"/>
              <w:bidi w:val="0"/>
              <w:rPr>
                <w:rFonts w:hint="default"/>
              </w:rPr>
            </w:pPr>
            <w:r>
              <w:rPr>
                <w:rFonts w:hint="default"/>
              </w:rPr>
              <w:t>0</w:t>
            </w:r>
          </w:p>
        </w:tc>
        <w:tc>
          <w:tcPr>
            <w:tcW w:w="1861" w:type="dxa"/>
            <w:noWrap w:val="0"/>
            <w:vAlign w:val="center"/>
          </w:tcPr>
          <w:p>
            <w:pPr>
              <w:pStyle w:val="120"/>
              <w:bidi w:val="0"/>
              <w:rPr>
                <w:rFonts w:hint="default"/>
              </w:rPr>
            </w:pP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pPr>
              <w:pStyle w:val="120"/>
              <w:bidi w:val="0"/>
              <w:rPr>
                <w:rFonts w:hint="default"/>
              </w:rPr>
            </w:pPr>
          </w:p>
        </w:tc>
        <w:tc>
          <w:tcPr>
            <w:tcW w:w="1709" w:type="dxa"/>
            <w:noWrap w:val="0"/>
            <w:vAlign w:val="center"/>
          </w:tcPr>
          <w:p>
            <w:pPr>
              <w:pStyle w:val="120"/>
              <w:bidi w:val="0"/>
              <w:rPr>
                <w:rFonts w:hint="default"/>
              </w:rPr>
            </w:pPr>
            <w:r>
              <w:rPr>
                <w:rFonts w:hint="default"/>
              </w:rPr>
              <w:t>最大超标倍数</w:t>
            </w:r>
          </w:p>
        </w:tc>
        <w:tc>
          <w:tcPr>
            <w:tcW w:w="1860" w:type="dxa"/>
            <w:noWrap w:val="0"/>
            <w:vAlign w:val="center"/>
          </w:tcPr>
          <w:p>
            <w:pPr>
              <w:pStyle w:val="120"/>
              <w:bidi w:val="0"/>
              <w:rPr>
                <w:rFonts w:hint="default"/>
              </w:rPr>
            </w:pPr>
            <w:r>
              <w:rPr>
                <w:rFonts w:hint="default"/>
              </w:rPr>
              <w:t>0</w:t>
            </w:r>
          </w:p>
        </w:tc>
        <w:tc>
          <w:tcPr>
            <w:tcW w:w="1860" w:type="dxa"/>
            <w:noWrap w:val="0"/>
            <w:vAlign w:val="center"/>
          </w:tcPr>
          <w:p>
            <w:pPr>
              <w:pStyle w:val="120"/>
              <w:bidi w:val="0"/>
              <w:rPr>
                <w:rFonts w:hint="default"/>
              </w:rPr>
            </w:pPr>
            <w:r>
              <w:rPr>
                <w:rFonts w:hint="default"/>
              </w:rPr>
              <w:t>0</w:t>
            </w:r>
          </w:p>
        </w:tc>
        <w:tc>
          <w:tcPr>
            <w:tcW w:w="1861" w:type="dxa"/>
            <w:noWrap w:val="0"/>
            <w:vAlign w:val="center"/>
          </w:tcPr>
          <w:p>
            <w:pPr>
              <w:pStyle w:val="120"/>
              <w:bidi w:val="0"/>
              <w:rPr>
                <w:rFonts w:hint="default"/>
              </w:rPr>
            </w:pPr>
            <w:r>
              <w:rPr>
                <w:rFonts w:hint="default"/>
              </w:rPr>
              <w:t>0</w:t>
            </w:r>
          </w:p>
        </w:tc>
      </w:tr>
    </w:tbl>
    <w:p>
      <w:pPr>
        <w:wordWrap w:val="0"/>
        <w:ind w:firstLine="480"/>
        <w:jc w:val="both"/>
        <w:rPr>
          <w:color w:val="auto"/>
          <w:szCs w:val="22"/>
          <w:u w:val="none"/>
        </w:rPr>
      </w:pPr>
      <w:r>
        <w:rPr>
          <w:color w:val="auto"/>
          <w:szCs w:val="22"/>
          <w:u w:val="none"/>
        </w:rPr>
        <w:t>由表</w:t>
      </w:r>
      <w:r>
        <w:rPr>
          <w:rFonts w:hint="eastAsia"/>
          <w:color w:val="auto"/>
          <w:szCs w:val="22"/>
          <w:u w:val="none"/>
        </w:rPr>
        <w:t>3</w:t>
      </w:r>
      <w:r>
        <w:rPr>
          <w:color w:val="auto"/>
          <w:szCs w:val="22"/>
          <w:u w:val="none"/>
        </w:rPr>
        <w:t>.4-4可知，</w:t>
      </w:r>
      <w:r>
        <w:rPr>
          <w:rFonts w:hint="eastAsia"/>
          <w:color w:val="auto"/>
          <w:szCs w:val="22"/>
          <w:u w:val="none"/>
          <w:lang w:val="en-US" w:eastAsia="zh-CN"/>
        </w:rPr>
        <w:t>2021</w:t>
      </w:r>
      <w:r>
        <w:rPr>
          <w:rFonts w:hint="eastAsia"/>
          <w:color w:val="auto"/>
          <w:szCs w:val="22"/>
          <w:u w:val="none"/>
        </w:rPr>
        <w:t>年</w:t>
      </w:r>
      <w:r>
        <w:rPr>
          <w:rFonts w:hint="eastAsia"/>
          <w:color w:val="auto"/>
          <w:szCs w:val="22"/>
          <w:u w:val="none"/>
          <w:lang w:eastAsia="zh-CN"/>
        </w:rPr>
        <w:t>永顺县水厂监测断面</w:t>
      </w:r>
      <w:r>
        <w:rPr>
          <w:color w:val="auto"/>
          <w:szCs w:val="22"/>
          <w:u w:val="none"/>
        </w:rPr>
        <w:t>常规监测断面各项监测指标能达到《地表水环境质量标准》（GB3838-2002）</w:t>
      </w:r>
      <w:r>
        <w:rPr>
          <w:rFonts w:hint="eastAsia"/>
          <w:color w:val="auto"/>
          <w:szCs w:val="22"/>
          <w:u w:val="none"/>
        </w:rPr>
        <w:t>Ⅱ</w:t>
      </w:r>
      <w:r>
        <w:rPr>
          <w:color w:val="auto"/>
          <w:szCs w:val="22"/>
          <w:u w:val="none"/>
        </w:rPr>
        <w:t>类标准要求；</w:t>
      </w:r>
      <w:r>
        <w:rPr>
          <w:rFonts w:hint="eastAsia"/>
          <w:color w:val="auto"/>
          <w:szCs w:val="22"/>
          <w:u w:val="none"/>
          <w:lang w:eastAsia="zh-CN"/>
        </w:rPr>
        <w:t>永顺县污水处理厂下游、海螺电站下游300m</w:t>
      </w:r>
      <w:r>
        <w:rPr>
          <w:color w:val="auto"/>
          <w:szCs w:val="22"/>
          <w:u w:val="none"/>
        </w:rPr>
        <w:t>常规监测断面各项监测指标均能达到《地表水环境质量标准》（GB3838-2002）</w:t>
      </w:r>
      <w:r>
        <w:rPr>
          <w:rFonts w:hint="eastAsia"/>
          <w:color w:val="auto"/>
          <w:szCs w:val="22"/>
          <w:u w:val="none"/>
        </w:rPr>
        <w:t>Ⅲ</w:t>
      </w:r>
      <w:r>
        <w:rPr>
          <w:color w:val="auto"/>
          <w:szCs w:val="22"/>
          <w:u w:val="none"/>
        </w:rPr>
        <w:t>类标准要求</w:t>
      </w:r>
      <w:r>
        <w:rPr>
          <w:rFonts w:hint="eastAsia"/>
          <w:color w:val="auto"/>
          <w:szCs w:val="22"/>
          <w:u w:val="none"/>
        </w:rPr>
        <w:t>，</w:t>
      </w:r>
      <w:r>
        <w:rPr>
          <w:color w:val="auto"/>
          <w:szCs w:val="22"/>
          <w:u w:val="none"/>
        </w:rPr>
        <w:t>总体而言，</w:t>
      </w:r>
      <w:r>
        <w:rPr>
          <w:rFonts w:hint="eastAsia"/>
          <w:color w:val="auto"/>
          <w:szCs w:val="22"/>
          <w:u w:val="none"/>
          <w:lang w:eastAsia="zh-CN"/>
        </w:rPr>
        <w:t>项目区域内</w:t>
      </w:r>
      <w:r>
        <w:rPr>
          <w:color w:val="auto"/>
          <w:szCs w:val="22"/>
          <w:u w:val="none"/>
        </w:rPr>
        <w:t>水质现状较好。</w:t>
      </w:r>
    </w:p>
    <w:p>
      <w:pPr>
        <w:pStyle w:val="69"/>
        <w:rPr>
          <w:rFonts w:hint="eastAsia" w:eastAsia="宋体"/>
          <w:color w:val="auto"/>
          <w:u w:val="none"/>
          <w:lang w:eastAsia="zh-CN"/>
        </w:rPr>
      </w:pPr>
      <w:r>
        <w:rPr>
          <w:rFonts w:hint="eastAsia"/>
          <w:color w:val="auto"/>
          <w:u w:val="none"/>
        </w:rPr>
        <w:t>3</w:t>
      </w:r>
      <w:r>
        <w:rPr>
          <w:color w:val="auto"/>
          <w:u w:val="none"/>
        </w:rPr>
        <w:t>.4.2.2</w:t>
      </w:r>
      <w:r>
        <w:rPr>
          <w:rFonts w:hint="eastAsia"/>
          <w:color w:val="auto"/>
          <w:u w:val="none"/>
          <w:lang w:eastAsia="zh-CN"/>
        </w:rPr>
        <w:t>地表水环境质量引用监测</w:t>
      </w:r>
    </w:p>
    <w:p>
      <w:pPr>
        <w:ind w:firstLine="480"/>
        <w:rPr>
          <w:rFonts w:cs="Times New Roman"/>
          <w:color w:val="auto"/>
          <w:u w:val="single"/>
        </w:rPr>
      </w:pPr>
      <w:r>
        <w:rPr>
          <w:rFonts w:cs="Times New Roman"/>
          <w:color w:val="auto"/>
          <w:u w:val="single"/>
        </w:rPr>
        <w:t>本评价地表水环境质量收集了《</w:t>
      </w:r>
      <w:r>
        <w:rPr>
          <w:rFonts w:hint="default" w:cs="Times New Roman"/>
          <w:color w:val="auto"/>
          <w:u w:val="single"/>
          <w:lang w:val="en-US" w:eastAsia="zh-CN"/>
        </w:rPr>
        <w:t>湘西废旧汽车拆解利用建设项目</w:t>
      </w:r>
      <w:r>
        <w:rPr>
          <w:rFonts w:cs="Times New Roman"/>
          <w:color w:val="auto"/>
          <w:u w:val="single"/>
        </w:rPr>
        <w:t>》中地表水常规监测资料，调查了解项目区域的环境质量现状。引用理由如下：</w:t>
      </w:r>
    </w:p>
    <w:p>
      <w:pPr>
        <w:pStyle w:val="3"/>
        <w:ind w:firstLine="480"/>
        <w:rPr>
          <w:rFonts w:hint="eastAsia" w:eastAsia="宋体" w:cs="Times New Roman"/>
          <w:color w:val="auto"/>
          <w:u w:val="single"/>
          <w:lang w:eastAsia="zh-CN"/>
        </w:rPr>
      </w:pPr>
      <w:r>
        <w:rPr>
          <w:rFonts w:cs="Times New Roman"/>
          <w:color w:val="auto"/>
          <w:u w:val="single"/>
        </w:rPr>
        <w:t>①引用监测时</w:t>
      </w:r>
      <w:r>
        <w:rPr>
          <w:rFonts w:hint="default" w:ascii="Times New Roman" w:hAnsi="Times New Roman" w:cs="Times New Roman"/>
          <w:color w:val="auto"/>
          <w:u w:val="single"/>
        </w:rPr>
        <w:t>间为</w:t>
      </w:r>
      <w:r>
        <w:rPr>
          <w:rFonts w:hint="default" w:ascii="Times New Roman" w:hAnsi="Times New Roman" w:cs="Times New Roman"/>
          <w:color w:val="auto"/>
          <w:u w:val="single"/>
          <w:lang w:val="en-US" w:eastAsia="zh-CN"/>
        </w:rPr>
        <w:t>2020.8.10</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2020.8.12</w:t>
      </w:r>
      <w:r>
        <w:rPr>
          <w:rFonts w:hint="eastAsia" w:ascii="Times New Roman" w:hAnsi="Times New Roman" w:cs="Times New Roman"/>
          <w:color w:val="auto"/>
          <w:u w:val="single"/>
          <w:lang w:eastAsia="zh-CN"/>
        </w:rPr>
        <w:t>，</w:t>
      </w:r>
      <w:r>
        <w:rPr>
          <w:rFonts w:hint="default" w:ascii="Times New Roman" w:hAnsi="Times New Roman" w:cs="Times New Roman"/>
          <w:color w:val="auto"/>
          <w:u w:val="single"/>
        </w:rPr>
        <w:t>监测时</w:t>
      </w:r>
      <w:r>
        <w:rPr>
          <w:rFonts w:cs="Times New Roman"/>
          <w:color w:val="auto"/>
          <w:u w:val="single"/>
        </w:rPr>
        <w:t>间</w:t>
      </w:r>
      <w:r>
        <w:rPr>
          <w:rFonts w:hint="default" w:ascii="Times New Roman" w:hAnsi="Times New Roman" w:cs="Times New Roman"/>
          <w:color w:val="auto"/>
          <w:u w:val="single"/>
        </w:rPr>
        <w:t>在3年</w:t>
      </w:r>
      <w:r>
        <w:rPr>
          <w:rFonts w:cs="Times New Roman"/>
          <w:color w:val="auto"/>
          <w:u w:val="single"/>
        </w:rPr>
        <w:t>有效期内</w:t>
      </w:r>
      <w:r>
        <w:rPr>
          <w:rFonts w:hint="eastAsia" w:cs="Times New Roman"/>
          <w:color w:val="auto"/>
          <w:u w:val="single"/>
          <w:lang w:eastAsia="zh-CN"/>
        </w:rPr>
        <w:t>；</w:t>
      </w:r>
    </w:p>
    <w:p>
      <w:pPr>
        <w:pStyle w:val="3"/>
        <w:ind w:firstLine="480"/>
        <w:rPr>
          <w:rFonts w:hint="eastAsia" w:eastAsia="宋体" w:cs="Times New Roman"/>
          <w:color w:val="auto"/>
          <w:u w:val="single"/>
          <w:lang w:eastAsia="zh-CN"/>
        </w:rPr>
      </w:pPr>
      <w:r>
        <w:rPr>
          <w:rFonts w:cs="Times New Roman"/>
          <w:color w:val="auto"/>
          <w:u w:val="single"/>
        </w:rPr>
        <w:t>②引用项目数据点为本项目纳污</w:t>
      </w:r>
      <w:r>
        <w:rPr>
          <w:rFonts w:hint="eastAsia" w:cs="Times New Roman"/>
          <w:color w:val="auto"/>
          <w:u w:val="single"/>
        </w:rPr>
        <w:t>水环境区域</w:t>
      </w:r>
      <w:r>
        <w:rPr>
          <w:rFonts w:hint="eastAsia" w:cs="Times New Roman"/>
          <w:color w:val="auto"/>
          <w:u w:val="single"/>
          <w:lang w:eastAsia="zh-CN"/>
        </w:rPr>
        <w:t>；</w:t>
      </w:r>
    </w:p>
    <w:p>
      <w:pPr>
        <w:pStyle w:val="3"/>
        <w:ind w:firstLine="480"/>
        <w:rPr>
          <w:rFonts w:hint="eastAsia" w:eastAsia="宋体" w:cs="Times New Roman"/>
          <w:color w:val="auto"/>
          <w:u w:val="single"/>
          <w:lang w:eastAsia="zh-CN"/>
        </w:rPr>
      </w:pPr>
      <w:r>
        <w:rPr>
          <w:rFonts w:cs="Times New Roman"/>
          <w:color w:val="auto"/>
          <w:u w:val="single"/>
        </w:rPr>
        <w:t>③监测项目全面，包含了本项目污染因子</w:t>
      </w:r>
      <w:r>
        <w:rPr>
          <w:rFonts w:hint="eastAsia" w:cs="Times New Roman"/>
          <w:color w:val="auto"/>
          <w:u w:val="single"/>
          <w:lang w:eastAsia="zh-CN"/>
        </w:rPr>
        <w:t>；</w:t>
      </w:r>
    </w:p>
    <w:p>
      <w:pPr>
        <w:pStyle w:val="3"/>
        <w:ind w:firstLine="480"/>
        <w:rPr>
          <w:rFonts w:cs="Times New Roman"/>
          <w:color w:val="auto"/>
          <w:u w:val="single"/>
        </w:rPr>
      </w:pPr>
      <w:r>
        <w:rPr>
          <w:rFonts w:cs="Times New Roman"/>
          <w:color w:val="auto"/>
          <w:u w:val="single"/>
        </w:rPr>
        <w:t>④地表水环境质量现状与本项目建设前改变不大。</w:t>
      </w:r>
    </w:p>
    <w:p>
      <w:pPr>
        <w:ind w:firstLine="480"/>
        <w:rPr>
          <w:rFonts w:cs="Times New Roman"/>
          <w:color w:val="auto"/>
          <w:u w:val="single"/>
          <w:lang w:val="en-US"/>
        </w:rPr>
      </w:pPr>
      <w:r>
        <w:rPr>
          <w:rFonts w:cs="Times New Roman"/>
          <w:color w:val="auto"/>
          <w:u w:val="single"/>
          <w:lang w:val="en-US"/>
        </w:rPr>
        <w:t>检测点位图详见附图3：</w:t>
      </w:r>
      <w:r>
        <w:rPr>
          <w:rFonts w:cs="Times New Roman"/>
          <w:color w:val="auto"/>
          <w:u w:val="single"/>
        </w:rPr>
        <w:t>引用监测点位图</w:t>
      </w:r>
    </w:p>
    <w:p>
      <w:pPr>
        <w:ind w:firstLine="480"/>
        <w:rPr>
          <w:rFonts w:hint="eastAsia" w:eastAsia="宋体" w:cs="Times New Roman"/>
          <w:color w:val="auto"/>
          <w:u w:val="none"/>
          <w:lang w:val="en-US" w:eastAsia="zh-CN"/>
        </w:rPr>
      </w:pPr>
      <w:r>
        <w:rPr>
          <w:rFonts w:cs="Times New Roman"/>
          <w:color w:val="auto"/>
          <w:u w:val="none"/>
          <w:lang w:val="en-US"/>
        </w:rPr>
        <w:t>以下为引用内容</w:t>
      </w:r>
      <w:r>
        <w:rPr>
          <w:rFonts w:hint="eastAsia" w:cs="Times New Roman"/>
          <w:color w:val="auto"/>
          <w:u w:val="none"/>
          <w:lang w:val="en-US" w:eastAsia="zh-CN"/>
        </w:rPr>
        <w:t>：</w:t>
      </w:r>
    </w:p>
    <w:p>
      <w:pPr>
        <w:spacing w:line="360" w:lineRule="auto"/>
        <w:ind w:firstLine="480" w:firstLineChars="200"/>
        <w:rPr>
          <w:rFonts w:ascii="Times New Roman" w:hAnsi="Times New Roman"/>
          <w:color w:val="auto"/>
          <w:kern w:val="0"/>
          <w:sz w:val="24"/>
          <w:szCs w:val="24"/>
          <w:u w:val="none"/>
        </w:rPr>
      </w:pPr>
      <w:r>
        <w:rPr>
          <w:rFonts w:hint="default" w:ascii="Times New Roman" w:hAnsi="Times New Roman" w:cs="Times New Roman"/>
          <w:color w:val="auto"/>
          <w:sz w:val="24"/>
          <w:szCs w:val="24"/>
          <w:u w:val="none"/>
        </w:rPr>
        <w:t>项目监测共</w:t>
      </w:r>
      <w:r>
        <w:rPr>
          <w:rFonts w:hint="default" w:ascii="Times New Roman" w:hAnsi="Times New Roman" w:cs="Times New Roman"/>
          <w:color w:val="auto"/>
          <w:sz w:val="24"/>
          <w:szCs w:val="24"/>
          <w:u w:val="none"/>
          <w:lang w:val="en-US" w:eastAsia="zh-CN"/>
        </w:rPr>
        <w:t>布置2</w:t>
      </w:r>
      <w:r>
        <w:rPr>
          <w:rFonts w:hint="default" w:ascii="Times New Roman" w:hAnsi="Times New Roman" w:cs="Times New Roman"/>
          <w:color w:val="auto"/>
          <w:sz w:val="24"/>
          <w:szCs w:val="24"/>
          <w:u w:val="none"/>
        </w:rPr>
        <w:t>个地表水监测点，监测断面分别为</w:t>
      </w:r>
      <w:r>
        <w:rPr>
          <w:rFonts w:hint="default" w:ascii="Times New Roman" w:hAnsi="Times New Roman" w:cs="Times New Roman"/>
          <w:color w:val="auto"/>
          <w:sz w:val="24"/>
          <w:szCs w:val="24"/>
          <w:u w:val="none"/>
          <w:lang w:val="en-US" w:eastAsia="zh-CN"/>
        </w:rPr>
        <w:t>项目拟建地猛洞河上游500m</w:t>
      </w:r>
      <w:r>
        <w:rPr>
          <w:rFonts w:hint="default" w:ascii="Times New Roman" w:hAnsi="Times New Roman" w:cs="Times New Roman"/>
          <w:color w:val="auto"/>
          <w:sz w:val="24"/>
          <w:szCs w:val="24"/>
          <w:u w:val="none"/>
          <w:lang w:eastAsia="zh-CN"/>
        </w:rPr>
        <w:t>处</w:t>
      </w:r>
      <w:r>
        <w:rPr>
          <w:rFonts w:hint="default" w:ascii="Times New Roman" w:hAnsi="Times New Roman" w:cs="Times New Roman"/>
          <w:color w:val="auto"/>
          <w:sz w:val="24"/>
          <w:szCs w:val="24"/>
          <w:u w:val="none"/>
        </w:rPr>
        <w:t>（W1），</w:t>
      </w:r>
      <w:r>
        <w:rPr>
          <w:rFonts w:hint="default" w:ascii="Times New Roman" w:hAnsi="Times New Roman" w:cs="Times New Roman"/>
          <w:color w:val="auto"/>
          <w:sz w:val="24"/>
          <w:szCs w:val="24"/>
          <w:u w:val="none"/>
          <w:lang w:val="en-US" w:eastAsia="zh-CN"/>
        </w:rPr>
        <w:t>项目拟建地猛洞河下游1000m</w:t>
      </w:r>
      <w:r>
        <w:rPr>
          <w:rFonts w:hint="default" w:ascii="Times New Roman" w:hAnsi="Times New Roman" w:cs="Times New Roman"/>
          <w:color w:val="auto"/>
          <w:sz w:val="24"/>
          <w:szCs w:val="24"/>
          <w:u w:val="none"/>
          <w:lang w:eastAsia="zh-CN"/>
        </w:rPr>
        <w:t>处</w:t>
      </w:r>
      <w:r>
        <w:rPr>
          <w:rFonts w:hint="default" w:ascii="Times New Roman" w:hAnsi="Times New Roman" w:cs="Times New Roman"/>
          <w:color w:val="auto"/>
          <w:sz w:val="24"/>
          <w:szCs w:val="24"/>
          <w:u w:val="none"/>
        </w:rPr>
        <w:t>（W2）。详见下表3.</w:t>
      </w:r>
      <w:r>
        <w:rPr>
          <w:rFonts w:hint="eastAsia" w:cs="Times New Roman"/>
          <w:color w:val="auto"/>
          <w:sz w:val="24"/>
          <w:szCs w:val="24"/>
          <w:u w:val="none"/>
          <w:lang w:val="en-US" w:eastAsia="zh-CN"/>
        </w:rPr>
        <w:t>4-5</w:t>
      </w:r>
      <w:r>
        <w:rPr>
          <w:rFonts w:hint="default" w:ascii="Times New Roman" w:hAnsi="Times New Roman" w:cs="Times New Roman"/>
          <w:color w:val="auto"/>
          <w:sz w:val="24"/>
          <w:szCs w:val="24"/>
          <w:u w:val="none"/>
        </w:rPr>
        <w:t>，项目监测布点图见附图</w:t>
      </w:r>
      <w:r>
        <w:rPr>
          <w:rFonts w:hint="eastAsia" w:ascii="Times New Roman" w:hAnsi="Times New Roman" w:cs="Times New Roman"/>
          <w:color w:val="auto"/>
          <w:sz w:val="24"/>
          <w:szCs w:val="24"/>
          <w:u w:val="none"/>
          <w:lang w:val="en-US" w:eastAsia="zh-CN"/>
        </w:rPr>
        <w:t>3</w:t>
      </w:r>
      <w:r>
        <w:rPr>
          <w:rFonts w:hint="default" w:ascii="Times New Roman" w:hAnsi="Times New Roman" w:cs="Times New Roman"/>
          <w:color w:val="auto"/>
          <w:sz w:val="24"/>
          <w:szCs w:val="24"/>
          <w:u w:val="none"/>
        </w:rPr>
        <w:t>：</w:t>
      </w:r>
      <w:r>
        <w:rPr>
          <w:rFonts w:hint="eastAsia" w:ascii="Times New Roman" w:hAnsi="Times New Roman" w:cs="Times New Roman"/>
          <w:color w:val="auto"/>
          <w:sz w:val="24"/>
          <w:szCs w:val="24"/>
          <w:u w:val="none"/>
          <w:lang w:eastAsia="zh-CN"/>
        </w:rPr>
        <w:t>引用</w:t>
      </w:r>
      <w:r>
        <w:rPr>
          <w:rFonts w:hint="default" w:ascii="Times New Roman" w:hAnsi="Times New Roman" w:cs="Times New Roman"/>
          <w:color w:val="auto"/>
          <w:sz w:val="24"/>
          <w:szCs w:val="24"/>
          <w:u w:val="none"/>
        </w:rPr>
        <w:t>监测布点图</w:t>
      </w:r>
    </w:p>
    <w:p>
      <w:pPr>
        <w:pStyle w:val="122"/>
        <w:spacing w:beforeLines="0"/>
        <w:rPr>
          <w:color w:val="auto"/>
          <w:u w:val="none"/>
        </w:rPr>
      </w:pPr>
      <w:r>
        <w:rPr>
          <w:color w:val="auto"/>
          <w:sz w:val="21"/>
          <w:szCs w:val="21"/>
          <w:u w:val="none"/>
        </w:rPr>
        <w:t>表3</w:t>
      </w:r>
      <w:r>
        <w:rPr>
          <w:rFonts w:hint="default"/>
          <w:color w:val="auto"/>
          <w:sz w:val="21"/>
          <w:szCs w:val="21"/>
          <w:u w:val="none"/>
        </w:rPr>
        <w:t>.</w:t>
      </w:r>
      <w:r>
        <w:rPr>
          <w:rFonts w:hint="eastAsia"/>
          <w:color w:val="auto"/>
          <w:sz w:val="21"/>
          <w:szCs w:val="21"/>
          <w:u w:val="none"/>
          <w:lang w:val="en-US" w:eastAsia="zh-CN"/>
        </w:rPr>
        <w:t>4</w:t>
      </w:r>
      <w:r>
        <w:rPr>
          <w:rFonts w:hint="default"/>
          <w:color w:val="auto"/>
          <w:sz w:val="21"/>
          <w:szCs w:val="21"/>
          <w:u w:val="none"/>
        </w:rPr>
        <w:t>-</w:t>
      </w:r>
      <w:r>
        <w:rPr>
          <w:rFonts w:hint="eastAsia"/>
          <w:color w:val="auto"/>
          <w:sz w:val="21"/>
          <w:szCs w:val="21"/>
          <w:u w:val="none"/>
          <w:lang w:val="en-US" w:eastAsia="zh-CN"/>
        </w:rPr>
        <w:t>5</w:t>
      </w:r>
      <w:r>
        <w:rPr>
          <w:rFonts w:hint="default"/>
          <w:color w:val="auto"/>
          <w:sz w:val="21"/>
          <w:szCs w:val="21"/>
          <w:u w:val="none"/>
        </w:rPr>
        <w:t xml:space="preserve"> </w:t>
      </w:r>
      <w:r>
        <w:rPr>
          <w:color w:val="auto"/>
          <w:sz w:val="21"/>
          <w:szCs w:val="21"/>
          <w:u w:val="none"/>
        </w:rPr>
        <w:t>项目地表水现状监测点位一览表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867"/>
        <w:gridCol w:w="1143"/>
        <w:gridCol w:w="2807"/>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68" w:type="pct"/>
            <w:noWrap w:val="0"/>
            <w:vAlign w:val="center"/>
          </w:tcPr>
          <w:p>
            <w:pPr>
              <w:spacing w:line="240" w:lineRule="auto"/>
              <w:ind w:firstLine="0" w:firstLineChars="0"/>
              <w:jc w:val="center"/>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编号</w:t>
            </w:r>
          </w:p>
        </w:tc>
        <w:tc>
          <w:tcPr>
            <w:tcW w:w="1095" w:type="pct"/>
            <w:noWrap w:val="0"/>
            <w:vAlign w:val="center"/>
          </w:tcPr>
          <w:p>
            <w:pPr>
              <w:spacing w:line="240" w:lineRule="auto"/>
              <w:ind w:firstLine="0" w:firstLineChars="0"/>
              <w:jc w:val="center"/>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名称</w:t>
            </w:r>
          </w:p>
        </w:tc>
        <w:tc>
          <w:tcPr>
            <w:tcW w:w="670" w:type="pct"/>
            <w:noWrap w:val="0"/>
            <w:vAlign w:val="center"/>
          </w:tcPr>
          <w:p>
            <w:pPr>
              <w:spacing w:line="240" w:lineRule="auto"/>
              <w:ind w:firstLine="0" w:firstLineChars="0"/>
              <w:jc w:val="center"/>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与本项目位置关系</w:t>
            </w:r>
          </w:p>
        </w:tc>
        <w:tc>
          <w:tcPr>
            <w:tcW w:w="1646" w:type="pct"/>
            <w:noWrap w:val="0"/>
            <w:vAlign w:val="center"/>
          </w:tcPr>
          <w:p>
            <w:pPr>
              <w:spacing w:line="240" w:lineRule="auto"/>
              <w:ind w:firstLine="0" w:firstLineChars="0"/>
              <w:jc w:val="center"/>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评价因子</w:t>
            </w:r>
          </w:p>
        </w:tc>
        <w:tc>
          <w:tcPr>
            <w:tcW w:w="1218" w:type="pct"/>
            <w:noWrap w:val="0"/>
            <w:vAlign w:val="center"/>
          </w:tcPr>
          <w:p>
            <w:pPr>
              <w:spacing w:line="240" w:lineRule="auto"/>
              <w:ind w:firstLine="0" w:firstLineChars="0"/>
              <w:jc w:val="center"/>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368" w:type="pct"/>
            <w:noWrap w:val="0"/>
            <w:vAlign w:val="center"/>
          </w:tcPr>
          <w:p>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W1</w:t>
            </w:r>
          </w:p>
        </w:tc>
        <w:tc>
          <w:tcPr>
            <w:tcW w:w="1095" w:type="pct"/>
            <w:noWrap w:val="0"/>
            <w:vAlign w:val="center"/>
          </w:tcPr>
          <w:p>
            <w:pPr>
              <w:pStyle w:val="95"/>
              <w:spacing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项目拟建地猛洞河上游500m</w:t>
            </w:r>
            <w:r>
              <w:rPr>
                <w:rFonts w:hint="default" w:ascii="Times New Roman" w:hAnsi="Times New Roman" w:cs="Times New Roman"/>
                <w:color w:val="auto"/>
                <w:sz w:val="21"/>
                <w:szCs w:val="21"/>
                <w:u w:val="none"/>
                <w:lang w:eastAsia="zh-CN"/>
              </w:rPr>
              <w:t>处</w:t>
            </w:r>
          </w:p>
        </w:tc>
        <w:tc>
          <w:tcPr>
            <w:tcW w:w="67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eastAsia="zh-CN"/>
              </w:rPr>
              <w:t>位于本项目排污口上游</w:t>
            </w:r>
            <w:r>
              <w:rPr>
                <w:rFonts w:hint="eastAsia" w:ascii="Times New Roman" w:hAnsi="Times New Roman" w:cs="Times New Roman"/>
                <w:color w:val="auto"/>
                <w:sz w:val="21"/>
                <w:szCs w:val="21"/>
                <w:u w:val="none"/>
                <w:lang w:val="en-US" w:eastAsia="zh-CN"/>
              </w:rPr>
              <w:t>500m</w:t>
            </w:r>
          </w:p>
        </w:tc>
        <w:tc>
          <w:tcPr>
            <w:tcW w:w="1646" w:type="pct"/>
            <w:vMerge w:val="restart"/>
            <w:noWrap w:val="0"/>
            <w:vAlign w:val="center"/>
          </w:tcPr>
          <w:p>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水温、pH、溶解氧、高锰酸盐指数、COD、BOD</w:t>
            </w:r>
            <w:r>
              <w:rPr>
                <w:rFonts w:hint="default" w:ascii="Times New Roman" w:hAnsi="Times New Roman" w:cs="Times New Roman"/>
                <w:color w:val="auto"/>
                <w:sz w:val="21"/>
                <w:szCs w:val="21"/>
                <w:u w:val="none"/>
                <w:vertAlign w:val="subscript"/>
              </w:rPr>
              <w:t>5</w:t>
            </w:r>
            <w:r>
              <w:rPr>
                <w:rFonts w:hint="default" w:ascii="Times New Roman" w:hAnsi="Times New Roman" w:cs="Times New Roman"/>
                <w:color w:val="auto"/>
                <w:sz w:val="21"/>
                <w:szCs w:val="21"/>
                <w:u w:val="none"/>
              </w:rPr>
              <w:t>、氨氮、总磷、</w:t>
            </w:r>
            <w:r>
              <w:rPr>
                <w:rFonts w:hint="default" w:ascii="Times New Roman" w:hAnsi="Times New Roman" w:cs="Times New Roman"/>
                <w:color w:val="auto"/>
                <w:sz w:val="21"/>
                <w:szCs w:val="21"/>
                <w:u w:val="none"/>
                <w:lang w:val="en-US" w:eastAsia="zh-CN"/>
              </w:rPr>
              <w:t>挥发酚、氟化物、</w:t>
            </w:r>
            <w:r>
              <w:rPr>
                <w:rFonts w:hint="default" w:ascii="Times New Roman" w:hAnsi="Times New Roman" w:cs="Times New Roman"/>
                <w:color w:val="auto"/>
                <w:sz w:val="21"/>
                <w:szCs w:val="21"/>
                <w:u w:val="none"/>
              </w:rPr>
              <w:t>石油类、阴离子表面活性剂、粪大肠菌群、SS</w:t>
            </w:r>
          </w:p>
        </w:tc>
        <w:tc>
          <w:tcPr>
            <w:tcW w:w="1218"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2020.8.10~2020.8.12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368" w:type="pct"/>
            <w:noWrap w:val="0"/>
            <w:vAlign w:val="center"/>
          </w:tcPr>
          <w:p>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W2</w:t>
            </w:r>
          </w:p>
        </w:tc>
        <w:tc>
          <w:tcPr>
            <w:tcW w:w="1095" w:type="pct"/>
            <w:noWrap w:val="0"/>
            <w:vAlign w:val="center"/>
          </w:tcPr>
          <w:p>
            <w:pPr>
              <w:pStyle w:val="95"/>
              <w:spacing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项目拟建地猛洞河下游1000m</w:t>
            </w:r>
            <w:r>
              <w:rPr>
                <w:rFonts w:hint="default" w:ascii="Times New Roman" w:hAnsi="Times New Roman" w:cs="Times New Roman"/>
                <w:color w:val="auto"/>
                <w:sz w:val="21"/>
                <w:szCs w:val="21"/>
                <w:u w:val="none"/>
                <w:lang w:eastAsia="zh-CN"/>
              </w:rPr>
              <w:t>处</w:t>
            </w:r>
          </w:p>
        </w:tc>
        <w:tc>
          <w:tcPr>
            <w:tcW w:w="670" w:type="pct"/>
            <w:noWrap w:val="0"/>
            <w:vAlign w:val="center"/>
          </w:tcPr>
          <w:p>
            <w:pPr>
              <w:spacing w:line="240" w:lineRule="auto"/>
              <w:ind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eastAsia="zh-CN"/>
              </w:rPr>
              <w:t>位于本项目排污口下游</w:t>
            </w:r>
            <w:r>
              <w:rPr>
                <w:rFonts w:hint="eastAsia" w:ascii="Times New Roman" w:hAnsi="Times New Roman" w:cs="Times New Roman"/>
                <w:color w:val="auto"/>
                <w:sz w:val="21"/>
                <w:szCs w:val="21"/>
                <w:u w:val="none"/>
                <w:lang w:val="en-US" w:eastAsia="zh-CN"/>
              </w:rPr>
              <w:t>1000m</w:t>
            </w:r>
          </w:p>
        </w:tc>
        <w:tc>
          <w:tcPr>
            <w:tcW w:w="1646" w:type="pct"/>
            <w:vMerge w:val="continue"/>
            <w:noWrap w:val="0"/>
            <w:vAlign w:val="center"/>
          </w:tcPr>
          <w:p>
            <w:pPr>
              <w:spacing w:line="240" w:lineRule="auto"/>
              <w:ind w:firstLine="0" w:firstLineChars="0"/>
              <w:rPr>
                <w:rFonts w:hint="default" w:ascii="Times New Roman" w:hAnsi="Times New Roman" w:cs="Times New Roman"/>
                <w:color w:val="auto"/>
                <w:sz w:val="21"/>
                <w:szCs w:val="21"/>
                <w:u w:val="none"/>
              </w:rPr>
            </w:pPr>
          </w:p>
        </w:tc>
        <w:tc>
          <w:tcPr>
            <w:tcW w:w="1218" w:type="pct"/>
            <w:vMerge w:val="continue"/>
            <w:noWrap w:val="0"/>
            <w:vAlign w:val="center"/>
          </w:tcPr>
          <w:p>
            <w:pPr>
              <w:spacing w:line="240" w:lineRule="auto"/>
              <w:ind w:firstLine="0" w:firstLineChars="0"/>
              <w:rPr>
                <w:rFonts w:hint="default" w:ascii="Times New Roman" w:hAnsi="Times New Roman" w:cs="Times New Roman"/>
                <w:color w:val="auto"/>
                <w:sz w:val="21"/>
                <w:szCs w:val="21"/>
                <w:u w:val="none"/>
              </w:rPr>
            </w:pPr>
          </w:p>
        </w:tc>
      </w:tr>
    </w:tbl>
    <w:p>
      <w:pPr>
        <w:spacing w:line="360" w:lineRule="auto"/>
        <w:ind w:firstLine="480" w:firstLineChars="200"/>
        <w:rPr>
          <w:rFonts w:ascii="Times New Roman" w:hAnsi="Times New Roman"/>
          <w:color w:val="auto"/>
          <w:kern w:val="0"/>
          <w:sz w:val="24"/>
          <w:u w:val="single"/>
        </w:rPr>
      </w:pPr>
      <w:r>
        <w:rPr>
          <w:rFonts w:ascii="Times New Roman" w:hAnsi="Times New Roman"/>
          <w:color w:val="auto"/>
          <w:kern w:val="0"/>
          <w:sz w:val="24"/>
          <w:u w:val="none"/>
        </w:rPr>
        <w:t>地表水常规监测统计结果见</w:t>
      </w:r>
      <w:r>
        <w:rPr>
          <w:rFonts w:hint="default" w:ascii="Times New Roman" w:hAnsi="Times New Roman"/>
          <w:color w:val="auto"/>
          <w:kern w:val="0"/>
          <w:sz w:val="24"/>
          <w:u w:val="none"/>
        </w:rPr>
        <w:t>下表</w:t>
      </w:r>
      <w:r>
        <w:rPr>
          <w:rFonts w:hint="eastAsia" w:ascii="Times New Roman" w:hAnsi="Times New Roman"/>
          <w:color w:val="auto"/>
          <w:kern w:val="0"/>
          <w:sz w:val="24"/>
          <w:u w:val="none"/>
          <w:lang w:val="en-US" w:eastAsia="zh-CN"/>
        </w:rPr>
        <w:t>3.4-6</w:t>
      </w:r>
      <w:r>
        <w:rPr>
          <w:rFonts w:ascii="Times New Roman" w:hAnsi="Times New Roman"/>
          <w:color w:val="auto"/>
          <w:kern w:val="0"/>
          <w:sz w:val="24"/>
          <w:u w:val="none"/>
        </w:rPr>
        <w:t>。</w:t>
      </w:r>
    </w:p>
    <w:p>
      <w:pPr>
        <w:ind w:left="0" w:leftChars="0" w:firstLine="0" w:firstLineChars="0"/>
        <w:jc w:val="center"/>
        <w:rPr>
          <w:rFonts w:ascii="Times New Roman" w:hAnsi="Times New Roman"/>
          <w:b/>
          <w:bCs/>
          <w:color w:val="auto"/>
          <w:szCs w:val="21"/>
          <w:u w:val="none"/>
        </w:rPr>
      </w:pPr>
      <w:r>
        <w:rPr>
          <w:rFonts w:ascii="Times New Roman" w:hAnsi="Times New Roman"/>
          <w:b/>
          <w:bCs/>
          <w:color w:val="auto"/>
          <w:w w:val="90"/>
          <w:sz w:val="21"/>
          <w:szCs w:val="21"/>
          <w:u w:val="none"/>
        </w:rPr>
        <w:t>表3</w:t>
      </w:r>
      <w:r>
        <w:rPr>
          <w:rFonts w:hint="default" w:ascii="Times New Roman" w:hAnsi="Times New Roman"/>
          <w:b/>
          <w:bCs/>
          <w:color w:val="auto"/>
          <w:w w:val="90"/>
          <w:sz w:val="21"/>
          <w:szCs w:val="21"/>
          <w:u w:val="none"/>
        </w:rPr>
        <w:t>.</w:t>
      </w:r>
      <w:r>
        <w:rPr>
          <w:rFonts w:hint="eastAsia" w:ascii="Times New Roman" w:hAnsi="Times New Roman"/>
          <w:b/>
          <w:bCs/>
          <w:color w:val="auto"/>
          <w:w w:val="90"/>
          <w:sz w:val="21"/>
          <w:szCs w:val="21"/>
          <w:u w:val="none"/>
          <w:lang w:val="en-US" w:eastAsia="zh-CN"/>
        </w:rPr>
        <w:t>4</w:t>
      </w:r>
      <w:r>
        <w:rPr>
          <w:rFonts w:hint="default" w:ascii="Times New Roman" w:hAnsi="Times New Roman"/>
          <w:b/>
          <w:bCs/>
          <w:color w:val="auto"/>
          <w:w w:val="90"/>
          <w:sz w:val="21"/>
          <w:szCs w:val="21"/>
          <w:u w:val="none"/>
        </w:rPr>
        <w:t>-</w:t>
      </w:r>
      <w:r>
        <w:rPr>
          <w:rFonts w:hint="eastAsia" w:ascii="Times New Roman" w:hAnsi="Times New Roman"/>
          <w:b/>
          <w:bCs/>
          <w:color w:val="auto"/>
          <w:w w:val="90"/>
          <w:sz w:val="21"/>
          <w:szCs w:val="21"/>
          <w:u w:val="none"/>
          <w:lang w:val="en-US" w:eastAsia="zh-CN"/>
        </w:rPr>
        <w:t>6</w:t>
      </w:r>
      <w:r>
        <w:rPr>
          <w:rFonts w:ascii="Times New Roman" w:hAnsi="Times New Roman"/>
          <w:b/>
          <w:bCs/>
          <w:color w:val="auto"/>
          <w:w w:val="90"/>
          <w:sz w:val="21"/>
          <w:szCs w:val="21"/>
          <w:u w:val="none"/>
        </w:rPr>
        <w:t xml:space="preserve"> </w:t>
      </w:r>
      <w:r>
        <w:rPr>
          <w:rFonts w:hint="default" w:ascii="Times New Roman" w:hAnsi="Times New Roman"/>
          <w:b/>
          <w:bCs/>
          <w:color w:val="auto"/>
          <w:w w:val="90"/>
          <w:sz w:val="21"/>
          <w:szCs w:val="21"/>
          <w:u w:val="none"/>
        </w:rPr>
        <w:t>项目水环境现状监测结果统计表（W1、W2断面） 单位：mg/L（pH、粪大肠杆菌除外）</w:t>
      </w:r>
    </w:p>
    <w:tbl>
      <w:tblPr>
        <w:tblStyle w:val="36"/>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49"/>
        <w:gridCol w:w="1336"/>
        <w:gridCol w:w="1367"/>
        <w:gridCol w:w="1074"/>
        <w:gridCol w:w="953"/>
        <w:gridCol w:w="1638"/>
        <w:gridCol w:w="12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tcBorders>
              <w:tl2br w:val="nil"/>
              <w:tr2bl w:val="nil"/>
            </w:tcBorders>
            <w:noWrap w:val="0"/>
            <w:vAlign w:val="center"/>
          </w:tcPr>
          <w:p>
            <w:pPr>
              <w:pStyle w:val="113"/>
              <w:bidi w:val="0"/>
              <w:rPr>
                <w:b/>
                <w:bCs/>
                <w:color w:val="auto"/>
              </w:rPr>
            </w:pPr>
            <w:r>
              <w:rPr>
                <w:b/>
                <w:bCs/>
                <w:color w:val="auto"/>
              </w:rPr>
              <w:t>断面</w:t>
            </w:r>
          </w:p>
        </w:tc>
        <w:tc>
          <w:tcPr>
            <w:tcW w:w="784" w:type="pct"/>
            <w:tcBorders>
              <w:tl2br w:val="nil"/>
              <w:tr2bl w:val="nil"/>
            </w:tcBorders>
            <w:noWrap w:val="0"/>
            <w:vAlign w:val="center"/>
          </w:tcPr>
          <w:p>
            <w:pPr>
              <w:pStyle w:val="113"/>
              <w:bidi w:val="0"/>
              <w:rPr>
                <w:b/>
                <w:bCs/>
                <w:color w:val="auto"/>
              </w:rPr>
            </w:pPr>
            <w:r>
              <w:rPr>
                <w:b/>
                <w:bCs/>
                <w:color w:val="auto"/>
              </w:rPr>
              <w:t>项目</w:t>
            </w:r>
          </w:p>
        </w:tc>
        <w:tc>
          <w:tcPr>
            <w:tcW w:w="802" w:type="pct"/>
            <w:tcBorders>
              <w:tl2br w:val="nil"/>
              <w:tr2bl w:val="nil"/>
            </w:tcBorders>
            <w:noWrap w:val="0"/>
            <w:vAlign w:val="center"/>
          </w:tcPr>
          <w:p>
            <w:pPr>
              <w:pStyle w:val="113"/>
              <w:bidi w:val="0"/>
              <w:rPr>
                <w:b/>
                <w:bCs/>
                <w:color w:val="auto"/>
              </w:rPr>
            </w:pPr>
            <w:r>
              <w:rPr>
                <w:b/>
                <w:bCs/>
                <w:color w:val="auto"/>
              </w:rPr>
              <w:t>浓度范围</w:t>
            </w:r>
          </w:p>
        </w:tc>
        <w:tc>
          <w:tcPr>
            <w:tcW w:w="630" w:type="pct"/>
            <w:tcBorders>
              <w:tl2br w:val="nil"/>
              <w:tr2bl w:val="nil"/>
            </w:tcBorders>
            <w:noWrap w:val="0"/>
            <w:vAlign w:val="center"/>
          </w:tcPr>
          <w:p>
            <w:pPr>
              <w:pStyle w:val="113"/>
              <w:bidi w:val="0"/>
              <w:rPr>
                <w:b/>
                <w:bCs/>
                <w:color w:val="auto"/>
              </w:rPr>
            </w:pPr>
            <w:r>
              <w:rPr>
                <w:b/>
                <w:bCs/>
                <w:color w:val="auto"/>
              </w:rPr>
              <w:t>标准值</w:t>
            </w:r>
          </w:p>
        </w:tc>
        <w:tc>
          <w:tcPr>
            <w:tcW w:w="559" w:type="pct"/>
            <w:tcBorders>
              <w:tl2br w:val="nil"/>
              <w:tr2bl w:val="nil"/>
            </w:tcBorders>
            <w:noWrap w:val="0"/>
            <w:vAlign w:val="center"/>
          </w:tcPr>
          <w:p>
            <w:pPr>
              <w:pStyle w:val="113"/>
              <w:bidi w:val="0"/>
              <w:rPr>
                <w:b/>
                <w:bCs/>
                <w:color w:val="auto"/>
              </w:rPr>
            </w:pPr>
            <w:r>
              <w:rPr>
                <w:b/>
                <w:bCs/>
                <w:color w:val="auto"/>
              </w:rPr>
              <w:t>超标率</w:t>
            </w:r>
          </w:p>
        </w:tc>
        <w:tc>
          <w:tcPr>
            <w:tcW w:w="961" w:type="pct"/>
            <w:tcBorders>
              <w:tl2br w:val="nil"/>
              <w:tr2bl w:val="nil"/>
            </w:tcBorders>
            <w:noWrap w:val="0"/>
            <w:vAlign w:val="center"/>
          </w:tcPr>
          <w:p>
            <w:pPr>
              <w:pStyle w:val="113"/>
              <w:bidi w:val="0"/>
              <w:rPr>
                <w:b/>
                <w:bCs/>
                <w:color w:val="auto"/>
              </w:rPr>
            </w:pPr>
            <w:r>
              <w:rPr>
                <w:b/>
                <w:bCs/>
                <w:color w:val="auto"/>
              </w:rPr>
              <w:t>最大超标倍数</w:t>
            </w:r>
          </w:p>
        </w:tc>
        <w:tc>
          <w:tcPr>
            <w:tcW w:w="704" w:type="pct"/>
            <w:tcBorders>
              <w:tl2br w:val="nil"/>
              <w:tr2bl w:val="nil"/>
            </w:tcBorders>
            <w:noWrap w:val="0"/>
            <w:vAlign w:val="center"/>
          </w:tcPr>
          <w:p>
            <w:pPr>
              <w:pStyle w:val="113"/>
              <w:bidi w:val="0"/>
              <w:rPr>
                <w:b/>
                <w:bCs/>
                <w:color w:val="auto"/>
              </w:rPr>
            </w:pPr>
            <w:r>
              <w:rPr>
                <w:b/>
                <w:bCs/>
                <w:color w:val="auto"/>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restart"/>
            <w:tcBorders>
              <w:tl2br w:val="nil"/>
              <w:tr2bl w:val="nil"/>
            </w:tcBorders>
            <w:noWrap w:val="0"/>
            <w:vAlign w:val="center"/>
          </w:tcPr>
          <w:p>
            <w:pPr>
              <w:pStyle w:val="113"/>
              <w:bidi w:val="0"/>
              <w:rPr>
                <w:color w:val="auto"/>
              </w:rPr>
            </w:pPr>
            <w:r>
              <w:rPr>
                <w:rFonts w:hint="default"/>
                <w:color w:val="auto"/>
                <w:lang w:val="en-US" w:eastAsia="zh-CN"/>
              </w:rPr>
              <w:t>项目拟建地猛洞河上游500m</w:t>
            </w:r>
            <w:r>
              <w:rPr>
                <w:rFonts w:hint="default"/>
                <w:color w:val="auto"/>
                <w:lang w:eastAsia="zh-CN"/>
              </w:rPr>
              <w:t>处</w:t>
            </w:r>
            <w:r>
              <w:rPr>
                <w:color w:val="auto"/>
              </w:rPr>
              <w:t>（W1）</w:t>
            </w: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pH值</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7.25~7.27</w:t>
            </w:r>
          </w:p>
        </w:tc>
        <w:tc>
          <w:tcPr>
            <w:tcW w:w="630" w:type="pct"/>
            <w:tcBorders>
              <w:tl2br w:val="nil"/>
              <w:tr2bl w:val="nil"/>
            </w:tcBorders>
            <w:noWrap w:val="0"/>
            <w:vAlign w:val="center"/>
          </w:tcPr>
          <w:p>
            <w:pPr>
              <w:pStyle w:val="113"/>
              <w:bidi w:val="0"/>
              <w:rPr>
                <w:color w:val="auto"/>
              </w:rPr>
            </w:pPr>
            <w:r>
              <w:rPr>
                <w:color w:val="auto"/>
              </w:rPr>
              <w:t>6-9</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溶解氧</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6.8~6.9</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5</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高锰酸钾指数</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0.9~1.0</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6</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SS</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20~22</w:t>
            </w:r>
          </w:p>
        </w:tc>
        <w:tc>
          <w:tcPr>
            <w:tcW w:w="630" w:type="pct"/>
            <w:tcBorders>
              <w:tl2br w:val="nil"/>
              <w:tr2bl w:val="nil"/>
            </w:tcBorders>
            <w:noWrap w:val="0"/>
            <w:vAlign w:val="center"/>
          </w:tcPr>
          <w:p>
            <w:pPr>
              <w:pStyle w:val="113"/>
              <w:bidi w:val="0"/>
              <w:rPr>
                <w:rFonts w:hint="default"/>
                <w:color w:val="auto"/>
                <w:lang w:eastAsia="zh-CN"/>
              </w:rPr>
            </w:pPr>
            <w:r>
              <w:rPr>
                <w:rFonts w:hint="default"/>
                <w:color w:val="auto"/>
                <w:lang w:eastAsia="zh-CN"/>
              </w:rPr>
              <w:t>/</w:t>
            </w:r>
          </w:p>
        </w:tc>
        <w:tc>
          <w:tcPr>
            <w:tcW w:w="559" w:type="pct"/>
            <w:tcBorders>
              <w:tl2br w:val="nil"/>
              <w:tr2bl w:val="nil"/>
            </w:tcBorders>
            <w:noWrap w:val="0"/>
            <w:vAlign w:val="center"/>
          </w:tcPr>
          <w:p>
            <w:pPr>
              <w:pStyle w:val="113"/>
              <w:bidi w:val="0"/>
              <w:rPr>
                <w:rFonts w:hint="default"/>
                <w:color w:val="auto"/>
                <w:lang w:eastAsia="zh-CN"/>
              </w:rPr>
            </w:pPr>
            <w:r>
              <w:rPr>
                <w:rFonts w:hint="default"/>
                <w:color w:val="auto"/>
                <w:lang w:val="en-US" w:eastAsia="zh-CN"/>
              </w:rPr>
              <w:t>/</w:t>
            </w:r>
          </w:p>
        </w:tc>
        <w:tc>
          <w:tcPr>
            <w:tcW w:w="961" w:type="pct"/>
            <w:tcBorders>
              <w:tl2br w:val="nil"/>
              <w:tr2bl w:val="nil"/>
            </w:tcBorders>
            <w:noWrap w:val="0"/>
            <w:vAlign w:val="center"/>
          </w:tcPr>
          <w:p>
            <w:pPr>
              <w:pStyle w:val="113"/>
              <w:bidi w:val="0"/>
              <w:rPr>
                <w:rFonts w:hint="default"/>
                <w:color w:val="auto"/>
                <w:lang w:eastAsia="zh-CN"/>
              </w:rPr>
            </w:pPr>
            <w:r>
              <w:rPr>
                <w:rFonts w:hint="default"/>
                <w:color w:val="auto"/>
                <w:lang w:val="en-US" w:eastAsia="zh-CN"/>
              </w:rPr>
              <w:t>/</w:t>
            </w:r>
          </w:p>
        </w:tc>
        <w:tc>
          <w:tcPr>
            <w:tcW w:w="704" w:type="pct"/>
            <w:tcBorders>
              <w:tl2br w:val="nil"/>
              <w:tr2bl w:val="nil"/>
            </w:tcBorders>
            <w:noWrap w:val="0"/>
            <w:vAlign w:val="center"/>
          </w:tcPr>
          <w:p>
            <w:pPr>
              <w:pStyle w:val="113"/>
              <w:bidi w:val="0"/>
              <w:rPr>
                <w:rFonts w:hint="default"/>
                <w:color w:val="auto"/>
                <w:lang w:eastAsia="zh-CN"/>
              </w:rPr>
            </w:pPr>
            <w:r>
              <w:rPr>
                <w:rFonts w:hint="default"/>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CODcr</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14~15</w:t>
            </w:r>
          </w:p>
        </w:tc>
        <w:tc>
          <w:tcPr>
            <w:tcW w:w="630" w:type="pct"/>
            <w:tcBorders>
              <w:tl2br w:val="nil"/>
              <w:tr2bl w:val="nil"/>
            </w:tcBorders>
            <w:noWrap w:val="0"/>
            <w:vAlign w:val="center"/>
          </w:tcPr>
          <w:p>
            <w:pPr>
              <w:pStyle w:val="113"/>
              <w:bidi w:val="0"/>
              <w:rPr>
                <w:rFonts w:hint="default"/>
                <w:color w:val="auto"/>
                <w:lang w:val="en-US"/>
              </w:rPr>
            </w:pPr>
            <w:r>
              <w:rPr>
                <w:rFonts w:hint="default"/>
                <w:color w:val="auto"/>
              </w:rPr>
              <w:t>≤</w:t>
            </w:r>
            <w:r>
              <w:rPr>
                <w:rFonts w:hint="default"/>
                <w:color w:val="auto"/>
                <w:lang w:val="en-US" w:eastAsia="zh-CN"/>
              </w:rPr>
              <w:t>20</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BOD5</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1.3~1.5</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4</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氨氮</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0.48~0.483</w:t>
            </w:r>
          </w:p>
        </w:tc>
        <w:tc>
          <w:tcPr>
            <w:tcW w:w="630" w:type="pct"/>
            <w:tcBorders>
              <w:tl2br w:val="nil"/>
              <w:tr2bl w:val="nil"/>
            </w:tcBorders>
            <w:noWrap w:val="0"/>
            <w:vAlign w:val="center"/>
          </w:tcPr>
          <w:p>
            <w:pPr>
              <w:pStyle w:val="113"/>
              <w:bidi w:val="0"/>
              <w:rPr>
                <w:color w:val="auto"/>
              </w:rPr>
            </w:pPr>
            <w:r>
              <w:rPr>
                <w:rFonts w:hint="default"/>
                <w:color w:val="auto"/>
              </w:rPr>
              <w:t>≤1.0</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总磷</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0.11~0.12</w:t>
            </w:r>
          </w:p>
        </w:tc>
        <w:tc>
          <w:tcPr>
            <w:tcW w:w="630" w:type="pct"/>
            <w:tcBorders>
              <w:tl2br w:val="nil"/>
              <w:tr2bl w:val="nil"/>
            </w:tcBorders>
            <w:noWrap w:val="0"/>
            <w:vAlign w:val="center"/>
          </w:tcPr>
          <w:p>
            <w:pPr>
              <w:pStyle w:val="113"/>
              <w:bidi w:val="0"/>
              <w:rPr>
                <w:color w:val="auto"/>
              </w:rPr>
            </w:pPr>
            <w:r>
              <w:rPr>
                <w:rFonts w:hint="default"/>
                <w:color w:val="auto"/>
              </w:rPr>
              <w:t>≤0.2</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氟化物</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0.05~0.06</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1.0</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挥发酚</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0.0003L</w:t>
            </w:r>
          </w:p>
        </w:tc>
        <w:tc>
          <w:tcPr>
            <w:tcW w:w="630" w:type="pct"/>
            <w:tcBorders>
              <w:tl2br w:val="nil"/>
              <w:tr2bl w:val="nil"/>
            </w:tcBorders>
            <w:noWrap w:val="0"/>
            <w:vAlign w:val="center"/>
          </w:tcPr>
          <w:p>
            <w:pPr>
              <w:pStyle w:val="113"/>
              <w:bidi w:val="0"/>
              <w:rPr>
                <w:color w:val="auto"/>
              </w:rPr>
            </w:pPr>
            <w:r>
              <w:rPr>
                <w:rFonts w:hint="default"/>
                <w:color w:val="auto"/>
              </w:rPr>
              <w:t>≤0.005</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石油类</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0.01L</w:t>
            </w:r>
          </w:p>
        </w:tc>
        <w:tc>
          <w:tcPr>
            <w:tcW w:w="630" w:type="pct"/>
            <w:tcBorders>
              <w:tl2br w:val="nil"/>
              <w:tr2bl w:val="nil"/>
            </w:tcBorders>
            <w:noWrap w:val="0"/>
            <w:vAlign w:val="center"/>
          </w:tcPr>
          <w:p>
            <w:pPr>
              <w:pStyle w:val="113"/>
              <w:bidi w:val="0"/>
              <w:rPr>
                <w:color w:val="auto"/>
              </w:rPr>
            </w:pPr>
            <w:r>
              <w:rPr>
                <w:rFonts w:hint="default"/>
                <w:color w:val="auto"/>
              </w:rPr>
              <w:t>≤0.05</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阴离子表面活性剂</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0.05L</w:t>
            </w:r>
          </w:p>
        </w:tc>
        <w:tc>
          <w:tcPr>
            <w:tcW w:w="630" w:type="pct"/>
            <w:tcBorders>
              <w:tl2br w:val="nil"/>
              <w:tr2bl w:val="nil"/>
            </w:tcBorders>
            <w:noWrap w:val="0"/>
            <w:vAlign w:val="center"/>
          </w:tcPr>
          <w:p>
            <w:pPr>
              <w:pStyle w:val="113"/>
              <w:bidi w:val="0"/>
              <w:rPr>
                <w:color w:val="auto"/>
              </w:rPr>
            </w:pPr>
            <w:r>
              <w:rPr>
                <w:rFonts w:hint="default"/>
                <w:color w:val="auto"/>
              </w:rPr>
              <w:t>≤0.2</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rFonts w:hint="default"/>
                <w:color w:val="auto"/>
              </w:rPr>
            </w:pPr>
            <w:r>
              <w:rPr>
                <w:rFonts w:hint="default"/>
                <w:color w:val="auto"/>
                <w:lang w:val="en-US" w:eastAsia="zh-CN"/>
              </w:rPr>
              <w:t>粪大肠菌群</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1700</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10000</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restart"/>
            <w:tcBorders>
              <w:tl2br w:val="nil"/>
              <w:tr2bl w:val="nil"/>
            </w:tcBorders>
            <w:noWrap w:val="0"/>
            <w:vAlign w:val="center"/>
          </w:tcPr>
          <w:p>
            <w:pPr>
              <w:pStyle w:val="113"/>
              <w:bidi w:val="0"/>
              <w:rPr>
                <w:color w:val="auto"/>
              </w:rPr>
            </w:pPr>
            <w:r>
              <w:rPr>
                <w:rFonts w:hint="default"/>
                <w:color w:val="auto"/>
                <w:lang w:val="en-US" w:eastAsia="zh-CN"/>
              </w:rPr>
              <w:t>项目拟建地猛洞河下游1000m</w:t>
            </w:r>
            <w:r>
              <w:rPr>
                <w:rFonts w:hint="default"/>
                <w:color w:val="auto"/>
                <w:lang w:eastAsia="zh-CN"/>
              </w:rPr>
              <w:t>处</w:t>
            </w:r>
            <w:r>
              <w:rPr>
                <w:color w:val="auto"/>
              </w:rPr>
              <w:t>（W2）</w:t>
            </w:r>
          </w:p>
        </w:tc>
        <w:tc>
          <w:tcPr>
            <w:tcW w:w="784" w:type="pct"/>
            <w:tcBorders>
              <w:tl2br w:val="nil"/>
              <w:tr2bl w:val="nil"/>
            </w:tcBorders>
            <w:noWrap w:val="0"/>
            <w:vAlign w:val="center"/>
          </w:tcPr>
          <w:p>
            <w:pPr>
              <w:pStyle w:val="113"/>
              <w:bidi w:val="0"/>
              <w:rPr>
                <w:color w:val="auto"/>
              </w:rPr>
            </w:pPr>
            <w:r>
              <w:rPr>
                <w:rFonts w:hint="default"/>
                <w:color w:val="auto"/>
                <w:lang w:val="en-US" w:eastAsia="zh-CN"/>
              </w:rPr>
              <w:t>pH值</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7.3~7.32</w:t>
            </w:r>
          </w:p>
        </w:tc>
        <w:tc>
          <w:tcPr>
            <w:tcW w:w="630" w:type="pct"/>
            <w:tcBorders>
              <w:tl2br w:val="nil"/>
              <w:tr2bl w:val="nil"/>
            </w:tcBorders>
            <w:noWrap w:val="0"/>
            <w:vAlign w:val="center"/>
          </w:tcPr>
          <w:p>
            <w:pPr>
              <w:pStyle w:val="113"/>
              <w:bidi w:val="0"/>
              <w:rPr>
                <w:color w:val="auto"/>
              </w:rPr>
            </w:pPr>
            <w:r>
              <w:rPr>
                <w:color w:val="auto"/>
              </w:rPr>
              <w:t>6-9</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溶解氧</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7.3~7.4</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5</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高锰酸钾指数</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1.4~1.6</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6</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SS</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23~24</w:t>
            </w:r>
          </w:p>
        </w:tc>
        <w:tc>
          <w:tcPr>
            <w:tcW w:w="630" w:type="pct"/>
            <w:tcBorders>
              <w:tl2br w:val="nil"/>
              <w:tr2bl w:val="nil"/>
            </w:tcBorders>
            <w:noWrap w:val="0"/>
            <w:vAlign w:val="center"/>
          </w:tcPr>
          <w:p>
            <w:pPr>
              <w:pStyle w:val="113"/>
              <w:bidi w:val="0"/>
              <w:rPr>
                <w:color w:val="auto"/>
              </w:rPr>
            </w:pPr>
            <w:r>
              <w:rPr>
                <w:rFonts w:hint="default"/>
                <w:color w:val="auto"/>
                <w:lang w:eastAsia="zh-CN"/>
              </w:rPr>
              <w:t>/</w:t>
            </w:r>
          </w:p>
        </w:tc>
        <w:tc>
          <w:tcPr>
            <w:tcW w:w="559" w:type="pct"/>
            <w:tcBorders>
              <w:tl2br w:val="nil"/>
              <w:tr2bl w:val="nil"/>
            </w:tcBorders>
            <w:noWrap w:val="0"/>
            <w:vAlign w:val="center"/>
          </w:tcPr>
          <w:p>
            <w:pPr>
              <w:pStyle w:val="113"/>
              <w:bidi w:val="0"/>
              <w:rPr>
                <w:rFonts w:hint="default"/>
                <w:color w:val="auto"/>
                <w:lang w:eastAsia="zh-CN"/>
              </w:rPr>
            </w:pPr>
            <w:r>
              <w:rPr>
                <w:rFonts w:hint="default"/>
                <w:color w:val="auto"/>
                <w:lang w:val="en-US" w:eastAsia="zh-CN"/>
              </w:rPr>
              <w:t>/</w:t>
            </w:r>
          </w:p>
        </w:tc>
        <w:tc>
          <w:tcPr>
            <w:tcW w:w="961" w:type="pct"/>
            <w:tcBorders>
              <w:tl2br w:val="nil"/>
              <w:tr2bl w:val="nil"/>
            </w:tcBorders>
            <w:noWrap w:val="0"/>
            <w:vAlign w:val="center"/>
          </w:tcPr>
          <w:p>
            <w:pPr>
              <w:pStyle w:val="113"/>
              <w:bidi w:val="0"/>
              <w:rPr>
                <w:rFonts w:hint="default"/>
                <w:color w:val="auto"/>
                <w:lang w:eastAsia="zh-CN"/>
              </w:rPr>
            </w:pPr>
            <w:r>
              <w:rPr>
                <w:rFonts w:hint="default"/>
                <w:color w:val="auto"/>
                <w:lang w:val="en-US" w:eastAsia="zh-CN"/>
              </w:rPr>
              <w:t>/</w:t>
            </w:r>
          </w:p>
        </w:tc>
        <w:tc>
          <w:tcPr>
            <w:tcW w:w="704" w:type="pct"/>
            <w:tcBorders>
              <w:tl2br w:val="nil"/>
              <w:tr2bl w:val="nil"/>
            </w:tcBorders>
            <w:noWrap w:val="0"/>
            <w:vAlign w:val="center"/>
          </w:tcPr>
          <w:p>
            <w:pPr>
              <w:pStyle w:val="113"/>
              <w:bidi w:val="0"/>
              <w:rPr>
                <w:rFonts w:hint="default"/>
                <w:color w:val="auto"/>
                <w:lang w:eastAsia="zh-CN"/>
              </w:rPr>
            </w:pPr>
            <w:r>
              <w:rPr>
                <w:rFonts w:hint="default"/>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CODcr</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17~18</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20</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BOD5</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1.6~1.8</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4</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氨氮</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0.57~0.583</w:t>
            </w:r>
          </w:p>
        </w:tc>
        <w:tc>
          <w:tcPr>
            <w:tcW w:w="630" w:type="pct"/>
            <w:tcBorders>
              <w:tl2br w:val="nil"/>
              <w:tr2bl w:val="nil"/>
            </w:tcBorders>
            <w:noWrap w:val="0"/>
            <w:vAlign w:val="center"/>
          </w:tcPr>
          <w:p>
            <w:pPr>
              <w:pStyle w:val="113"/>
              <w:bidi w:val="0"/>
              <w:rPr>
                <w:color w:val="auto"/>
              </w:rPr>
            </w:pPr>
            <w:r>
              <w:rPr>
                <w:rFonts w:hint="default"/>
                <w:color w:val="auto"/>
              </w:rPr>
              <w:t>≤1.0</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总磷</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0.14~0.16</w:t>
            </w:r>
          </w:p>
        </w:tc>
        <w:tc>
          <w:tcPr>
            <w:tcW w:w="630" w:type="pct"/>
            <w:tcBorders>
              <w:tl2br w:val="nil"/>
              <w:tr2bl w:val="nil"/>
            </w:tcBorders>
            <w:noWrap w:val="0"/>
            <w:vAlign w:val="center"/>
          </w:tcPr>
          <w:p>
            <w:pPr>
              <w:pStyle w:val="113"/>
              <w:bidi w:val="0"/>
              <w:rPr>
                <w:color w:val="auto"/>
              </w:rPr>
            </w:pPr>
            <w:r>
              <w:rPr>
                <w:rFonts w:hint="default"/>
                <w:color w:val="auto"/>
              </w:rPr>
              <w:t>≤0.2</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氟化物</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0.1~0.12</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1.0</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挥发酚</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0.0003L</w:t>
            </w:r>
          </w:p>
        </w:tc>
        <w:tc>
          <w:tcPr>
            <w:tcW w:w="630" w:type="pct"/>
            <w:tcBorders>
              <w:tl2br w:val="nil"/>
              <w:tr2bl w:val="nil"/>
            </w:tcBorders>
            <w:noWrap w:val="0"/>
            <w:vAlign w:val="center"/>
          </w:tcPr>
          <w:p>
            <w:pPr>
              <w:pStyle w:val="113"/>
              <w:bidi w:val="0"/>
              <w:rPr>
                <w:color w:val="auto"/>
              </w:rPr>
            </w:pPr>
            <w:r>
              <w:rPr>
                <w:rFonts w:hint="default"/>
                <w:color w:val="auto"/>
              </w:rPr>
              <w:t>≤0.005</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石油类</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0.01L</w:t>
            </w:r>
          </w:p>
        </w:tc>
        <w:tc>
          <w:tcPr>
            <w:tcW w:w="630" w:type="pct"/>
            <w:tcBorders>
              <w:tl2br w:val="nil"/>
              <w:tr2bl w:val="nil"/>
            </w:tcBorders>
            <w:noWrap w:val="0"/>
            <w:vAlign w:val="center"/>
          </w:tcPr>
          <w:p>
            <w:pPr>
              <w:pStyle w:val="113"/>
              <w:bidi w:val="0"/>
              <w:rPr>
                <w:color w:val="auto"/>
              </w:rPr>
            </w:pPr>
            <w:r>
              <w:rPr>
                <w:rFonts w:hint="default"/>
                <w:color w:val="auto"/>
              </w:rPr>
              <w:t>≤0.05</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阴离子表面活性剂</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0.05L</w:t>
            </w:r>
          </w:p>
        </w:tc>
        <w:tc>
          <w:tcPr>
            <w:tcW w:w="630" w:type="pct"/>
            <w:tcBorders>
              <w:tl2br w:val="nil"/>
              <w:tr2bl w:val="nil"/>
            </w:tcBorders>
            <w:noWrap w:val="0"/>
            <w:vAlign w:val="center"/>
          </w:tcPr>
          <w:p>
            <w:pPr>
              <w:pStyle w:val="113"/>
              <w:bidi w:val="0"/>
              <w:rPr>
                <w:color w:val="auto"/>
              </w:rPr>
            </w:pPr>
            <w:r>
              <w:rPr>
                <w:rFonts w:hint="default"/>
                <w:color w:val="auto"/>
              </w:rPr>
              <w:t>≤0.2</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7" w:type="pct"/>
            <w:vMerge w:val="continue"/>
            <w:tcBorders>
              <w:tl2br w:val="nil"/>
              <w:tr2bl w:val="nil"/>
            </w:tcBorders>
            <w:noWrap w:val="0"/>
            <w:vAlign w:val="center"/>
          </w:tcPr>
          <w:p>
            <w:pPr>
              <w:pStyle w:val="113"/>
              <w:bidi w:val="0"/>
              <w:rPr>
                <w:color w:val="auto"/>
              </w:rPr>
            </w:pPr>
          </w:p>
        </w:tc>
        <w:tc>
          <w:tcPr>
            <w:tcW w:w="784" w:type="pct"/>
            <w:tcBorders>
              <w:tl2br w:val="nil"/>
              <w:tr2bl w:val="nil"/>
            </w:tcBorders>
            <w:noWrap w:val="0"/>
            <w:vAlign w:val="center"/>
          </w:tcPr>
          <w:p>
            <w:pPr>
              <w:pStyle w:val="113"/>
              <w:bidi w:val="0"/>
              <w:rPr>
                <w:color w:val="auto"/>
              </w:rPr>
            </w:pPr>
            <w:r>
              <w:rPr>
                <w:rFonts w:hint="default"/>
                <w:color w:val="auto"/>
                <w:lang w:val="en-US" w:eastAsia="zh-CN"/>
              </w:rPr>
              <w:t>粪大肠菌群</w:t>
            </w:r>
          </w:p>
        </w:tc>
        <w:tc>
          <w:tcPr>
            <w:tcW w:w="802" w:type="pct"/>
            <w:tcBorders>
              <w:tl2br w:val="nil"/>
              <w:tr2bl w:val="nil"/>
            </w:tcBorders>
            <w:noWrap w:val="0"/>
            <w:vAlign w:val="center"/>
          </w:tcPr>
          <w:p>
            <w:pPr>
              <w:pStyle w:val="113"/>
              <w:bidi w:val="0"/>
              <w:rPr>
                <w:rFonts w:hint="default"/>
                <w:color w:val="auto"/>
                <w:lang w:val="en-US" w:eastAsia="zh-CN"/>
              </w:rPr>
            </w:pPr>
            <w:r>
              <w:rPr>
                <w:rFonts w:hint="default"/>
                <w:color w:val="auto"/>
                <w:lang w:val="en-US" w:eastAsia="zh-CN"/>
              </w:rPr>
              <w:t>2100</w:t>
            </w:r>
          </w:p>
        </w:tc>
        <w:tc>
          <w:tcPr>
            <w:tcW w:w="630" w:type="pct"/>
            <w:tcBorders>
              <w:tl2br w:val="nil"/>
              <w:tr2bl w:val="nil"/>
            </w:tcBorders>
            <w:noWrap w:val="0"/>
            <w:vAlign w:val="center"/>
          </w:tcPr>
          <w:p>
            <w:pPr>
              <w:pStyle w:val="113"/>
              <w:bidi w:val="0"/>
              <w:rPr>
                <w:color w:val="auto"/>
              </w:rPr>
            </w:pPr>
            <w:r>
              <w:rPr>
                <w:rFonts w:hint="default"/>
                <w:color w:val="auto"/>
              </w:rPr>
              <w:t>≤</w:t>
            </w:r>
            <w:r>
              <w:rPr>
                <w:rFonts w:hint="default"/>
                <w:color w:val="auto"/>
                <w:lang w:val="en-US" w:eastAsia="zh-CN"/>
              </w:rPr>
              <w:t>10000</w:t>
            </w:r>
          </w:p>
        </w:tc>
        <w:tc>
          <w:tcPr>
            <w:tcW w:w="559" w:type="pct"/>
            <w:tcBorders>
              <w:tl2br w:val="nil"/>
              <w:tr2bl w:val="nil"/>
            </w:tcBorders>
            <w:noWrap w:val="0"/>
            <w:vAlign w:val="center"/>
          </w:tcPr>
          <w:p>
            <w:pPr>
              <w:pStyle w:val="113"/>
              <w:bidi w:val="0"/>
              <w:rPr>
                <w:color w:val="auto"/>
              </w:rPr>
            </w:pPr>
            <w:r>
              <w:rPr>
                <w:color w:val="auto"/>
              </w:rPr>
              <w:t>0</w:t>
            </w:r>
          </w:p>
        </w:tc>
        <w:tc>
          <w:tcPr>
            <w:tcW w:w="961" w:type="pct"/>
            <w:tcBorders>
              <w:tl2br w:val="nil"/>
              <w:tr2bl w:val="nil"/>
            </w:tcBorders>
            <w:noWrap w:val="0"/>
            <w:vAlign w:val="center"/>
          </w:tcPr>
          <w:p>
            <w:pPr>
              <w:pStyle w:val="113"/>
              <w:bidi w:val="0"/>
              <w:rPr>
                <w:color w:val="auto"/>
              </w:rPr>
            </w:pPr>
            <w:r>
              <w:rPr>
                <w:color w:val="auto"/>
              </w:rPr>
              <w:t>0</w:t>
            </w:r>
          </w:p>
        </w:tc>
        <w:tc>
          <w:tcPr>
            <w:tcW w:w="704" w:type="pct"/>
            <w:tcBorders>
              <w:tl2br w:val="nil"/>
              <w:tr2bl w:val="nil"/>
            </w:tcBorders>
            <w:noWrap w:val="0"/>
            <w:vAlign w:val="center"/>
          </w:tcPr>
          <w:p>
            <w:pPr>
              <w:pStyle w:val="113"/>
              <w:bidi w:val="0"/>
              <w:rPr>
                <w:color w:val="auto"/>
              </w:rPr>
            </w:pPr>
            <w:r>
              <w:rPr>
                <w:color w:val="auto"/>
              </w:rPr>
              <w:t>达标</w:t>
            </w:r>
          </w:p>
        </w:tc>
      </w:tr>
    </w:tbl>
    <w:p>
      <w:pPr>
        <w:topLinePunct/>
        <w:jc w:val="left"/>
        <w:rPr>
          <w:rFonts w:ascii="Times New Roman" w:hAnsi="Times New Roman"/>
          <w:b/>
          <w:bCs/>
          <w:color w:val="auto"/>
          <w:sz w:val="21"/>
          <w:szCs w:val="21"/>
          <w:u w:val="none"/>
        </w:rPr>
      </w:pPr>
      <w:r>
        <w:rPr>
          <w:rFonts w:ascii="Times New Roman" w:hAnsi="Times New Roman"/>
          <w:b/>
          <w:bCs/>
          <w:color w:val="auto"/>
          <w:sz w:val="21"/>
          <w:szCs w:val="21"/>
          <w:u w:val="none"/>
        </w:rPr>
        <w:t>注：pH无量纲</w:t>
      </w:r>
    </w:p>
    <w:p>
      <w:pPr>
        <w:jc w:val="both"/>
        <w:rPr>
          <w:color w:val="auto"/>
          <w:u w:val="none"/>
        </w:rPr>
      </w:pPr>
      <w:r>
        <w:rPr>
          <w:rFonts w:ascii="Times New Roman" w:hAnsi="Times New Roman"/>
          <w:color w:val="auto"/>
          <w:sz w:val="24"/>
          <w:u w:val="none"/>
        </w:rPr>
        <w:t>监测结果表明，</w:t>
      </w:r>
      <w:r>
        <w:rPr>
          <w:rFonts w:hint="default" w:cs="Times New Roman"/>
          <w:color w:val="auto"/>
          <w:u w:val="none"/>
          <w:lang w:val="en-US" w:eastAsia="zh-CN"/>
        </w:rPr>
        <w:t>湘西废旧汽车拆解利用建设项目</w:t>
      </w:r>
      <w:r>
        <w:rPr>
          <w:rFonts w:hint="default" w:ascii="Times New Roman" w:hAnsi="Times New Roman" w:cs="Times New Roman"/>
          <w:color w:val="auto"/>
          <w:sz w:val="24"/>
          <w:szCs w:val="24"/>
          <w:u w:val="none"/>
        </w:rPr>
        <w:t>地表水监测断面</w:t>
      </w:r>
      <w:r>
        <w:rPr>
          <w:rFonts w:hint="default" w:ascii="Times New Roman" w:hAnsi="Times New Roman" w:cs="Times New Roman"/>
          <w:color w:val="auto"/>
          <w:sz w:val="24"/>
          <w:szCs w:val="24"/>
          <w:u w:val="none"/>
          <w:lang w:val="en-US" w:eastAsia="zh-CN"/>
        </w:rPr>
        <w:t>pH、溶解氧、高锰酸盐指数、CODcr、BOD</w:t>
      </w:r>
      <w:r>
        <w:rPr>
          <w:rFonts w:hint="default" w:ascii="Times New Roman" w:hAnsi="Times New Roman" w:cs="Times New Roman"/>
          <w:color w:val="auto"/>
          <w:sz w:val="24"/>
          <w:szCs w:val="24"/>
          <w:u w:val="none"/>
          <w:vertAlign w:val="subscript"/>
          <w:lang w:val="en-US" w:eastAsia="zh-CN"/>
        </w:rPr>
        <w:t>5</w:t>
      </w:r>
      <w:r>
        <w:rPr>
          <w:rFonts w:hint="default" w:ascii="Times New Roman" w:hAnsi="Times New Roman" w:cs="Times New Roman"/>
          <w:color w:val="auto"/>
          <w:sz w:val="24"/>
          <w:szCs w:val="24"/>
          <w:u w:val="none"/>
          <w:lang w:val="en-US" w:eastAsia="zh-CN"/>
        </w:rPr>
        <w:t>、氨氮、总磷、挥发酚、氟化物、石油类、阴离子表面活性剂、粪大肠菌群</w:t>
      </w:r>
      <w:r>
        <w:rPr>
          <w:rFonts w:hint="default" w:ascii="Times New Roman" w:hAnsi="Times New Roman" w:cs="Times New Roman"/>
          <w:color w:val="auto"/>
          <w:sz w:val="24"/>
          <w:szCs w:val="24"/>
          <w:u w:val="none"/>
        </w:rPr>
        <w:t>各项因子均达标，由此可见，</w:t>
      </w:r>
      <w:r>
        <w:rPr>
          <w:rFonts w:hint="default" w:cs="Times New Roman"/>
          <w:color w:val="auto"/>
          <w:u w:val="none"/>
          <w:lang w:val="en-US" w:eastAsia="zh-CN"/>
        </w:rPr>
        <w:t>湘西废旧汽车拆解利用建设项目</w:t>
      </w:r>
      <w:r>
        <w:rPr>
          <w:rFonts w:hint="default" w:ascii="Times New Roman" w:hAnsi="Times New Roman" w:cs="Times New Roman"/>
          <w:color w:val="auto"/>
          <w:sz w:val="24"/>
          <w:szCs w:val="24"/>
          <w:u w:val="none"/>
        </w:rPr>
        <w:t>上下游区域地表水污染物无超标现象，满足《地表水环境质量标准》（GB3838-2002）中Ⅲ类标准要求</w:t>
      </w:r>
      <w:r>
        <w:rPr>
          <w:rFonts w:hint="default"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rPr>
        <w:t>区域地表水质量现状良好</w:t>
      </w:r>
      <w:r>
        <w:rPr>
          <w:rFonts w:cs="Times New Roman"/>
          <w:color w:val="auto"/>
          <w:u w:val="none"/>
        </w:rPr>
        <w:t>。</w:t>
      </w:r>
    </w:p>
    <w:p>
      <w:pPr>
        <w:pStyle w:val="69"/>
        <w:rPr>
          <w:rFonts w:hint="eastAsia"/>
          <w:color w:val="auto"/>
          <w:u w:val="none"/>
        </w:rPr>
      </w:pPr>
      <w:r>
        <w:rPr>
          <w:rFonts w:hint="eastAsia"/>
          <w:color w:val="auto"/>
          <w:u w:val="none"/>
          <w:lang w:val="en-US" w:eastAsia="zh-CN"/>
        </w:rPr>
        <w:t>3.4.2.3</w:t>
      </w:r>
      <w:r>
        <w:rPr>
          <w:rFonts w:hint="eastAsia"/>
          <w:color w:val="auto"/>
          <w:u w:val="none"/>
        </w:rPr>
        <w:t>地表水环境质量现状</w:t>
      </w:r>
      <w:r>
        <w:rPr>
          <w:rFonts w:hint="eastAsia"/>
          <w:color w:val="auto"/>
          <w:u w:val="none"/>
          <w:lang w:eastAsia="zh-CN"/>
        </w:rPr>
        <w:t>补充</w:t>
      </w:r>
      <w:r>
        <w:rPr>
          <w:rFonts w:hint="eastAsia"/>
          <w:color w:val="auto"/>
          <w:u w:val="none"/>
        </w:rPr>
        <w:t>评价</w:t>
      </w:r>
    </w:p>
    <w:p>
      <w:pPr>
        <w:jc w:val="both"/>
        <w:rPr>
          <w:rFonts w:hint="eastAsia" w:eastAsia="宋体"/>
          <w:color w:val="auto"/>
          <w:lang w:eastAsia="zh-CN"/>
        </w:rPr>
      </w:pPr>
      <w:r>
        <w:rPr>
          <w:rFonts w:hint="eastAsia"/>
          <w:color w:val="auto"/>
          <w:u w:val="none"/>
          <w:lang w:eastAsia="zh-CN"/>
        </w:rPr>
        <w:t>由于引用</w:t>
      </w:r>
      <w:r>
        <w:rPr>
          <w:rFonts w:cs="Times New Roman"/>
          <w:color w:val="auto"/>
          <w:u w:val="none"/>
        </w:rPr>
        <w:t>《</w:t>
      </w:r>
      <w:r>
        <w:rPr>
          <w:rFonts w:hint="default" w:cs="Times New Roman"/>
          <w:color w:val="auto"/>
          <w:u w:val="none"/>
          <w:lang w:val="en-US" w:eastAsia="zh-CN"/>
        </w:rPr>
        <w:t>湘西废旧汽车拆解利用建设项目</w:t>
      </w:r>
      <w:r>
        <w:rPr>
          <w:rFonts w:cs="Times New Roman"/>
          <w:color w:val="auto"/>
          <w:u w:val="none"/>
        </w:rPr>
        <w:t>》</w:t>
      </w:r>
      <w:r>
        <w:rPr>
          <w:rFonts w:hint="eastAsia" w:cs="Times New Roman"/>
          <w:color w:val="auto"/>
          <w:u w:val="none"/>
          <w:lang w:eastAsia="zh-CN"/>
        </w:rPr>
        <w:t>中监测因子不全，故本项目委托</w:t>
      </w:r>
      <w:r>
        <w:rPr>
          <w:rFonts w:hint="eastAsia"/>
          <w:color w:val="auto"/>
          <w:kern w:val="0"/>
          <w:u w:val="none"/>
        </w:rPr>
        <w:t>湖南昌旭环保科技有限公司</w:t>
      </w:r>
      <w:r>
        <w:rPr>
          <w:rFonts w:hint="eastAsia"/>
          <w:color w:val="auto"/>
          <w:kern w:val="0"/>
          <w:u w:val="none"/>
          <w:lang w:eastAsia="zh-CN"/>
        </w:rPr>
        <w:t>进行了地表水环境补充监测。</w:t>
      </w:r>
    </w:p>
    <w:p>
      <w:pPr>
        <w:ind w:firstLine="480"/>
        <w:jc w:val="both"/>
        <w:rPr>
          <w:rFonts w:hint="eastAsia"/>
          <w:color w:val="auto"/>
          <w:kern w:val="0"/>
          <w:u w:val="none"/>
        </w:rPr>
      </w:pPr>
      <w:r>
        <w:rPr>
          <w:rFonts w:hint="eastAsia"/>
          <w:color w:val="auto"/>
          <w:kern w:val="0"/>
          <w:u w:val="none"/>
        </w:rPr>
        <w:t>（1）监测单位：湖南昌旭环保科技有限公司</w:t>
      </w:r>
    </w:p>
    <w:p>
      <w:pPr>
        <w:ind w:firstLine="480"/>
        <w:jc w:val="both"/>
        <w:rPr>
          <w:rFonts w:hint="eastAsia"/>
          <w:color w:val="auto"/>
          <w:kern w:val="0"/>
          <w:u w:val="none"/>
        </w:rPr>
      </w:pPr>
      <w:r>
        <w:rPr>
          <w:rFonts w:hint="eastAsia"/>
          <w:color w:val="auto"/>
          <w:kern w:val="0"/>
          <w:u w:val="none"/>
        </w:rPr>
        <w:t>（2）监测点布设</w:t>
      </w:r>
    </w:p>
    <w:p>
      <w:pPr>
        <w:ind w:firstLine="600" w:firstLineChars="250"/>
        <w:jc w:val="both"/>
        <w:rPr>
          <w:rFonts w:hint="eastAsia"/>
          <w:color w:val="auto"/>
          <w:kern w:val="0"/>
          <w:u w:val="none"/>
        </w:rPr>
      </w:pPr>
      <w:r>
        <w:rPr>
          <w:rFonts w:hint="eastAsia"/>
          <w:color w:val="auto"/>
          <w:kern w:val="0"/>
          <w:u w:val="none"/>
        </w:rPr>
        <w:t>本项目共布设</w:t>
      </w:r>
      <w:r>
        <w:rPr>
          <w:color w:val="auto"/>
          <w:kern w:val="0"/>
          <w:u w:val="none"/>
        </w:rPr>
        <w:t>3</w:t>
      </w:r>
      <w:r>
        <w:rPr>
          <w:rFonts w:hint="eastAsia"/>
          <w:color w:val="auto"/>
          <w:kern w:val="0"/>
          <w:u w:val="none"/>
        </w:rPr>
        <w:t>个地表水监测点，监测点位为W</w:t>
      </w:r>
      <w:r>
        <w:rPr>
          <w:rFonts w:hint="eastAsia"/>
          <w:color w:val="auto"/>
          <w:kern w:val="0"/>
          <w:u w:val="none"/>
          <w:lang w:val="en-US" w:eastAsia="zh-CN"/>
        </w:rPr>
        <w:t>3</w:t>
      </w:r>
      <w:r>
        <w:rPr>
          <w:rFonts w:hint="eastAsia"/>
          <w:color w:val="auto"/>
          <w:kern w:val="0"/>
          <w:u w:val="none"/>
          <w:lang w:eastAsia="zh-CN"/>
        </w:rPr>
        <w:t>猛洞河</w:t>
      </w:r>
      <w:r>
        <w:rPr>
          <w:rFonts w:hint="eastAsia"/>
          <w:color w:val="auto"/>
          <w:kern w:val="0"/>
          <w:u w:val="none"/>
          <w:lang w:val="en-US" w:eastAsia="zh-CN"/>
        </w:rPr>
        <w:t>/</w:t>
      </w:r>
      <w:r>
        <w:rPr>
          <w:rFonts w:hint="eastAsia"/>
          <w:color w:val="auto"/>
          <w:kern w:val="0"/>
          <w:u w:val="none"/>
        </w:rPr>
        <w:t>项目拟建排污口上游500m处、W</w:t>
      </w:r>
      <w:r>
        <w:rPr>
          <w:rFonts w:hint="eastAsia"/>
          <w:color w:val="auto"/>
          <w:kern w:val="0"/>
          <w:u w:val="none"/>
          <w:lang w:val="en-US" w:eastAsia="zh-CN"/>
        </w:rPr>
        <w:t>4</w:t>
      </w:r>
      <w:r>
        <w:rPr>
          <w:rFonts w:hint="eastAsia"/>
          <w:color w:val="auto"/>
          <w:kern w:val="0"/>
          <w:u w:val="none"/>
          <w:lang w:eastAsia="zh-CN"/>
        </w:rPr>
        <w:t>猛洞河</w:t>
      </w:r>
      <w:r>
        <w:rPr>
          <w:rFonts w:hint="eastAsia"/>
          <w:color w:val="auto"/>
          <w:kern w:val="0"/>
          <w:u w:val="none"/>
          <w:lang w:val="en-US" w:eastAsia="zh-CN"/>
        </w:rPr>
        <w:t>/</w:t>
      </w:r>
      <w:r>
        <w:rPr>
          <w:rFonts w:hint="eastAsia"/>
          <w:color w:val="auto"/>
          <w:kern w:val="0"/>
          <w:u w:val="none"/>
        </w:rPr>
        <w:t>项目拟建排污口下游</w:t>
      </w:r>
      <w:r>
        <w:rPr>
          <w:color w:val="auto"/>
          <w:kern w:val="0"/>
          <w:u w:val="none"/>
        </w:rPr>
        <w:t>10</w:t>
      </w:r>
      <w:r>
        <w:rPr>
          <w:rFonts w:hint="eastAsia"/>
          <w:color w:val="auto"/>
          <w:kern w:val="0"/>
          <w:u w:val="none"/>
        </w:rPr>
        <w:t>00m处、W</w:t>
      </w:r>
      <w:r>
        <w:rPr>
          <w:rFonts w:hint="eastAsia"/>
          <w:color w:val="auto"/>
          <w:kern w:val="0"/>
          <w:u w:val="none"/>
          <w:lang w:val="en-US" w:eastAsia="zh-CN"/>
        </w:rPr>
        <w:t>5</w:t>
      </w:r>
      <w:r>
        <w:rPr>
          <w:rFonts w:hint="eastAsia"/>
          <w:color w:val="auto"/>
          <w:kern w:val="0"/>
          <w:u w:val="none"/>
        </w:rPr>
        <w:t>污水处理厂拟建排污口处详见下表3.4</w:t>
      </w:r>
      <w:r>
        <w:rPr>
          <w:color w:val="auto"/>
          <w:kern w:val="0"/>
          <w:u w:val="none"/>
        </w:rPr>
        <w:t>-</w:t>
      </w:r>
      <w:r>
        <w:rPr>
          <w:rFonts w:hint="eastAsia"/>
          <w:color w:val="auto"/>
          <w:kern w:val="0"/>
          <w:u w:val="none"/>
          <w:lang w:val="en-US" w:eastAsia="zh-CN"/>
        </w:rPr>
        <w:t>7</w:t>
      </w:r>
      <w:r>
        <w:rPr>
          <w:rFonts w:hint="eastAsia"/>
          <w:color w:val="auto"/>
          <w:kern w:val="0"/>
          <w:u w:val="none"/>
        </w:rPr>
        <w:t>，项目监测布点图见附图2：项目监测布点图。</w:t>
      </w:r>
    </w:p>
    <w:p>
      <w:pPr>
        <w:ind w:firstLine="198" w:firstLineChars="94"/>
        <w:jc w:val="center"/>
        <w:rPr>
          <w:rFonts w:hint="eastAsia"/>
          <w:color w:val="auto"/>
          <w:kern w:val="0"/>
          <w:u w:val="none"/>
        </w:rPr>
      </w:pPr>
      <w:r>
        <w:rPr>
          <w:rFonts w:hint="eastAsia"/>
          <w:b/>
          <w:color w:val="auto"/>
          <w:kern w:val="0"/>
          <w:sz w:val="21"/>
          <w:szCs w:val="21"/>
          <w:u w:val="none"/>
        </w:rPr>
        <w:t>表3.4</w:t>
      </w:r>
      <w:r>
        <w:rPr>
          <w:b/>
          <w:color w:val="auto"/>
          <w:kern w:val="0"/>
          <w:sz w:val="21"/>
          <w:szCs w:val="21"/>
          <w:u w:val="none"/>
        </w:rPr>
        <w:t>-</w:t>
      </w:r>
      <w:r>
        <w:rPr>
          <w:rFonts w:hint="eastAsia"/>
          <w:b/>
          <w:color w:val="auto"/>
          <w:kern w:val="0"/>
          <w:sz w:val="21"/>
          <w:szCs w:val="21"/>
          <w:u w:val="none"/>
          <w:lang w:val="en-US" w:eastAsia="zh-CN"/>
        </w:rPr>
        <w:t>7</w:t>
      </w:r>
      <w:r>
        <w:rPr>
          <w:b/>
          <w:color w:val="auto"/>
          <w:kern w:val="0"/>
          <w:sz w:val="21"/>
          <w:szCs w:val="21"/>
          <w:u w:val="none"/>
        </w:rPr>
        <w:t xml:space="preserve"> </w:t>
      </w:r>
      <w:r>
        <w:rPr>
          <w:rFonts w:hint="eastAsia"/>
          <w:b/>
          <w:color w:val="auto"/>
          <w:kern w:val="0"/>
          <w:sz w:val="21"/>
          <w:szCs w:val="21"/>
          <w:u w:val="none"/>
          <w:lang w:eastAsia="zh-CN"/>
        </w:rPr>
        <w:t>地表水环境</w:t>
      </w:r>
      <w:r>
        <w:rPr>
          <w:rFonts w:hint="eastAsia"/>
          <w:b/>
          <w:color w:val="auto"/>
          <w:kern w:val="0"/>
          <w:sz w:val="21"/>
          <w:szCs w:val="21"/>
          <w:u w:val="none"/>
        </w:rPr>
        <w:t>监测布点情况一览表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30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pStyle w:val="73"/>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编号</w:t>
            </w:r>
          </w:p>
        </w:tc>
        <w:tc>
          <w:tcPr>
            <w:tcW w:w="3301" w:type="dxa"/>
            <w:noWrap w:val="0"/>
            <w:vAlign w:val="center"/>
          </w:tcPr>
          <w:p>
            <w:pPr>
              <w:pStyle w:val="73"/>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名称</w:t>
            </w:r>
          </w:p>
        </w:tc>
        <w:tc>
          <w:tcPr>
            <w:tcW w:w="2131" w:type="dxa"/>
            <w:noWrap w:val="0"/>
            <w:vAlign w:val="center"/>
          </w:tcPr>
          <w:p>
            <w:pPr>
              <w:pStyle w:val="73"/>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评价因子</w:t>
            </w:r>
          </w:p>
        </w:tc>
        <w:tc>
          <w:tcPr>
            <w:tcW w:w="2131" w:type="dxa"/>
            <w:noWrap w:val="0"/>
            <w:vAlign w:val="center"/>
          </w:tcPr>
          <w:p>
            <w:pPr>
              <w:pStyle w:val="73"/>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59" w:type="dxa"/>
            <w:noWrap w:val="0"/>
            <w:vAlign w:val="center"/>
          </w:tcPr>
          <w:p>
            <w:pPr>
              <w:pStyle w:val="7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w:t>
            </w:r>
            <w:r>
              <w:rPr>
                <w:rFonts w:hint="eastAsia" w:ascii="Times New Roman" w:hAnsi="Times New Roman" w:cs="Times New Roman"/>
                <w:color w:val="auto"/>
                <w:sz w:val="21"/>
                <w:szCs w:val="21"/>
                <w:u w:val="none"/>
                <w:lang w:val="en-US" w:eastAsia="zh-CN"/>
              </w:rPr>
              <w:t>3</w:t>
            </w:r>
          </w:p>
        </w:tc>
        <w:tc>
          <w:tcPr>
            <w:tcW w:w="3301" w:type="dxa"/>
            <w:noWrap w:val="0"/>
            <w:vAlign w:val="center"/>
          </w:tcPr>
          <w:p>
            <w:pPr>
              <w:pStyle w:val="7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猛洞河</w:t>
            </w:r>
            <w:r>
              <w:rPr>
                <w:rFonts w:hint="eastAsia" w:ascii="Times New Roman" w:hAnsi="Times New Roman" w:cs="Times New Roman"/>
                <w:color w:val="auto"/>
                <w:sz w:val="21"/>
                <w:szCs w:val="21"/>
                <w:u w:val="none"/>
                <w:lang w:val="en-US" w:eastAsia="zh-CN"/>
              </w:rPr>
              <w:t>/</w:t>
            </w:r>
            <w:r>
              <w:rPr>
                <w:rFonts w:hint="default" w:ascii="Times New Roman" w:hAnsi="Times New Roman" w:cs="Times New Roman"/>
                <w:color w:val="auto"/>
                <w:sz w:val="21"/>
                <w:szCs w:val="21"/>
                <w:u w:val="none"/>
              </w:rPr>
              <w:t>项目拟建排污口上游500m处</w:t>
            </w:r>
          </w:p>
        </w:tc>
        <w:tc>
          <w:tcPr>
            <w:tcW w:w="2131" w:type="dxa"/>
            <w:vMerge w:val="restart"/>
            <w:noWrap w:val="0"/>
            <w:vAlign w:val="center"/>
          </w:tcPr>
          <w:p>
            <w:pPr>
              <w:pStyle w:val="73"/>
              <w:rPr>
                <w:rFonts w:hint="default" w:ascii="Times New Roman" w:hAnsi="Times New Roman" w:cs="Times New Roman"/>
                <w:color w:val="auto"/>
                <w:sz w:val="21"/>
                <w:szCs w:val="21"/>
                <w:u w:val="none"/>
              </w:rPr>
            </w:pPr>
            <w:r>
              <w:rPr>
                <w:rFonts w:hint="eastAsia"/>
                <w:color w:val="auto"/>
              </w:rPr>
              <w:t>总氮、硫化物</w:t>
            </w:r>
            <w:r>
              <w:rPr>
                <w:rFonts w:hint="eastAsia"/>
                <w:color w:val="auto"/>
                <w:lang w:eastAsia="zh-CN"/>
              </w:rPr>
              <w:t>、</w:t>
            </w:r>
            <w:r>
              <w:rPr>
                <w:rFonts w:hint="eastAsia"/>
                <w:color w:val="auto"/>
                <w:sz w:val="21"/>
                <w:szCs w:val="21"/>
              </w:rPr>
              <w:t>氯化物、</w:t>
            </w:r>
            <w:r>
              <w:rPr>
                <w:rFonts w:hint="eastAsia"/>
                <w:color w:val="auto"/>
                <w:sz w:val="21"/>
                <w:szCs w:val="21"/>
                <w:lang w:eastAsia="zh-CN"/>
              </w:rPr>
              <w:t>硫酸盐</w:t>
            </w:r>
            <w:r>
              <w:rPr>
                <w:rFonts w:hint="eastAsia"/>
                <w:color w:val="auto"/>
              </w:rPr>
              <w:t>、铜、锌</w:t>
            </w:r>
            <w:r>
              <w:rPr>
                <w:rFonts w:hint="eastAsia"/>
                <w:color w:val="auto"/>
                <w:lang w:eastAsia="zh-CN"/>
              </w:rPr>
              <w:t>、</w:t>
            </w:r>
            <w:r>
              <w:rPr>
                <w:rFonts w:hint="eastAsia"/>
                <w:color w:val="auto"/>
              </w:rPr>
              <w:t>砷、铅、铬（六价）、镉、</w:t>
            </w:r>
            <w:r>
              <w:rPr>
                <w:rFonts w:hint="eastAsia"/>
                <w:color w:val="auto"/>
                <w:lang w:eastAsia="zh-CN"/>
              </w:rPr>
              <w:t>锰</w:t>
            </w:r>
          </w:p>
        </w:tc>
        <w:tc>
          <w:tcPr>
            <w:tcW w:w="2131" w:type="dxa"/>
            <w:vMerge w:val="restart"/>
            <w:noWrap w:val="0"/>
            <w:vAlign w:val="center"/>
          </w:tcPr>
          <w:p>
            <w:pPr>
              <w:pStyle w:val="7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w:t>
            </w:r>
            <w:r>
              <w:rPr>
                <w:rFonts w:hint="eastAsia" w:ascii="Times New Roman" w:hAnsi="Times New Roman" w:cs="Times New Roman"/>
                <w:color w:val="auto"/>
                <w:sz w:val="21"/>
                <w:szCs w:val="21"/>
                <w:u w:val="none"/>
                <w:lang w:val="en-US" w:eastAsia="zh-CN"/>
              </w:rPr>
              <w:t>22</w:t>
            </w:r>
            <w:r>
              <w:rPr>
                <w:rFonts w:hint="default" w:ascii="Times New Roman" w:hAnsi="Times New Roman" w:cs="Times New Roman"/>
                <w:color w:val="auto"/>
                <w:sz w:val="21"/>
                <w:szCs w:val="21"/>
                <w:u w:val="none"/>
              </w:rPr>
              <w:t>年</w:t>
            </w:r>
            <w:r>
              <w:rPr>
                <w:rFonts w:hint="eastAsia" w:ascii="Times New Roman" w:hAnsi="Times New Roman" w:cs="Times New Roman"/>
                <w:color w:val="auto"/>
                <w:sz w:val="21"/>
                <w:szCs w:val="21"/>
                <w:u w:val="none"/>
                <w:lang w:val="en-US" w:eastAsia="zh-CN"/>
              </w:rPr>
              <w:t>03</w:t>
            </w:r>
            <w:r>
              <w:rPr>
                <w:rFonts w:hint="default" w:ascii="Times New Roman" w:hAnsi="Times New Roman" w:cs="Times New Roman"/>
                <w:color w:val="auto"/>
                <w:sz w:val="21"/>
                <w:szCs w:val="21"/>
                <w:u w:val="none"/>
              </w:rPr>
              <w:t>月</w:t>
            </w:r>
            <w:r>
              <w:rPr>
                <w:rFonts w:hint="eastAsia" w:ascii="Times New Roman" w:hAnsi="Times New Roman" w:cs="Times New Roman"/>
                <w:color w:val="auto"/>
                <w:sz w:val="21"/>
                <w:szCs w:val="21"/>
                <w:u w:val="none"/>
                <w:lang w:val="en-US" w:eastAsia="zh-CN"/>
              </w:rPr>
              <w:t>25</w:t>
            </w:r>
            <w:r>
              <w:rPr>
                <w:rFonts w:hint="default" w:ascii="Times New Roman" w:hAnsi="Times New Roman" w:cs="Times New Roman"/>
                <w:color w:val="auto"/>
                <w:sz w:val="21"/>
                <w:szCs w:val="21"/>
                <w:u w:val="none"/>
              </w:rPr>
              <w:t>日至20</w:t>
            </w:r>
            <w:r>
              <w:rPr>
                <w:rFonts w:hint="eastAsia" w:ascii="Times New Roman" w:hAnsi="Times New Roman" w:cs="Times New Roman"/>
                <w:color w:val="auto"/>
                <w:sz w:val="21"/>
                <w:szCs w:val="21"/>
                <w:u w:val="none"/>
                <w:lang w:val="en-US" w:eastAsia="zh-CN"/>
              </w:rPr>
              <w:t>22</w:t>
            </w:r>
            <w:r>
              <w:rPr>
                <w:rFonts w:hint="default" w:ascii="Times New Roman" w:hAnsi="Times New Roman" w:cs="Times New Roman"/>
                <w:color w:val="auto"/>
                <w:sz w:val="21"/>
                <w:szCs w:val="21"/>
                <w:u w:val="none"/>
              </w:rPr>
              <w:t>年</w:t>
            </w:r>
            <w:r>
              <w:rPr>
                <w:rFonts w:hint="eastAsia" w:ascii="Times New Roman" w:hAnsi="Times New Roman" w:cs="Times New Roman"/>
                <w:color w:val="auto"/>
                <w:sz w:val="21"/>
                <w:szCs w:val="21"/>
                <w:u w:val="none"/>
                <w:lang w:val="en-US" w:eastAsia="zh-CN"/>
              </w:rPr>
              <w:t>03</w:t>
            </w:r>
            <w:r>
              <w:rPr>
                <w:rFonts w:hint="default" w:ascii="Times New Roman" w:hAnsi="Times New Roman" w:cs="Times New Roman"/>
                <w:color w:val="auto"/>
                <w:sz w:val="21"/>
                <w:szCs w:val="21"/>
                <w:u w:val="none"/>
              </w:rPr>
              <w:t>月</w:t>
            </w:r>
            <w:r>
              <w:rPr>
                <w:rFonts w:hint="eastAsia" w:ascii="Times New Roman" w:hAnsi="Times New Roman" w:cs="Times New Roman"/>
                <w:color w:val="auto"/>
                <w:sz w:val="21"/>
                <w:szCs w:val="21"/>
                <w:u w:val="none"/>
                <w:lang w:val="en-US" w:eastAsia="zh-CN"/>
              </w:rPr>
              <w:t>27</w:t>
            </w:r>
            <w:r>
              <w:rPr>
                <w:rFonts w:hint="default" w:ascii="Times New Roman" w:hAnsi="Times New Roman" w:cs="Times New Roman"/>
                <w:color w:val="auto"/>
                <w:sz w:val="21"/>
                <w:szCs w:val="21"/>
                <w:u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59" w:type="dxa"/>
            <w:noWrap w:val="0"/>
            <w:vAlign w:val="center"/>
          </w:tcPr>
          <w:p>
            <w:pPr>
              <w:pStyle w:val="73"/>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W</w:t>
            </w:r>
            <w:r>
              <w:rPr>
                <w:rFonts w:hint="eastAsia" w:ascii="Times New Roman" w:hAnsi="Times New Roman" w:cs="Times New Roman"/>
                <w:color w:val="auto"/>
                <w:sz w:val="21"/>
                <w:szCs w:val="21"/>
                <w:u w:val="none"/>
                <w:lang w:val="en-US" w:eastAsia="zh-CN"/>
              </w:rPr>
              <w:t>4</w:t>
            </w:r>
          </w:p>
        </w:tc>
        <w:tc>
          <w:tcPr>
            <w:tcW w:w="3301" w:type="dxa"/>
            <w:noWrap w:val="0"/>
            <w:vAlign w:val="center"/>
          </w:tcPr>
          <w:p>
            <w:pPr>
              <w:pStyle w:val="7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猛洞河</w:t>
            </w:r>
            <w:r>
              <w:rPr>
                <w:rFonts w:hint="eastAsia" w:ascii="Times New Roman" w:hAnsi="Times New Roman" w:cs="Times New Roman"/>
                <w:color w:val="auto"/>
                <w:sz w:val="21"/>
                <w:szCs w:val="21"/>
                <w:u w:val="none"/>
                <w:lang w:val="en-US" w:eastAsia="zh-CN"/>
              </w:rPr>
              <w:t>/</w:t>
            </w:r>
            <w:r>
              <w:rPr>
                <w:rFonts w:hint="default" w:ascii="Times New Roman" w:hAnsi="Times New Roman" w:cs="Times New Roman"/>
                <w:color w:val="auto"/>
                <w:sz w:val="21"/>
                <w:szCs w:val="21"/>
                <w:u w:val="none"/>
              </w:rPr>
              <w:t>项目拟建排污口下游1000m处</w:t>
            </w:r>
          </w:p>
        </w:tc>
        <w:tc>
          <w:tcPr>
            <w:tcW w:w="2131" w:type="dxa"/>
            <w:vMerge w:val="continue"/>
            <w:noWrap w:val="0"/>
            <w:vAlign w:val="center"/>
          </w:tcPr>
          <w:p>
            <w:pPr>
              <w:pStyle w:val="73"/>
              <w:rPr>
                <w:rFonts w:hint="default" w:ascii="Times New Roman" w:hAnsi="Times New Roman" w:cs="Times New Roman"/>
                <w:color w:val="auto"/>
                <w:sz w:val="21"/>
                <w:szCs w:val="21"/>
                <w:u w:val="none"/>
              </w:rPr>
            </w:pPr>
          </w:p>
        </w:tc>
        <w:tc>
          <w:tcPr>
            <w:tcW w:w="2131" w:type="dxa"/>
            <w:vMerge w:val="continue"/>
            <w:noWrap w:val="0"/>
            <w:vAlign w:val="center"/>
          </w:tcPr>
          <w:p>
            <w:pPr>
              <w:pStyle w:val="73"/>
              <w:rPr>
                <w:rFonts w:hint="default" w:ascii="Times New Roman" w:hAnsi="Times New Roman"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59" w:type="dxa"/>
            <w:noWrap w:val="0"/>
            <w:vAlign w:val="center"/>
          </w:tcPr>
          <w:p>
            <w:pPr>
              <w:pStyle w:val="73"/>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W</w:t>
            </w:r>
            <w:r>
              <w:rPr>
                <w:rFonts w:hint="eastAsia" w:ascii="Times New Roman" w:hAnsi="Times New Roman" w:cs="Times New Roman"/>
                <w:color w:val="auto"/>
                <w:sz w:val="21"/>
                <w:szCs w:val="21"/>
                <w:u w:val="none"/>
                <w:lang w:val="en-US" w:eastAsia="zh-CN"/>
              </w:rPr>
              <w:t>5</w:t>
            </w:r>
          </w:p>
        </w:tc>
        <w:tc>
          <w:tcPr>
            <w:tcW w:w="3301" w:type="dxa"/>
            <w:noWrap w:val="0"/>
            <w:vAlign w:val="center"/>
          </w:tcPr>
          <w:p>
            <w:pPr>
              <w:pStyle w:val="7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污水处理厂拟建排污口处</w:t>
            </w:r>
          </w:p>
        </w:tc>
        <w:tc>
          <w:tcPr>
            <w:tcW w:w="2131" w:type="dxa"/>
            <w:noWrap w:val="0"/>
            <w:vAlign w:val="center"/>
          </w:tcPr>
          <w:p>
            <w:pPr>
              <w:pStyle w:val="7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水温、pH、溶解氧、高锰酸盐指数、COD、BOD</w:t>
            </w:r>
            <w:r>
              <w:rPr>
                <w:rFonts w:hint="default" w:ascii="Times New Roman" w:hAnsi="Times New Roman" w:cs="Times New Roman"/>
                <w:color w:val="auto"/>
                <w:sz w:val="21"/>
                <w:szCs w:val="21"/>
                <w:u w:val="none"/>
                <w:vertAlign w:val="subscript"/>
                <w:lang w:val="en-US" w:eastAsia="zh-CN"/>
              </w:rPr>
              <w:t>5</w:t>
            </w:r>
            <w:r>
              <w:rPr>
                <w:rFonts w:hint="default" w:ascii="Times New Roman" w:hAnsi="Times New Roman" w:cs="Times New Roman"/>
                <w:color w:val="auto"/>
                <w:sz w:val="21"/>
                <w:szCs w:val="21"/>
                <w:u w:val="none"/>
                <w:lang w:val="en-US" w:eastAsia="zh-CN"/>
              </w:rPr>
              <w:t>、氨氮、总氮、总磷、石油类、阴离子表面活性剂、粪大肠菌群、硫化物、氯化物、氟化物、硫酸盐、铜、锌、砷、铅、铬（六价）、镉、锰</w:t>
            </w:r>
          </w:p>
        </w:tc>
        <w:tc>
          <w:tcPr>
            <w:tcW w:w="2131" w:type="dxa"/>
            <w:vMerge w:val="continue"/>
            <w:noWrap w:val="0"/>
            <w:vAlign w:val="center"/>
          </w:tcPr>
          <w:p>
            <w:pPr>
              <w:pStyle w:val="73"/>
              <w:rPr>
                <w:rFonts w:hint="default" w:ascii="Times New Roman" w:hAnsi="Times New Roman" w:cs="Times New Roman"/>
                <w:color w:val="auto"/>
                <w:sz w:val="21"/>
                <w:szCs w:val="21"/>
                <w:u w:val="none"/>
              </w:rPr>
            </w:pPr>
          </w:p>
        </w:tc>
      </w:tr>
    </w:tbl>
    <w:p>
      <w:pPr>
        <w:ind w:firstLine="480"/>
        <w:rPr>
          <w:rFonts w:hint="eastAsia"/>
          <w:color w:val="auto"/>
          <w:kern w:val="0"/>
          <w:u w:val="none"/>
        </w:rPr>
      </w:pPr>
      <w:r>
        <w:rPr>
          <w:rFonts w:hint="eastAsia"/>
          <w:color w:val="auto"/>
          <w:kern w:val="0"/>
          <w:u w:val="none"/>
        </w:rPr>
        <w:t>（3）监测时间及采样频率</w:t>
      </w:r>
    </w:p>
    <w:p>
      <w:pPr>
        <w:ind w:firstLine="480"/>
        <w:rPr>
          <w:rFonts w:hint="eastAsia"/>
          <w:color w:val="auto"/>
          <w:kern w:val="0"/>
          <w:u w:val="none"/>
        </w:rPr>
      </w:pPr>
      <w:r>
        <w:rPr>
          <w:rFonts w:hint="eastAsia"/>
          <w:color w:val="auto"/>
          <w:kern w:val="0"/>
          <w:u w:val="none"/>
        </w:rPr>
        <w:t>监测时间为20</w:t>
      </w:r>
      <w:r>
        <w:rPr>
          <w:rFonts w:hint="eastAsia"/>
          <w:color w:val="auto"/>
          <w:kern w:val="0"/>
          <w:u w:val="none"/>
          <w:lang w:val="en-US" w:eastAsia="zh-CN"/>
        </w:rPr>
        <w:t>22</w:t>
      </w:r>
      <w:r>
        <w:rPr>
          <w:rFonts w:hint="eastAsia"/>
          <w:color w:val="auto"/>
          <w:kern w:val="0"/>
          <w:u w:val="none"/>
        </w:rPr>
        <w:t>年</w:t>
      </w:r>
      <w:r>
        <w:rPr>
          <w:rFonts w:hint="eastAsia"/>
          <w:color w:val="auto"/>
          <w:kern w:val="0"/>
          <w:u w:val="none"/>
          <w:lang w:val="en-US" w:eastAsia="zh-CN"/>
        </w:rPr>
        <w:t>03</w:t>
      </w:r>
      <w:r>
        <w:rPr>
          <w:rFonts w:hint="eastAsia"/>
          <w:color w:val="auto"/>
          <w:kern w:val="0"/>
          <w:u w:val="none"/>
        </w:rPr>
        <w:t>月</w:t>
      </w:r>
      <w:r>
        <w:rPr>
          <w:rFonts w:hint="eastAsia"/>
          <w:color w:val="auto"/>
          <w:kern w:val="0"/>
          <w:u w:val="none"/>
          <w:lang w:val="en-US" w:eastAsia="zh-CN"/>
        </w:rPr>
        <w:t>25</w:t>
      </w:r>
      <w:r>
        <w:rPr>
          <w:rFonts w:hint="eastAsia"/>
          <w:color w:val="auto"/>
          <w:kern w:val="0"/>
          <w:u w:val="none"/>
        </w:rPr>
        <w:t>日至20</w:t>
      </w:r>
      <w:r>
        <w:rPr>
          <w:rFonts w:hint="eastAsia"/>
          <w:color w:val="auto"/>
          <w:kern w:val="0"/>
          <w:u w:val="none"/>
          <w:lang w:val="en-US" w:eastAsia="zh-CN"/>
        </w:rPr>
        <w:t>22</w:t>
      </w:r>
      <w:r>
        <w:rPr>
          <w:rFonts w:hint="eastAsia"/>
          <w:color w:val="auto"/>
          <w:kern w:val="0"/>
          <w:u w:val="none"/>
        </w:rPr>
        <w:t>年</w:t>
      </w:r>
      <w:r>
        <w:rPr>
          <w:rFonts w:hint="eastAsia"/>
          <w:color w:val="auto"/>
          <w:kern w:val="0"/>
          <w:u w:val="none"/>
          <w:lang w:val="en-US" w:eastAsia="zh-CN"/>
        </w:rPr>
        <w:t>03</w:t>
      </w:r>
      <w:r>
        <w:rPr>
          <w:rFonts w:hint="eastAsia"/>
          <w:color w:val="auto"/>
          <w:kern w:val="0"/>
          <w:u w:val="none"/>
        </w:rPr>
        <w:t>月</w:t>
      </w:r>
      <w:r>
        <w:rPr>
          <w:rFonts w:hint="eastAsia"/>
          <w:color w:val="auto"/>
          <w:kern w:val="0"/>
          <w:u w:val="none"/>
          <w:lang w:val="en-US" w:eastAsia="zh-CN"/>
        </w:rPr>
        <w:t>27</w:t>
      </w:r>
      <w:r>
        <w:rPr>
          <w:rFonts w:hint="eastAsia"/>
          <w:color w:val="auto"/>
          <w:kern w:val="0"/>
          <w:u w:val="none"/>
        </w:rPr>
        <w:t>日，共采样3天。</w:t>
      </w:r>
    </w:p>
    <w:p>
      <w:pPr>
        <w:ind w:firstLine="480"/>
        <w:rPr>
          <w:rFonts w:hint="eastAsia"/>
          <w:color w:val="auto"/>
          <w:kern w:val="0"/>
          <w:u w:val="none"/>
        </w:rPr>
      </w:pPr>
      <w:r>
        <w:rPr>
          <w:rFonts w:hint="eastAsia"/>
          <w:color w:val="auto"/>
          <w:kern w:val="0"/>
          <w:u w:val="none"/>
        </w:rPr>
        <w:t>（4）监测、分析方法</w:t>
      </w:r>
    </w:p>
    <w:p>
      <w:pPr>
        <w:ind w:firstLine="480"/>
        <w:rPr>
          <w:rFonts w:hint="eastAsia"/>
          <w:color w:val="auto"/>
          <w:kern w:val="0"/>
          <w:u w:val="none"/>
        </w:rPr>
      </w:pPr>
      <w:r>
        <w:rPr>
          <w:rFonts w:hint="eastAsia"/>
          <w:color w:val="auto"/>
          <w:kern w:val="0"/>
          <w:u w:val="none"/>
        </w:rPr>
        <w:t>监测分析方法按《环境监测技术规范》中有关部分进行，分析方法按《地表水环境资料标准》（GB3838-2002）中Ⅲ级标准要求进行。</w:t>
      </w:r>
    </w:p>
    <w:p>
      <w:pPr>
        <w:ind w:firstLine="480"/>
        <w:rPr>
          <w:rFonts w:hint="eastAsia"/>
          <w:color w:val="auto"/>
          <w:kern w:val="0"/>
          <w:u w:val="none"/>
        </w:rPr>
      </w:pPr>
      <w:r>
        <w:rPr>
          <w:rFonts w:hint="eastAsia"/>
          <w:color w:val="auto"/>
          <w:kern w:val="0"/>
          <w:u w:val="none"/>
        </w:rPr>
        <w:t>（5）监测数据结果</w:t>
      </w:r>
    </w:p>
    <w:p>
      <w:pPr>
        <w:ind w:firstLine="480"/>
        <w:rPr>
          <w:rFonts w:hint="eastAsia"/>
          <w:color w:val="auto"/>
          <w:kern w:val="0"/>
          <w:u w:val="none"/>
        </w:rPr>
      </w:pPr>
      <w:r>
        <w:rPr>
          <w:rFonts w:hint="eastAsia"/>
          <w:color w:val="auto"/>
          <w:kern w:val="0"/>
          <w:u w:val="none"/>
        </w:rPr>
        <w:t>监测数据结果见表3.4</w:t>
      </w:r>
      <w:r>
        <w:rPr>
          <w:color w:val="auto"/>
          <w:kern w:val="0"/>
          <w:u w:val="none"/>
        </w:rPr>
        <w:t>-</w:t>
      </w:r>
      <w:r>
        <w:rPr>
          <w:rFonts w:hint="eastAsia"/>
          <w:color w:val="auto"/>
          <w:kern w:val="0"/>
          <w:u w:val="none"/>
          <w:lang w:val="en-US" w:eastAsia="zh-CN"/>
        </w:rPr>
        <w:t>8</w:t>
      </w:r>
      <w:r>
        <w:rPr>
          <w:rFonts w:hint="eastAsia"/>
          <w:color w:val="auto"/>
          <w:kern w:val="0"/>
          <w:u w:val="none"/>
        </w:rPr>
        <w:t>。</w:t>
      </w:r>
    </w:p>
    <w:p>
      <w:pPr>
        <w:ind w:firstLine="422"/>
        <w:jc w:val="center"/>
        <w:rPr>
          <w:b/>
          <w:color w:val="auto"/>
          <w:kern w:val="0"/>
          <w:sz w:val="21"/>
          <w:szCs w:val="21"/>
          <w:u w:val="none"/>
        </w:rPr>
      </w:pPr>
      <w:r>
        <w:rPr>
          <w:rFonts w:hint="eastAsia"/>
          <w:b/>
          <w:color w:val="auto"/>
          <w:kern w:val="0"/>
          <w:sz w:val="21"/>
          <w:szCs w:val="21"/>
          <w:u w:val="none"/>
        </w:rPr>
        <w:t>表3.4</w:t>
      </w:r>
      <w:r>
        <w:rPr>
          <w:b/>
          <w:color w:val="auto"/>
          <w:kern w:val="0"/>
          <w:sz w:val="21"/>
          <w:szCs w:val="21"/>
          <w:u w:val="none"/>
        </w:rPr>
        <w:t>-</w:t>
      </w:r>
      <w:r>
        <w:rPr>
          <w:rFonts w:hint="eastAsia"/>
          <w:b/>
          <w:color w:val="auto"/>
          <w:kern w:val="0"/>
          <w:sz w:val="21"/>
          <w:szCs w:val="21"/>
          <w:u w:val="none"/>
          <w:lang w:val="en-US" w:eastAsia="zh-CN"/>
        </w:rPr>
        <w:t>8</w:t>
      </w:r>
      <w:r>
        <w:rPr>
          <w:b/>
          <w:color w:val="auto"/>
          <w:kern w:val="0"/>
          <w:sz w:val="21"/>
          <w:szCs w:val="21"/>
          <w:u w:val="none"/>
        </w:rPr>
        <w:t xml:space="preserve"> </w:t>
      </w:r>
      <w:r>
        <w:rPr>
          <w:rFonts w:hint="eastAsia"/>
          <w:b/>
          <w:color w:val="auto"/>
          <w:kern w:val="0"/>
          <w:sz w:val="21"/>
          <w:szCs w:val="21"/>
          <w:u w:val="none"/>
        </w:rPr>
        <w:t>地表水水质监测数据监测结果统计表 单位：mg/L(pH、粪大肠杆菌除外)</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503"/>
        <w:gridCol w:w="1741"/>
        <w:gridCol w:w="949"/>
        <w:gridCol w:w="1094"/>
        <w:gridCol w:w="891"/>
        <w:gridCol w:w="814"/>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16"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断面</w:t>
            </w:r>
          </w:p>
        </w:tc>
        <w:tc>
          <w:tcPr>
            <w:tcW w:w="881"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项目</w:t>
            </w:r>
          </w:p>
        </w:tc>
        <w:tc>
          <w:tcPr>
            <w:tcW w:w="1020"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浓度范围</w:t>
            </w:r>
          </w:p>
        </w:tc>
        <w:tc>
          <w:tcPr>
            <w:tcW w:w="556"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标准浓度限值</w:t>
            </w:r>
          </w:p>
        </w:tc>
        <w:tc>
          <w:tcPr>
            <w:tcW w:w="641"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样品数/超标样品数</w:t>
            </w:r>
          </w:p>
        </w:tc>
        <w:tc>
          <w:tcPr>
            <w:tcW w:w="522"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超标率（%）</w:t>
            </w:r>
          </w:p>
        </w:tc>
        <w:tc>
          <w:tcPr>
            <w:tcW w:w="477"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最大超标倍数</w:t>
            </w:r>
          </w:p>
        </w:tc>
        <w:tc>
          <w:tcPr>
            <w:tcW w:w="381"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restart"/>
            <w:noWrap w:val="0"/>
            <w:vAlign w:val="center"/>
          </w:tcPr>
          <w:p>
            <w:pPr>
              <w:pStyle w:val="73"/>
              <w:rPr>
                <w:rFonts w:hint="default" w:ascii="Times New Roman" w:hAnsi="Times New Roman" w:cs="Times New Roman"/>
                <w:bCs/>
                <w:color w:val="auto"/>
                <w:u w:val="none"/>
              </w:rPr>
            </w:pPr>
            <w:r>
              <w:rPr>
                <w:rFonts w:hint="eastAsia" w:cs="Times New Roman"/>
                <w:bCs/>
                <w:color w:val="auto"/>
                <w:u w:val="none"/>
                <w:lang w:val="en-US" w:eastAsia="zh-CN"/>
              </w:rPr>
              <w:t>猛洞河，</w:t>
            </w:r>
            <w:r>
              <w:rPr>
                <w:rFonts w:hint="default" w:ascii="Times New Roman" w:hAnsi="Times New Roman" w:cs="Times New Roman"/>
                <w:bCs/>
                <w:color w:val="auto"/>
                <w:u w:val="none"/>
                <w:lang w:val="en-US" w:eastAsia="zh-CN"/>
              </w:rPr>
              <w:t>排污口上游500m处W</w:t>
            </w:r>
            <w:r>
              <w:rPr>
                <w:rFonts w:hint="eastAsia" w:ascii="Times New Roman" w:hAnsi="Times New Roman" w:cs="Times New Roman"/>
                <w:bCs/>
                <w:color w:val="auto"/>
                <w:u w:val="none"/>
                <w:lang w:val="en-US" w:eastAsia="zh-CN"/>
              </w:rPr>
              <w:t>3</w:t>
            </w:r>
          </w:p>
        </w:tc>
        <w:tc>
          <w:tcPr>
            <w:tcW w:w="881" w:type="pct"/>
            <w:noWrap w:val="0"/>
            <w:vAlign w:val="center"/>
          </w:tcPr>
          <w:p>
            <w:pPr>
              <w:pStyle w:val="113"/>
              <w:bidi w:val="0"/>
              <w:rPr>
                <w:rFonts w:hint="eastAsia"/>
                <w:color w:val="auto"/>
                <w:lang w:eastAsia="zh-CN"/>
              </w:rPr>
            </w:pPr>
            <w:r>
              <w:rPr>
                <w:rFonts w:hint="eastAsia"/>
                <w:color w:val="auto"/>
                <w:lang w:val="en-US" w:eastAsia="zh-CN"/>
              </w:rPr>
              <w:t>总氮</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0.85~0.90</w:t>
            </w:r>
          </w:p>
        </w:tc>
        <w:tc>
          <w:tcPr>
            <w:tcW w:w="556" w:type="pct"/>
            <w:noWrap w:val="0"/>
            <w:vAlign w:val="center"/>
          </w:tcPr>
          <w:p>
            <w:pPr>
              <w:pStyle w:val="73"/>
              <w:rPr>
                <w:rFonts w:hint="default" w:ascii="Times New Roman" w:hAnsi="Times New Roman" w:eastAsia="宋体" w:cs="Times New Roman"/>
                <w:bCs/>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1.0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氯化物</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10</w:t>
            </w:r>
            <w:r>
              <w:rPr>
                <w:rFonts w:hint="eastAsia" w:ascii="Times New Roman" w:hAnsi="Times New Roman" w:cs="Times New Roman"/>
                <w:bCs/>
                <w:color w:val="auto"/>
                <w:u w:val="none"/>
                <w:lang w:val="en-US" w:eastAsia="zh-CN"/>
              </w:rPr>
              <w:t>2.30~2.28</w:t>
            </w:r>
          </w:p>
        </w:tc>
        <w:tc>
          <w:tcPr>
            <w:tcW w:w="556" w:type="pct"/>
            <w:noWrap w:val="0"/>
            <w:vAlign w:val="center"/>
          </w:tcPr>
          <w:p>
            <w:pPr>
              <w:pStyle w:val="73"/>
              <w:rPr>
                <w:rFonts w:hint="default" w:ascii="Times New Roman" w:hAnsi="Times New Roman" w:eastAsia="宋体" w:cs="Times New Roman"/>
                <w:bCs/>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250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硫化物</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0.005L</w:t>
            </w:r>
          </w:p>
        </w:tc>
        <w:tc>
          <w:tcPr>
            <w:tcW w:w="556" w:type="pct"/>
            <w:noWrap w:val="0"/>
            <w:vAlign w:val="center"/>
          </w:tcPr>
          <w:p>
            <w:pPr>
              <w:pStyle w:val="73"/>
              <w:rPr>
                <w:rFonts w:hint="default" w:ascii="Times New Roman" w:hAnsi="Times New Roman" w:eastAsia="宋体" w:cs="Times New Roman"/>
                <w:bCs/>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0.2</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硫酸盐</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19.7</w:t>
            </w:r>
          </w:p>
        </w:tc>
        <w:tc>
          <w:tcPr>
            <w:tcW w:w="556" w:type="pct"/>
            <w:noWrap w:val="0"/>
            <w:vAlign w:val="center"/>
          </w:tcPr>
          <w:p>
            <w:pPr>
              <w:pStyle w:val="73"/>
              <w:rPr>
                <w:rFonts w:hint="default" w:ascii="Times New Roman" w:hAnsi="Times New Roman" w:eastAsia="宋体" w:cs="Times New Roman"/>
                <w:bCs/>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250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铜</w:t>
            </w:r>
          </w:p>
        </w:tc>
        <w:tc>
          <w:tcPr>
            <w:tcW w:w="1020" w:type="pct"/>
            <w:noWrap w:val="0"/>
            <w:vAlign w:val="center"/>
          </w:tcPr>
          <w:p>
            <w:pPr>
              <w:pStyle w:val="73"/>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0.001</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bCs/>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1.0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锌</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0.05L</w:t>
            </w:r>
          </w:p>
        </w:tc>
        <w:tc>
          <w:tcPr>
            <w:tcW w:w="556"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color w:val="auto"/>
                <w:u w:val="none"/>
              </w:rPr>
              <w:t>≤</w:t>
            </w:r>
            <w:r>
              <w:rPr>
                <w:rFonts w:hint="default" w:ascii="Times New Roman" w:hAnsi="Times New Roman" w:cs="Times New Roman"/>
                <w:bCs/>
                <w:color w:val="auto"/>
                <w:u w:val="none"/>
              </w:rPr>
              <w:t>1.0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砷</w:t>
            </w:r>
          </w:p>
        </w:tc>
        <w:tc>
          <w:tcPr>
            <w:tcW w:w="1020" w:type="pct"/>
            <w:noWrap w:val="0"/>
            <w:vAlign w:val="center"/>
          </w:tcPr>
          <w:p>
            <w:pPr>
              <w:pStyle w:val="73"/>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0.0003</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bCs/>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0.05</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铅</w:t>
            </w:r>
          </w:p>
        </w:tc>
        <w:tc>
          <w:tcPr>
            <w:tcW w:w="1020" w:type="pct"/>
            <w:noWrap w:val="0"/>
            <w:vAlign w:val="center"/>
          </w:tcPr>
          <w:p>
            <w:pPr>
              <w:pStyle w:val="73"/>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0.01</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bCs/>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0.05</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六价铬</w:t>
            </w:r>
          </w:p>
        </w:tc>
        <w:tc>
          <w:tcPr>
            <w:tcW w:w="1020" w:type="pct"/>
            <w:noWrap w:val="0"/>
            <w:vAlign w:val="center"/>
          </w:tcPr>
          <w:p>
            <w:pPr>
              <w:pStyle w:val="73"/>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0.004</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0.05</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镉</w:t>
            </w:r>
          </w:p>
        </w:tc>
        <w:tc>
          <w:tcPr>
            <w:tcW w:w="1020" w:type="pct"/>
            <w:noWrap w:val="0"/>
            <w:vAlign w:val="center"/>
          </w:tcPr>
          <w:p>
            <w:pPr>
              <w:pStyle w:val="73"/>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0.001</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0.005</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锰</w:t>
            </w:r>
          </w:p>
        </w:tc>
        <w:tc>
          <w:tcPr>
            <w:tcW w:w="1020" w:type="pct"/>
            <w:noWrap w:val="0"/>
            <w:vAlign w:val="center"/>
          </w:tcPr>
          <w:p>
            <w:pPr>
              <w:pStyle w:val="73"/>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0.01</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0.1</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73"/>
              <w:rPr>
                <w:rFonts w:hint="default" w:ascii="Times New Roman" w:hAnsi="Times New Roman" w:eastAsia="宋体" w:cs="Times New Roman"/>
                <w:color w:val="auto"/>
                <w:szCs w:val="24"/>
                <w:u w:val="none"/>
                <w:lang w:val="en-US" w:eastAsia="zh-CN"/>
              </w:rPr>
            </w:pPr>
            <w:r>
              <w:rPr>
                <w:rFonts w:hint="default" w:ascii="Times New Roman" w:hAnsi="Times New Roman" w:cs="Times New Roman"/>
                <w:color w:val="auto"/>
                <w:szCs w:val="24"/>
                <w:u w:val="none"/>
              </w:rPr>
              <w:t>流量</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r>
              <w:rPr>
                <w:rFonts w:hint="eastAsia" w:ascii="Times New Roman" w:hAnsi="Times New Roman" w:cs="Times New Roman"/>
                <w:color w:val="auto"/>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68.0</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73"/>
              <w:rPr>
                <w:rFonts w:hint="default" w:ascii="Times New Roman" w:hAnsi="Times New Roman" w:eastAsia="宋体" w:cs="Times New Roman"/>
                <w:b/>
                <w:color w:val="auto"/>
                <w:u w:val="none"/>
                <w:lang w:val="en-US" w:eastAsia="zh-CN"/>
              </w:rPr>
            </w:pPr>
            <w:r>
              <w:rPr>
                <w:rFonts w:hint="default" w:ascii="Times New Roman" w:hAnsi="Times New Roman" w:cs="Times New Roman"/>
                <w:color w:val="auto"/>
                <w:u w:val="none"/>
              </w:rPr>
              <w:t>流速</w:t>
            </w:r>
            <w:r>
              <w:rPr>
                <w:rFonts w:hint="eastAsia"/>
                <w:color w:val="auto"/>
                <w:lang w:eastAsia="zh-CN"/>
              </w:rPr>
              <w:t>（</w:t>
            </w:r>
            <w:r>
              <w:rPr>
                <w:rFonts w:hint="default" w:ascii="Times New Roman" w:hAnsi="Times New Roman" w:cs="Times New Roman"/>
                <w:color w:val="auto"/>
                <w:lang w:val="en-US" w:eastAsia="zh-CN"/>
              </w:rPr>
              <w:t>m/s</w:t>
            </w:r>
            <w:r>
              <w:rPr>
                <w:rFonts w:hint="eastAsia"/>
                <w:color w:val="auto"/>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0.10</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73"/>
              <w:rPr>
                <w:rFonts w:hint="eastAsia" w:ascii="Times New Roman" w:hAnsi="Times New Roman" w:eastAsia="宋体" w:cs="Times New Roman"/>
                <w:color w:val="auto"/>
                <w:szCs w:val="24"/>
                <w:u w:val="none"/>
                <w:lang w:val="en-US" w:eastAsia="zh-CN"/>
              </w:rPr>
            </w:pPr>
            <w:r>
              <w:rPr>
                <w:rFonts w:hint="default" w:ascii="Times New Roman" w:hAnsi="Times New Roman" w:cs="Times New Roman"/>
                <w:color w:val="auto"/>
                <w:u w:val="none"/>
              </w:rPr>
              <w:t>水温</w:t>
            </w:r>
            <w:r>
              <w:rPr>
                <w:rFonts w:hint="eastAsia"/>
                <w:color w:val="auto"/>
                <w:lang w:eastAsia="zh-CN"/>
              </w:rPr>
              <w:t>（</w:t>
            </w:r>
            <w:r>
              <w:rPr>
                <w:rFonts w:hint="default" w:ascii="Times New Roman" w:hAnsi="Times New Roman" w:eastAsia="宋体" w:cs="Times New Roman"/>
                <w:color w:val="auto"/>
              </w:rPr>
              <w:t>℃</w:t>
            </w:r>
            <w:r>
              <w:rPr>
                <w:rFonts w:hint="eastAsia"/>
                <w:color w:val="auto"/>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12.9</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73"/>
              <w:rPr>
                <w:rFonts w:hint="default" w:ascii="Times New Roman" w:hAnsi="Times New Roman" w:eastAsia="宋体" w:cs="Times New Roman"/>
                <w:color w:val="auto"/>
                <w:szCs w:val="24"/>
                <w:u w:val="none"/>
                <w:lang w:val="en-US" w:eastAsia="zh-CN"/>
              </w:rPr>
            </w:pPr>
            <w:r>
              <w:rPr>
                <w:rFonts w:hint="default" w:ascii="Times New Roman" w:hAnsi="Times New Roman" w:cs="Times New Roman"/>
                <w:color w:val="auto"/>
                <w:szCs w:val="24"/>
                <w:u w:val="none"/>
              </w:rPr>
              <w:t>水深</w:t>
            </w:r>
            <w:r>
              <w:rPr>
                <w:rFonts w:hint="eastAsia" w:ascii="Times New Roman" w:hAnsi="Times New Roman" w:cs="Times New Roman"/>
                <w:color w:val="auto"/>
                <w:szCs w:val="24"/>
                <w:u w:val="none"/>
                <w:lang w:eastAsia="zh-CN"/>
              </w:rPr>
              <w:t>（</w:t>
            </w:r>
            <w:r>
              <w:rPr>
                <w:rFonts w:hint="default" w:ascii="Times New Roman" w:hAnsi="Times New Roman" w:cs="Times New Roman"/>
                <w:color w:val="auto"/>
                <w:lang w:val="en-US" w:eastAsia="zh-CN"/>
              </w:rPr>
              <w:t>m</w:t>
            </w:r>
            <w:r>
              <w:rPr>
                <w:rFonts w:hint="eastAsia" w:ascii="Times New Roman" w:hAnsi="Times New Roman" w:cs="Times New Roman"/>
                <w:color w:val="auto"/>
                <w:szCs w:val="24"/>
                <w:u w:val="none"/>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5.7</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73"/>
              <w:rPr>
                <w:rFonts w:hint="default" w:ascii="Times New Roman" w:hAnsi="Times New Roman" w:eastAsia="宋体" w:cs="Times New Roman"/>
                <w:color w:val="auto"/>
                <w:szCs w:val="24"/>
                <w:u w:val="none"/>
                <w:lang w:val="en-US" w:eastAsia="zh-CN"/>
              </w:rPr>
            </w:pPr>
            <w:r>
              <w:rPr>
                <w:rFonts w:hint="default" w:ascii="Times New Roman" w:hAnsi="Times New Roman" w:cs="Times New Roman"/>
                <w:color w:val="auto"/>
                <w:u w:val="none"/>
              </w:rPr>
              <w:t>河宽</w:t>
            </w:r>
            <w:r>
              <w:rPr>
                <w:rFonts w:hint="eastAsia" w:ascii="Times New Roman" w:hAnsi="Times New Roman" w:cs="Times New Roman"/>
                <w:color w:val="auto"/>
                <w:u w:val="none"/>
                <w:lang w:eastAsia="zh-CN"/>
              </w:rPr>
              <w:t>（</w:t>
            </w:r>
            <w:r>
              <w:rPr>
                <w:rFonts w:hint="default" w:ascii="Times New Roman" w:hAnsi="Times New Roman" w:cs="Times New Roman"/>
                <w:color w:val="auto"/>
                <w:lang w:val="en-US" w:eastAsia="zh-CN"/>
              </w:rPr>
              <w:t>m</w:t>
            </w:r>
            <w:r>
              <w:rPr>
                <w:rFonts w:hint="eastAsia" w:ascii="Times New Roman" w:hAnsi="Times New Roman" w:cs="Times New Roman"/>
                <w:color w:val="auto"/>
                <w:u w:val="none"/>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33</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restart"/>
            <w:noWrap w:val="0"/>
            <w:vAlign w:val="center"/>
          </w:tcPr>
          <w:p>
            <w:pPr>
              <w:pStyle w:val="73"/>
              <w:jc w:val="both"/>
              <w:rPr>
                <w:rFonts w:hint="default" w:ascii="Times New Roman" w:hAnsi="Times New Roman" w:cs="Times New Roman"/>
                <w:bCs/>
                <w:color w:val="auto"/>
                <w:u w:val="none"/>
              </w:rPr>
            </w:pPr>
            <w:r>
              <w:rPr>
                <w:rFonts w:hint="eastAsia" w:cs="Times New Roman"/>
                <w:bCs/>
                <w:color w:val="auto"/>
                <w:u w:val="none"/>
                <w:lang w:val="en-US" w:eastAsia="zh-CN"/>
              </w:rPr>
              <w:t>猛洞河，</w:t>
            </w:r>
            <w:r>
              <w:rPr>
                <w:rFonts w:hint="default" w:ascii="Times New Roman" w:hAnsi="Times New Roman" w:cs="Times New Roman"/>
                <w:bCs/>
                <w:color w:val="auto"/>
                <w:u w:val="none"/>
                <w:lang w:val="en-US" w:eastAsia="zh-CN"/>
              </w:rPr>
              <w:t>排污口下游1000m处W</w:t>
            </w:r>
            <w:r>
              <w:rPr>
                <w:rFonts w:hint="eastAsia" w:ascii="Times New Roman" w:hAnsi="Times New Roman" w:cs="Times New Roman"/>
                <w:bCs/>
                <w:color w:val="auto"/>
                <w:u w:val="none"/>
                <w:lang w:val="en-US" w:eastAsia="zh-CN"/>
              </w:rPr>
              <w:t>4</w:t>
            </w:r>
          </w:p>
        </w:tc>
        <w:tc>
          <w:tcPr>
            <w:tcW w:w="881" w:type="pct"/>
            <w:noWrap w:val="0"/>
            <w:vAlign w:val="center"/>
          </w:tcPr>
          <w:p>
            <w:pPr>
              <w:pStyle w:val="113"/>
              <w:bidi w:val="0"/>
              <w:ind w:firstLine="0" w:firstLineChars="0"/>
              <w:rPr>
                <w:rFonts w:hint="default" w:ascii="Times New Roman" w:hAnsi="Times New Roman" w:cs="Times New Roman"/>
                <w:b/>
                <w:bCs/>
                <w:color w:val="auto"/>
                <w:u w:val="none"/>
              </w:rPr>
            </w:pPr>
            <w:r>
              <w:rPr>
                <w:rFonts w:hint="eastAsia"/>
                <w:color w:val="auto"/>
                <w:lang w:val="en-US" w:eastAsia="zh-CN"/>
              </w:rPr>
              <w:t>总氮</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0.96~0.98</w:t>
            </w:r>
          </w:p>
        </w:tc>
        <w:tc>
          <w:tcPr>
            <w:tcW w:w="556"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1.0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ind w:firstLine="0" w:firstLineChars="0"/>
              <w:rPr>
                <w:rFonts w:hint="default" w:ascii="Times New Roman" w:hAnsi="Times New Roman" w:eastAsia="仿宋_GB2312" w:cs="Times New Roman"/>
                <w:b/>
                <w:bCs/>
                <w:color w:val="auto"/>
                <w:u w:val="none"/>
              </w:rPr>
            </w:pPr>
            <w:r>
              <w:rPr>
                <w:rFonts w:hint="eastAsia"/>
                <w:color w:val="auto"/>
                <w:lang w:val="en-US" w:eastAsia="zh-CN"/>
              </w:rPr>
              <w:t>氯化物</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4.36~4.57</w:t>
            </w:r>
          </w:p>
        </w:tc>
        <w:tc>
          <w:tcPr>
            <w:tcW w:w="556"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250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ind w:firstLine="0" w:firstLineChars="0"/>
              <w:rPr>
                <w:rFonts w:hint="default" w:ascii="Times New Roman" w:hAnsi="Times New Roman" w:eastAsia="仿宋_GB2312" w:cs="Times New Roman"/>
                <w:b/>
                <w:bCs/>
                <w:color w:val="auto"/>
                <w:u w:val="none"/>
              </w:rPr>
            </w:pPr>
            <w:r>
              <w:rPr>
                <w:rFonts w:hint="eastAsia"/>
                <w:color w:val="auto"/>
                <w:lang w:val="en-US" w:eastAsia="zh-CN"/>
              </w:rPr>
              <w:t>硫化物</w:t>
            </w:r>
          </w:p>
        </w:tc>
        <w:tc>
          <w:tcPr>
            <w:tcW w:w="1020" w:type="pct"/>
            <w:noWrap w:val="0"/>
            <w:vAlign w:val="center"/>
          </w:tcPr>
          <w:p>
            <w:pPr>
              <w:pStyle w:val="73"/>
              <w:ind w:firstLine="0" w:firstLineChars="0"/>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0.005L</w:t>
            </w:r>
          </w:p>
        </w:tc>
        <w:tc>
          <w:tcPr>
            <w:tcW w:w="556"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0.2</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ind w:firstLine="0" w:firstLineChars="0"/>
              <w:rPr>
                <w:rFonts w:hint="default" w:ascii="Times New Roman" w:hAnsi="Times New Roman" w:eastAsia="仿宋_GB2312" w:cs="Times New Roman"/>
                <w:b/>
                <w:bCs/>
                <w:color w:val="auto"/>
                <w:u w:val="none"/>
              </w:rPr>
            </w:pPr>
            <w:r>
              <w:rPr>
                <w:rFonts w:hint="eastAsia"/>
                <w:color w:val="auto"/>
                <w:lang w:val="en-US" w:eastAsia="zh-CN"/>
              </w:rPr>
              <w:t>硫酸盐</w:t>
            </w:r>
          </w:p>
        </w:tc>
        <w:tc>
          <w:tcPr>
            <w:tcW w:w="1020" w:type="pct"/>
            <w:noWrap w:val="0"/>
            <w:vAlign w:val="center"/>
          </w:tcPr>
          <w:p>
            <w:pPr>
              <w:pStyle w:val="73"/>
              <w:ind w:firstLine="0" w:firstLineChars="0"/>
              <w:rPr>
                <w:rFonts w:hint="default" w:ascii="Times New Roman" w:hAnsi="Times New Roman" w:cs="Times New Roman"/>
                <w:bCs/>
                <w:color w:val="auto"/>
                <w:u w:val="none"/>
                <w:lang w:val="en-US"/>
              </w:rPr>
            </w:pPr>
            <w:r>
              <w:rPr>
                <w:rFonts w:hint="eastAsia" w:ascii="Times New Roman" w:hAnsi="Times New Roman" w:cs="Times New Roman"/>
                <w:bCs/>
                <w:color w:val="auto"/>
                <w:u w:val="none"/>
                <w:lang w:val="en-US" w:eastAsia="zh-CN"/>
              </w:rPr>
              <w:t>24.1~24.4</w:t>
            </w:r>
          </w:p>
        </w:tc>
        <w:tc>
          <w:tcPr>
            <w:tcW w:w="556"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250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ind w:firstLine="0" w:firstLineChars="0"/>
              <w:rPr>
                <w:rFonts w:hint="default" w:ascii="Times New Roman" w:hAnsi="Times New Roman" w:cs="Times New Roman"/>
                <w:color w:val="auto"/>
                <w:u w:val="none"/>
              </w:rPr>
            </w:pPr>
            <w:r>
              <w:rPr>
                <w:rFonts w:hint="eastAsia"/>
                <w:color w:val="auto"/>
                <w:lang w:val="en-US" w:eastAsia="zh-CN"/>
              </w:rPr>
              <w:t>铜</w:t>
            </w:r>
          </w:p>
        </w:tc>
        <w:tc>
          <w:tcPr>
            <w:tcW w:w="1020" w:type="pct"/>
            <w:noWrap w:val="0"/>
            <w:vAlign w:val="center"/>
          </w:tcPr>
          <w:p>
            <w:pPr>
              <w:pStyle w:val="73"/>
              <w:ind w:firstLine="0" w:firstLineChars="0"/>
              <w:rPr>
                <w:rFonts w:hint="default" w:ascii="Times New Roman" w:hAnsi="Times New Roman" w:cs="Times New Roman"/>
                <w:bCs/>
                <w:color w:val="auto"/>
                <w:u w:val="none"/>
                <w:lang w:val="en-US"/>
              </w:rPr>
            </w:pPr>
            <w:r>
              <w:rPr>
                <w:rFonts w:hint="eastAsia" w:ascii="Times New Roman" w:hAnsi="Times New Roman" w:cs="Times New Roman"/>
                <w:bCs/>
                <w:color w:val="auto"/>
                <w:u w:val="none"/>
                <w:lang w:val="en-US" w:eastAsia="zh-CN"/>
              </w:rPr>
              <w:t>0.003</w:t>
            </w:r>
          </w:p>
        </w:tc>
        <w:tc>
          <w:tcPr>
            <w:tcW w:w="556"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1.0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ind w:firstLine="0" w:firstLineChars="0"/>
              <w:rPr>
                <w:rFonts w:hint="default" w:ascii="Times New Roman" w:hAnsi="Times New Roman" w:cs="Times New Roman"/>
                <w:color w:val="auto"/>
                <w:u w:val="none"/>
              </w:rPr>
            </w:pPr>
            <w:r>
              <w:rPr>
                <w:rFonts w:hint="eastAsia"/>
                <w:color w:val="auto"/>
                <w:lang w:val="en-US" w:eastAsia="zh-CN"/>
              </w:rPr>
              <w:t>锌</w:t>
            </w:r>
          </w:p>
        </w:tc>
        <w:tc>
          <w:tcPr>
            <w:tcW w:w="1020"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0.05L</w:t>
            </w:r>
          </w:p>
        </w:tc>
        <w:tc>
          <w:tcPr>
            <w:tcW w:w="556"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color w:val="auto"/>
                <w:u w:val="none"/>
              </w:rPr>
              <w:t>≤</w:t>
            </w:r>
            <w:r>
              <w:rPr>
                <w:rFonts w:hint="default" w:ascii="Times New Roman" w:hAnsi="Times New Roman" w:cs="Times New Roman"/>
                <w:bCs/>
                <w:color w:val="auto"/>
                <w:u w:val="none"/>
              </w:rPr>
              <w:t>1.0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ind w:firstLine="0" w:firstLineChars="0"/>
              <w:rPr>
                <w:rFonts w:hint="default" w:ascii="Times New Roman" w:hAnsi="Times New Roman" w:cs="Times New Roman"/>
                <w:b/>
                <w:color w:val="auto"/>
                <w:u w:val="none"/>
              </w:rPr>
            </w:pPr>
            <w:r>
              <w:rPr>
                <w:rFonts w:hint="eastAsia"/>
                <w:color w:val="auto"/>
                <w:lang w:val="en-US" w:eastAsia="zh-CN"/>
              </w:rPr>
              <w:t>砷</w:t>
            </w:r>
          </w:p>
        </w:tc>
        <w:tc>
          <w:tcPr>
            <w:tcW w:w="1020" w:type="pct"/>
            <w:noWrap w:val="0"/>
            <w:vAlign w:val="center"/>
          </w:tcPr>
          <w:p>
            <w:pPr>
              <w:pStyle w:val="73"/>
              <w:ind w:firstLine="0" w:firstLineChars="0"/>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0.0003</w:t>
            </w:r>
            <w:r>
              <w:rPr>
                <w:rFonts w:hint="default" w:ascii="Times New Roman" w:hAnsi="Times New Roman" w:cs="Times New Roman"/>
                <w:bCs/>
                <w:color w:val="auto"/>
                <w:u w:val="none"/>
                <w:lang w:val="en-US" w:eastAsia="zh-CN"/>
              </w:rPr>
              <w:t>L</w:t>
            </w:r>
          </w:p>
        </w:tc>
        <w:tc>
          <w:tcPr>
            <w:tcW w:w="556"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0.05</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ind w:firstLine="0" w:firstLineChars="0"/>
              <w:rPr>
                <w:rFonts w:hint="default" w:ascii="Times New Roman" w:hAnsi="Times New Roman" w:cs="Times New Roman"/>
                <w:b/>
                <w:color w:val="auto"/>
                <w:u w:val="none"/>
              </w:rPr>
            </w:pPr>
            <w:r>
              <w:rPr>
                <w:rFonts w:hint="eastAsia"/>
                <w:color w:val="auto"/>
                <w:lang w:val="en-US" w:eastAsia="zh-CN"/>
              </w:rPr>
              <w:t>铅</w:t>
            </w:r>
          </w:p>
        </w:tc>
        <w:tc>
          <w:tcPr>
            <w:tcW w:w="1020" w:type="pct"/>
            <w:noWrap w:val="0"/>
            <w:vAlign w:val="center"/>
          </w:tcPr>
          <w:p>
            <w:pPr>
              <w:pStyle w:val="73"/>
              <w:ind w:firstLine="0" w:firstLineChars="0"/>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0.01</w:t>
            </w:r>
            <w:r>
              <w:rPr>
                <w:rFonts w:hint="default" w:ascii="Times New Roman" w:hAnsi="Times New Roman" w:cs="Times New Roman"/>
                <w:bCs/>
                <w:color w:val="auto"/>
                <w:u w:val="none"/>
                <w:lang w:val="en-US" w:eastAsia="zh-CN"/>
              </w:rPr>
              <w:t>L</w:t>
            </w:r>
          </w:p>
        </w:tc>
        <w:tc>
          <w:tcPr>
            <w:tcW w:w="556"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0.05</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ind w:firstLine="0" w:firstLineChars="0"/>
              <w:rPr>
                <w:rFonts w:hint="default" w:ascii="Times New Roman" w:hAnsi="Times New Roman" w:cs="Times New Roman"/>
                <w:b/>
                <w:color w:val="auto"/>
                <w:u w:val="none"/>
              </w:rPr>
            </w:pPr>
            <w:r>
              <w:rPr>
                <w:rFonts w:hint="eastAsia"/>
                <w:color w:val="auto"/>
                <w:lang w:val="en-US" w:eastAsia="zh-CN"/>
              </w:rPr>
              <w:t>六价铬</w:t>
            </w:r>
          </w:p>
        </w:tc>
        <w:tc>
          <w:tcPr>
            <w:tcW w:w="1020" w:type="pct"/>
            <w:noWrap w:val="0"/>
            <w:vAlign w:val="center"/>
          </w:tcPr>
          <w:p>
            <w:pPr>
              <w:pStyle w:val="73"/>
              <w:ind w:firstLine="0" w:firstLineChars="0"/>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0.004</w:t>
            </w:r>
            <w:r>
              <w:rPr>
                <w:rFonts w:hint="default" w:ascii="Times New Roman" w:hAnsi="Times New Roman" w:cs="Times New Roman"/>
                <w:bCs/>
                <w:color w:val="auto"/>
                <w:u w:val="none"/>
                <w:lang w:val="en-US" w:eastAsia="zh-CN"/>
              </w:rPr>
              <w:t>L</w:t>
            </w:r>
          </w:p>
        </w:tc>
        <w:tc>
          <w:tcPr>
            <w:tcW w:w="556"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0.05</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ind w:firstLine="0" w:firstLineChars="0"/>
              <w:rPr>
                <w:rFonts w:hint="default" w:ascii="Times New Roman" w:hAnsi="Times New Roman" w:cs="Times New Roman"/>
                <w:color w:val="auto"/>
                <w:szCs w:val="24"/>
                <w:u w:val="none"/>
              </w:rPr>
            </w:pPr>
            <w:r>
              <w:rPr>
                <w:rFonts w:hint="eastAsia"/>
                <w:color w:val="auto"/>
                <w:lang w:val="en-US" w:eastAsia="zh-CN"/>
              </w:rPr>
              <w:t>镉</w:t>
            </w:r>
          </w:p>
        </w:tc>
        <w:tc>
          <w:tcPr>
            <w:tcW w:w="1020" w:type="pct"/>
            <w:noWrap w:val="0"/>
            <w:vAlign w:val="center"/>
          </w:tcPr>
          <w:p>
            <w:pPr>
              <w:pStyle w:val="73"/>
              <w:ind w:firstLine="0" w:firstLineChars="0"/>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0.001</w:t>
            </w:r>
            <w:r>
              <w:rPr>
                <w:rFonts w:hint="default" w:ascii="Times New Roman" w:hAnsi="Times New Roman" w:cs="Times New Roman"/>
                <w:bCs/>
                <w:color w:val="auto"/>
                <w:u w:val="none"/>
                <w:lang w:val="en-US" w:eastAsia="zh-CN"/>
              </w:rPr>
              <w:t>L</w:t>
            </w:r>
          </w:p>
        </w:tc>
        <w:tc>
          <w:tcPr>
            <w:tcW w:w="556"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0.005</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ind w:firstLine="0" w:firstLineChars="0"/>
              <w:rPr>
                <w:rFonts w:hint="default" w:ascii="Times New Roman" w:hAnsi="Times New Roman" w:cs="Times New Roman"/>
                <w:color w:val="auto"/>
                <w:szCs w:val="24"/>
                <w:u w:val="none"/>
              </w:rPr>
            </w:pPr>
            <w:r>
              <w:rPr>
                <w:rFonts w:hint="eastAsia"/>
                <w:color w:val="auto"/>
                <w:lang w:val="en-US" w:eastAsia="zh-CN"/>
              </w:rPr>
              <w:t>锰</w:t>
            </w:r>
          </w:p>
        </w:tc>
        <w:tc>
          <w:tcPr>
            <w:tcW w:w="1020" w:type="pct"/>
            <w:noWrap w:val="0"/>
            <w:vAlign w:val="center"/>
          </w:tcPr>
          <w:p>
            <w:pPr>
              <w:pStyle w:val="73"/>
              <w:ind w:firstLine="0" w:firstLineChars="0"/>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0.01</w:t>
            </w:r>
            <w:r>
              <w:rPr>
                <w:rFonts w:hint="default" w:ascii="Times New Roman" w:hAnsi="Times New Roman" w:cs="Times New Roman"/>
                <w:bCs/>
                <w:color w:val="auto"/>
                <w:u w:val="none"/>
                <w:lang w:val="en-US" w:eastAsia="zh-CN"/>
              </w:rPr>
              <w:t>L</w:t>
            </w:r>
          </w:p>
        </w:tc>
        <w:tc>
          <w:tcPr>
            <w:tcW w:w="556"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0.1</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1503" w:type="dxa"/>
            <w:noWrap w:val="0"/>
            <w:vAlign w:val="center"/>
          </w:tcPr>
          <w:p>
            <w:pPr>
              <w:pStyle w:val="73"/>
              <w:ind w:firstLine="0" w:firstLineChars="0"/>
              <w:rPr>
                <w:rFonts w:hint="default" w:ascii="Times New Roman" w:hAnsi="Times New Roman" w:cs="Times New Roman"/>
                <w:color w:val="auto"/>
                <w:szCs w:val="24"/>
                <w:u w:val="none"/>
              </w:rPr>
            </w:pPr>
            <w:r>
              <w:rPr>
                <w:rFonts w:hint="default" w:ascii="Times New Roman" w:hAnsi="Times New Roman" w:cs="Times New Roman"/>
                <w:color w:val="auto"/>
                <w:szCs w:val="24"/>
                <w:u w:val="none"/>
              </w:rPr>
              <w:t>流量</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r>
              <w:rPr>
                <w:rFonts w:hint="eastAsia" w:ascii="Times New Roman" w:hAnsi="Times New Roman" w:cs="Times New Roman"/>
                <w:color w:val="auto"/>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90.0</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1503" w:type="dxa"/>
            <w:noWrap w:val="0"/>
            <w:vAlign w:val="center"/>
          </w:tcPr>
          <w:p>
            <w:pPr>
              <w:pStyle w:val="73"/>
              <w:ind w:firstLine="0" w:firstLineChars="0"/>
              <w:rPr>
                <w:rFonts w:hint="default" w:ascii="Times New Roman" w:hAnsi="Times New Roman" w:cs="Times New Roman"/>
                <w:b/>
                <w:color w:val="auto"/>
                <w:u w:val="none"/>
              </w:rPr>
            </w:pPr>
            <w:r>
              <w:rPr>
                <w:rFonts w:hint="default" w:ascii="Times New Roman" w:hAnsi="Times New Roman" w:cs="Times New Roman"/>
                <w:color w:val="auto"/>
                <w:u w:val="none"/>
              </w:rPr>
              <w:t>流速</w:t>
            </w:r>
            <w:r>
              <w:rPr>
                <w:rFonts w:hint="eastAsia"/>
                <w:color w:val="auto"/>
                <w:lang w:eastAsia="zh-CN"/>
              </w:rPr>
              <w:t>（</w:t>
            </w:r>
            <w:r>
              <w:rPr>
                <w:rFonts w:hint="default" w:ascii="Times New Roman" w:hAnsi="Times New Roman" w:cs="Times New Roman"/>
                <w:color w:val="auto"/>
                <w:lang w:val="en-US" w:eastAsia="zh-CN"/>
              </w:rPr>
              <w:t>m/s</w:t>
            </w:r>
            <w:r>
              <w:rPr>
                <w:rFonts w:hint="eastAsia"/>
                <w:color w:val="auto"/>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0.13</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1503" w:type="dxa"/>
            <w:noWrap w:val="0"/>
            <w:vAlign w:val="center"/>
          </w:tcPr>
          <w:p>
            <w:pPr>
              <w:pStyle w:val="73"/>
              <w:ind w:firstLine="0" w:firstLineChars="0"/>
              <w:rPr>
                <w:rFonts w:hint="default" w:ascii="Times New Roman" w:hAnsi="Times New Roman" w:cs="Times New Roman"/>
                <w:color w:val="auto"/>
                <w:szCs w:val="24"/>
                <w:u w:val="none"/>
              </w:rPr>
            </w:pPr>
            <w:r>
              <w:rPr>
                <w:rFonts w:hint="default" w:ascii="Times New Roman" w:hAnsi="Times New Roman" w:cs="Times New Roman"/>
                <w:color w:val="auto"/>
                <w:u w:val="none"/>
              </w:rPr>
              <w:t>水温</w:t>
            </w:r>
            <w:r>
              <w:rPr>
                <w:rFonts w:hint="eastAsia"/>
                <w:color w:val="auto"/>
                <w:lang w:eastAsia="zh-CN"/>
              </w:rPr>
              <w:t>（</w:t>
            </w:r>
            <w:r>
              <w:rPr>
                <w:rFonts w:hint="default" w:ascii="Times New Roman" w:hAnsi="Times New Roman" w:eastAsia="宋体" w:cs="Times New Roman"/>
                <w:color w:val="auto"/>
              </w:rPr>
              <w:t>℃</w:t>
            </w:r>
            <w:r>
              <w:rPr>
                <w:rFonts w:hint="eastAsia"/>
                <w:color w:val="auto"/>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12.1</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1503" w:type="dxa"/>
            <w:noWrap w:val="0"/>
            <w:vAlign w:val="center"/>
          </w:tcPr>
          <w:p>
            <w:pPr>
              <w:pStyle w:val="73"/>
              <w:ind w:firstLine="0" w:firstLineChars="0"/>
              <w:rPr>
                <w:rFonts w:hint="default" w:ascii="Times New Roman" w:hAnsi="Times New Roman" w:cs="Times New Roman"/>
                <w:color w:val="auto"/>
                <w:szCs w:val="24"/>
                <w:u w:val="none"/>
              </w:rPr>
            </w:pPr>
            <w:r>
              <w:rPr>
                <w:rFonts w:hint="default" w:ascii="Times New Roman" w:hAnsi="Times New Roman" w:cs="Times New Roman"/>
                <w:color w:val="auto"/>
                <w:szCs w:val="24"/>
                <w:u w:val="none"/>
              </w:rPr>
              <w:t>水深</w:t>
            </w:r>
            <w:r>
              <w:rPr>
                <w:rFonts w:hint="eastAsia" w:ascii="Times New Roman" w:hAnsi="Times New Roman" w:cs="Times New Roman"/>
                <w:color w:val="auto"/>
                <w:szCs w:val="24"/>
                <w:u w:val="none"/>
                <w:lang w:eastAsia="zh-CN"/>
              </w:rPr>
              <w:t>（</w:t>
            </w:r>
            <w:r>
              <w:rPr>
                <w:rFonts w:hint="default" w:ascii="Times New Roman" w:hAnsi="Times New Roman" w:cs="Times New Roman"/>
                <w:color w:val="auto"/>
                <w:lang w:val="en-US" w:eastAsia="zh-CN"/>
              </w:rPr>
              <w:t>m</w:t>
            </w:r>
            <w:r>
              <w:rPr>
                <w:rFonts w:hint="eastAsia" w:ascii="Times New Roman" w:hAnsi="Times New Roman" w:cs="Times New Roman"/>
                <w:color w:val="auto"/>
                <w:szCs w:val="24"/>
                <w:u w:val="none"/>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6.2</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1503" w:type="dxa"/>
            <w:noWrap w:val="0"/>
            <w:vAlign w:val="center"/>
          </w:tcPr>
          <w:p>
            <w:pPr>
              <w:pStyle w:val="73"/>
              <w:ind w:firstLine="0" w:firstLineChars="0"/>
              <w:rPr>
                <w:rFonts w:hint="default" w:ascii="Times New Roman" w:hAnsi="Times New Roman" w:cs="Times New Roman"/>
                <w:color w:val="auto"/>
                <w:szCs w:val="24"/>
                <w:u w:val="none"/>
              </w:rPr>
            </w:pPr>
            <w:r>
              <w:rPr>
                <w:rFonts w:hint="default" w:ascii="Times New Roman" w:hAnsi="Times New Roman" w:cs="Times New Roman"/>
                <w:color w:val="auto"/>
                <w:u w:val="none"/>
              </w:rPr>
              <w:t>河宽</w:t>
            </w:r>
            <w:r>
              <w:rPr>
                <w:rFonts w:hint="eastAsia" w:ascii="Times New Roman" w:hAnsi="Times New Roman" w:cs="Times New Roman"/>
                <w:color w:val="auto"/>
                <w:u w:val="none"/>
                <w:lang w:eastAsia="zh-CN"/>
              </w:rPr>
              <w:t>（</w:t>
            </w:r>
            <w:r>
              <w:rPr>
                <w:rFonts w:hint="default" w:ascii="Times New Roman" w:hAnsi="Times New Roman" w:cs="Times New Roman"/>
                <w:color w:val="auto"/>
                <w:lang w:val="en-US" w:eastAsia="zh-CN"/>
              </w:rPr>
              <w:t>m</w:t>
            </w:r>
            <w:r>
              <w:rPr>
                <w:rFonts w:hint="eastAsia" w:ascii="Times New Roman" w:hAnsi="Times New Roman" w:cs="Times New Roman"/>
                <w:color w:val="auto"/>
                <w:u w:val="none"/>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31</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restar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污水处理厂拟建排污口处W</w:t>
            </w:r>
            <w:r>
              <w:rPr>
                <w:rFonts w:hint="eastAsia" w:ascii="Times New Roman" w:hAnsi="Times New Roman" w:cs="Times New Roman"/>
                <w:bCs/>
                <w:color w:val="auto"/>
                <w:u w:val="none"/>
                <w:lang w:val="en-US" w:eastAsia="zh-CN"/>
              </w:rPr>
              <w:t>5</w:t>
            </w:r>
          </w:p>
        </w:tc>
        <w:tc>
          <w:tcPr>
            <w:tcW w:w="881" w:type="pct"/>
            <w:noWrap w:val="0"/>
            <w:vAlign w:val="center"/>
          </w:tcPr>
          <w:p>
            <w:pPr>
              <w:pStyle w:val="113"/>
              <w:bidi w:val="0"/>
              <w:rPr>
                <w:rFonts w:hint="default"/>
                <w:color w:val="auto"/>
              </w:rPr>
            </w:pPr>
            <w:r>
              <w:rPr>
                <w:rFonts w:hint="eastAsia"/>
                <w:color w:val="auto"/>
              </w:rPr>
              <w:t>pH</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7.3~7.4</w:t>
            </w:r>
          </w:p>
        </w:tc>
        <w:tc>
          <w:tcPr>
            <w:tcW w:w="556"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6~9</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溶解氧</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7.04~7.33</w:t>
            </w:r>
          </w:p>
        </w:tc>
        <w:tc>
          <w:tcPr>
            <w:tcW w:w="556" w:type="pct"/>
            <w:noWrap w:val="0"/>
            <w:vAlign w:val="center"/>
          </w:tcPr>
          <w:p>
            <w:pPr>
              <w:pStyle w:val="73"/>
              <w:rPr>
                <w:rFonts w:hint="eastAsia" w:ascii="Times New Roman" w:hAnsi="Times New Roman" w:eastAsia="宋体" w:cs="Times New Roman"/>
                <w:bCs/>
                <w:color w:val="auto"/>
                <w:u w:val="none"/>
                <w:lang w:eastAsia="zh-CN"/>
              </w:rPr>
            </w:pPr>
            <w:r>
              <w:rPr>
                <w:rFonts w:hint="eastAsia" w:ascii="宋体" w:hAnsi="宋体" w:eastAsia="宋体" w:cs="宋体"/>
                <w:color w:val="auto"/>
                <w:u w:val="none"/>
              </w:rPr>
              <w:t>≧</w:t>
            </w:r>
            <w:r>
              <w:rPr>
                <w:rFonts w:hint="eastAsia" w:ascii="Times New Roman" w:hAnsi="Times New Roman" w:eastAsia="宋体" w:cs="Times New Roman"/>
                <w:bCs/>
                <w:color w:val="auto"/>
                <w:u w:val="none"/>
                <w:lang w:val="en-US" w:eastAsia="zh-CN"/>
              </w:rPr>
              <w:t>5</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高锰酸盐指数</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1.58~1.61</w:t>
            </w:r>
          </w:p>
        </w:tc>
        <w:tc>
          <w:tcPr>
            <w:tcW w:w="556" w:type="pct"/>
            <w:noWrap w:val="0"/>
            <w:vAlign w:val="center"/>
          </w:tcPr>
          <w:p>
            <w:pPr>
              <w:pStyle w:val="73"/>
              <w:rPr>
                <w:rFonts w:hint="eastAsia" w:ascii="Times New Roman" w:hAnsi="Times New Roman" w:eastAsia="宋体" w:cs="Times New Roman"/>
                <w:bCs/>
                <w:color w:val="auto"/>
                <w:u w:val="none"/>
                <w:lang w:eastAsia="zh-CN"/>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6</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default"/>
                <w:color w:val="auto"/>
                <w:lang w:val="en-US" w:eastAsia="zh-CN"/>
              </w:rPr>
              <w:t>CODcr</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5~9</w:t>
            </w:r>
          </w:p>
        </w:tc>
        <w:tc>
          <w:tcPr>
            <w:tcW w:w="556" w:type="pct"/>
            <w:noWrap w:val="0"/>
            <w:vAlign w:val="center"/>
          </w:tcPr>
          <w:p>
            <w:pPr>
              <w:pStyle w:val="73"/>
              <w:rPr>
                <w:rFonts w:hint="default" w:ascii="Times New Roman" w:hAnsi="Times New Roman" w:eastAsia="宋体" w:cs="Times New Roman"/>
                <w:bCs/>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20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BOD</w:t>
            </w:r>
            <w:r>
              <w:rPr>
                <w:rFonts w:hint="eastAsia"/>
                <w:color w:val="auto"/>
                <w:vertAlign w:val="subscript"/>
                <w:lang w:val="en-US" w:eastAsia="zh-CN"/>
              </w:rPr>
              <w:t>5</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2.3~2.5</w:t>
            </w:r>
          </w:p>
        </w:tc>
        <w:tc>
          <w:tcPr>
            <w:tcW w:w="556" w:type="pct"/>
            <w:noWrap w:val="0"/>
            <w:vAlign w:val="center"/>
          </w:tcPr>
          <w:p>
            <w:pPr>
              <w:pStyle w:val="73"/>
              <w:rPr>
                <w:rFonts w:hint="eastAsia" w:ascii="Times New Roman" w:hAnsi="Times New Roman" w:eastAsia="宋体" w:cs="Times New Roman"/>
                <w:bCs/>
                <w:color w:val="auto"/>
                <w:u w:val="none"/>
                <w:lang w:eastAsia="zh-CN"/>
              </w:rPr>
            </w:pPr>
            <w:r>
              <w:rPr>
                <w:rFonts w:hint="default" w:ascii="Times New Roman" w:hAnsi="Times New Roman" w:cs="Times New Roman"/>
                <w:color w:val="auto"/>
                <w:u w:val="none"/>
              </w:rPr>
              <w:t>≤</w:t>
            </w:r>
            <w:r>
              <w:rPr>
                <w:rFonts w:hint="eastAsia" w:ascii="Times New Roman" w:hAnsi="Times New Roman" w:cs="Times New Roman"/>
                <w:bCs/>
                <w:color w:val="auto"/>
                <w:u w:val="none"/>
                <w:lang w:val="en-US" w:eastAsia="zh-CN"/>
              </w:rPr>
              <w:t>4</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氨氮</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0.686~0.708</w:t>
            </w:r>
          </w:p>
        </w:tc>
        <w:tc>
          <w:tcPr>
            <w:tcW w:w="556"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color w:val="auto"/>
                <w:u w:val="none"/>
              </w:rPr>
              <w:t>≤</w:t>
            </w:r>
            <w:r>
              <w:rPr>
                <w:rFonts w:hint="default" w:ascii="Times New Roman" w:hAnsi="Times New Roman" w:cs="Times New Roman"/>
                <w:bCs/>
                <w:color w:val="auto"/>
                <w:u w:val="none"/>
              </w:rPr>
              <w:t>1.0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总氮</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0.92</w:t>
            </w:r>
          </w:p>
        </w:tc>
        <w:tc>
          <w:tcPr>
            <w:tcW w:w="556" w:type="pct"/>
            <w:noWrap w:val="0"/>
            <w:vAlign w:val="center"/>
          </w:tcPr>
          <w:p>
            <w:pPr>
              <w:pStyle w:val="73"/>
              <w:rPr>
                <w:rFonts w:hint="default" w:ascii="Times New Roman" w:hAnsi="Times New Roman" w:eastAsia="宋体" w:cs="Times New Roman"/>
                <w:bCs/>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1.0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总磷</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0.08</w:t>
            </w:r>
          </w:p>
        </w:tc>
        <w:tc>
          <w:tcPr>
            <w:tcW w:w="556"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color w:val="auto"/>
                <w:u w:val="none"/>
              </w:rPr>
              <w:t>≤0.2</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石油类</w:t>
            </w:r>
          </w:p>
        </w:tc>
        <w:tc>
          <w:tcPr>
            <w:tcW w:w="1020" w:type="pct"/>
            <w:noWrap w:val="0"/>
            <w:vAlign w:val="center"/>
          </w:tcPr>
          <w:p>
            <w:pPr>
              <w:pStyle w:val="73"/>
              <w:rPr>
                <w:rFonts w:hint="default" w:ascii="Times New Roman" w:hAnsi="Times New Roman" w:cs="Times New Roman"/>
                <w:bCs/>
                <w:color w:val="auto"/>
                <w:u w:val="none"/>
              </w:rPr>
            </w:pPr>
            <w:r>
              <w:rPr>
                <w:rFonts w:hint="eastAsia" w:ascii="Times New Roman" w:hAnsi="Times New Roman" w:cs="Times New Roman"/>
                <w:bCs/>
                <w:color w:val="auto"/>
                <w:u w:val="none"/>
                <w:lang w:val="en-US" w:eastAsia="zh-CN"/>
              </w:rPr>
              <w:t>0.01</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0.05</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LAS</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6.33~6.39</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0.2</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粪大肠菌群</w:t>
            </w:r>
          </w:p>
        </w:tc>
        <w:tc>
          <w:tcPr>
            <w:tcW w:w="1020" w:type="pct"/>
            <w:noWrap w:val="0"/>
            <w:vAlign w:val="center"/>
          </w:tcPr>
          <w:p>
            <w:pPr>
              <w:pStyle w:val="73"/>
              <w:rPr>
                <w:rFonts w:hint="default" w:ascii="Times New Roman" w:hAnsi="Times New Roman" w:cs="Times New Roman"/>
                <w:bCs/>
                <w:color w:val="auto"/>
                <w:u w:val="none"/>
                <w:vertAlign w:val="baseline"/>
                <w:lang w:val="en-US"/>
              </w:rPr>
            </w:pPr>
            <w:r>
              <w:rPr>
                <w:rFonts w:hint="default" w:ascii="Times New Roman" w:hAnsi="Times New Roman" w:cs="Times New Roman"/>
                <w:bCs/>
                <w:color w:val="auto"/>
                <w:u w:val="none"/>
                <w:lang w:val="en-US" w:eastAsia="zh-CN"/>
              </w:rPr>
              <w:t>4.1×10</w:t>
            </w:r>
            <w:r>
              <w:rPr>
                <w:rFonts w:hint="default" w:ascii="Times New Roman" w:hAnsi="Times New Roman" w:cs="Times New Roman"/>
                <w:bCs/>
                <w:color w:val="auto"/>
                <w:u w:val="none"/>
                <w:vertAlign w:val="superscript"/>
                <w:lang w:val="en-US" w:eastAsia="zh-CN"/>
              </w:rPr>
              <w:t>2</w:t>
            </w:r>
            <w:r>
              <w:rPr>
                <w:rFonts w:hint="eastAsia" w:ascii="Times New Roman" w:hAnsi="Times New Roman" w:cs="Times New Roman"/>
                <w:bCs/>
                <w:color w:val="auto"/>
                <w:u w:val="none"/>
                <w:vertAlign w:val="baseline"/>
                <w:lang w:val="en-US" w:eastAsia="zh-CN"/>
              </w:rPr>
              <w:t>~4.5×10</w:t>
            </w:r>
            <w:r>
              <w:rPr>
                <w:rFonts w:hint="eastAsia" w:ascii="Times New Roman" w:hAnsi="Times New Roman" w:cs="Times New Roman"/>
                <w:bCs/>
                <w:color w:val="auto"/>
                <w:u w:val="none"/>
                <w:vertAlign w:val="superscript"/>
                <w:lang w:val="en-US" w:eastAsia="zh-CN"/>
              </w:rPr>
              <w:t>2</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10000</w:t>
            </w:r>
          </w:p>
        </w:tc>
        <w:tc>
          <w:tcPr>
            <w:tcW w:w="64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硫化物</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0.005L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0.2</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氯化物</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2.20</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250</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氟化物</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0.045~0.062</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1.0</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硫酸盐</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22.4</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250</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铜</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0.00</w:t>
            </w:r>
            <w:r>
              <w:rPr>
                <w:rFonts w:hint="eastAsia" w:ascii="Times New Roman" w:hAnsi="Times New Roman" w:cs="Times New Roman"/>
                <w:bCs/>
                <w:color w:val="auto"/>
                <w:u w:val="none"/>
                <w:lang w:val="en-US" w:eastAsia="zh-CN"/>
              </w:rPr>
              <w:t>1</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1.0</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锌</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0.05L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1.0</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砷</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0.0</w:t>
            </w:r>
            <w:r>
              <w:rPr>
                <w:rFonts w:hint="eastAsia" w:ascii="Times New Roman" w:hAnsi="Times New Roman" w:cs="Times New Roman"/>
                <w:bCs/>
                <w:color w:val="auto"/>
                <w:u w:val="none"/>
                <w:lang w:val="en-US" w:eastAsia="zh-CN"/>
              </w:rPr>
              <w:t>003</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0.05</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铅</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0.0</w:t>
            </w:r>
            <w:r>
              <w:rPr>
                <w:rFonts w:hint="eastAsia" w:ascii="Times New Roman" w:hAnsi="Times New Roman" w:cs="Times New Roman"/>
                <w:bCs/>
                <w:color w:val="auto"/>
                <w:u w:val="none"/>
                <w:lang w:val="en-US" w:eastAsia="zh-CN"/>
              </w:rPr>
              <w:t>1</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0.05</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六价铬</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0.00</w:t>
            </w:r>
            <w:r>
              <w:rPr>
                <w:rFonts w:hint="eastAsia" w:ascii="Times New Roman" w:hAnsi="Times New Roman" w:cs="Times New Roman"/>
                <w:bCs/>
                <w:color w:val="auto"/>
                <w:u w:val="none"/>
                <w:lang w:val="en-US" w:eastAsia="zh-CN"/>
              </w:rPr>
              <w:t>4</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0.05</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镉</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0.00</w:t>
            </w:r>
            <w:r>
              <w:rPr>
                <w:rFonts w:hint="eastAsia" w:ascii="Times New Roman" w:hAnsi="Times New Roman" w:cs="Times New Roman"/>
                <w:bCs/>
                <w:color w:val="auto"/>
                <w:u w:val="none"/>
                <w:lang w:val="en-US" w:eastAsia="zh-CN"/>
              </w:rPr>
              <w:t>1</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0.005</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881" w:type="pct"/>
            <w:noWrap w:val="0"/>
            <w:vAlign w:val="center"/>
          </w:tcPr>
          <w:p>
            <w:pPr>
              <w:pStyle w:val="113"/>
              <w:bidi w:val="0"/>
              <w:rPr>
                <w:rFonts w:hint="default"/>
                <w:color w:val="auto"/>
              </w:rPr>
            </w:pPr>
            <w:r>
              <w:rPr>
                <w:rFonts w:hint="eastAsia"/>
                <w:color w:val="auto"/>
                <w:lang w:val="en-US" w:eastAsia="zh-CN"/>
              </w:rPr>
              <w:t>锰</w:t>
            </w:r>
          </w:p>
        </w:tc>
        <w:tc>
          <w:tcPr>
            <w:tcW w:w="1020" w:type="pct"/>
            <w:noWrap w:val="0"/>
            <w:vAlign w:val="center"/>
          </w:tcPr>
          <w:p>
            <w:pPr>
              <w:pStyle w:val="73"/>
              <w:rPr>
                <w:rFonts w:hint="default" w:ascii="Times New Roman" w:hAnsi="Times New Roman" w:cs="Times New Roman"/>
                <w:bCs/>
                <w:color w:val="auto"/>
                <w:u w:val="none"/>
              </w:rPr>
            </w:pPr>
            <w:r>
              <w:rPr>
                <w:rFonts w:hint="default" w:ascii="Times New Roman" w:hAnsi="Times New Roman" w:cs="Times New Roman"/>
                <w:bCs/>
                <w:color w:val="auto"/>
                <w:u w:val="none"/>
                <w:lang w:val="en-US" w:eastAsia="zh-CN"/>
              </w:rPr>
              <w:t>0.0</w:t>
            </w:r>
            <w:r>
              <w:rPr>
                <w:rFonts w:hint="eastAsia" w:ascii="Times New Roman" w:hAnsi="Times New Roman" w:cs="Times New Roman"/>
                <w:bCs/>
                <w:color w:val="auto"/>
                <w:u w:val="none"/>
                <w:lang w:val="en-US" w:eastAsia="zh-CN"/>
              </w:rPr>
              <w:t>1</w:t>
            </w:r>
            <w:r>
              <w:rPr>
                <w:rFonts w:hint="default" w:ascii="Times New Roman" w:hAnsi="Times New Roman" w:cs="Times New Roman"/>
                <w:bCs/>
                <w:color w:val="auto"/>
                <w:u w:val="none"/>
                <w:lang w:val="en-US" w:eastAsia="zh-CN"/>
              </w:rPr>
              <w:t>L</w:t>
            </w:r>
          </w:p>
        </w:tc>
        <w:tc>
          <w:tcPr>
            <w:tcW w:w="556"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0.1</w:t>
            </w:r>
          </w:p>
        </w:tc>
        <w:tc>
          <w:tcPr>
            <w:tcW w:w="64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3/0</w:t>
            </w:r>
          </w:p>
        </w:tc>
        <w:tc>
          <w:tcPr>
            <w:tcW w:w="522"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477"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0</w:t>
            </w:r>
          </w:p>
        </w:tc>
        <w:tc>
          <w:tcPr>
            <w:tcW w:w="381" w:type="pct"/>
            <w:noWrap w:val="0"/>
            <w:vAlign w:val="center"/>
          </w:tcPr>
          <w:p>
            <w:pPr>
              <w:pStyle w:val="73"/>
              <w:ind w:firstLine="0" w:firstLineChars="0"/>
              <w:rPr>
                <w:rFonts w:hint="default" w:ascii="Times New Roman" w:hAnsi="Times New Roman" w:cs="Times New Roman"/>
                <w:bCs/>
                <w:color w:val="auto"/>
                <w:u w:val="none"/>
              </w:rPr>
            </w:pPr>
            <w:r>
              <w:rPr>
                <w:rFonts w:hint="default" w:ascii="Times New Roman" w:hAnsi="Times New Roman" w:cs="Times New Roman"/>
                <w:bCs/>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1503" w:type="dxa"/>
            <w:noWrap w:val="0"/>
            <w:vAlign w:val="center"/>
          </w:tcPr>
          <w:p>
            <w:pPr>
              <w:pStyle w:val="73"/>
              <w:ind w:firstLine="0" w:firstLineChars="0"/>
              <w:rPr>
                <w:rFonts w:hint="default" w:ascii="Times New Roman" w:hAnsi="Times New Roman" w:cs="Times New Roman"/>
                <w:color w:val="auto"/>
                <w:szCs w:val="24"/>
                <w:u w:val="none"/>
              </w:rPr>
            </w:pPr>
            <w:r>
              <w:rPr>
                <w:rFonts w:hint="default" w:ascii="Times New Roman" w:hAnsi="Times New Roman" w:cs="Times New Roman"/>
                <w:color w:val="auto"/>
                <w:szCs w:val="24"/>
                <w:u w:val="none"/>
              </w:rPr>
              <w:t>流量</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r>
              <w:rPr>
                <w:rFonts w:hint="eastAsia" w:ascii="Times New Roman" w:hAnsi="Times New Roman" w:cs="Times New Roman"/>
                <w:color w:val="auto"/>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55.4</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1503" w:type="dxa"/>
            <w:noWrap w:val="0"/>
            <w:vAlign w:val="center"/>
          </w:tcPr>
          <w:p>
            <w:pPr>
              <w:pStyle w:val="73"/>
              <w:ind w:firstLine="0" w:firstLineChars="0"/>
              <w:rPr>
                <w:rFonts w:hint="default" w:ascii="Times New Roman" w:hAnsi="Times New Roman" w:cs="Times New Roman"/>
                <w:b/>
                <w:color w:val="auto"/>
                <w:u w:val="none"/>
              </w:rPr>
            </w:pPr>
            <w:r>
              <w:rPr>
                <w:rFonts w:hint="default" w:ascii="Times New Roman" w:hAnsi="Times New Roman" w:cs="Times New Roman"/>
                <w:color w:val="auto"/>
                <w:u w:val="none"/>
              </w:rPr>
              <w:t>流速</w:t>
            </w:r>
            <w:r>
              <w:rPr>
                <w:rFonts w:hint="eastAsia"/>
                <w:color w:val="auto"/>
                <w:lang w:eastAsia="zh-CN"/>
              </w:rPr>
              <w:t>（</w:t>
            </w:r>
            <w:r>
              <w:rPr>
                <w:rFonts w:hint="default" w:ascii="Times New Roman" w:hAnsi="Times New Roman" w:cs="Times New Roman"/>
                <w:color w:val="auto"/>
                <w:lang w:val="en-US" w:eastAsia="zh-CN"/>
              </w:rPr>
              <w:t>m/s</w:t>
            </w:r>
            <w:r>
              <w:rPr>
                <w:rFonts w:hint="eastAsia"/>
                <w:color w:val="auto"/>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0.09</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1503" w:type="dxa"/>
            <w:noWrap w:val="0"/>
            <w:vAlign w:val="center"/>
          </w:tcPr>
          <w:p>
            <w:pPr>
              <w:pStyle w:val="73"/>
              <w:ind w:firstLine="0" w:firstLineChars="0"/>
              <w:rPr>
                <w:rFonts w:hint="default" w:ascii="Times New Roman" w:hAnsi="Times New Roman" w:cs="Times New Roman"/>
                <w:color w:val="auto"/>
                <w:szCs w:val="24"/>
                <w:u w:val="none"/>
              </w:rPr>
            </w:pPr>
            <w:r>
              <w:rPr>
                <w:rFonts w:hint="default" w:ascii="Times New Roman" w:hAnsi="Times New Roman" w:cs="Times New Roman"/>
                <w:color w:val="auto"/>
                <w:u w:val="none"/>
              </w:rPr>
              <w:t>水温</w:t>
            </w:r>
            <w:r>
              <w:rPr>
                <w:rFonts w:hint="eastAsia"/>
                <w:color w:val="auto"/>
                <w:lang w:eastAsia="zh-CN"/>
              </w:rPr>
              <w:t>（</w:t>
            </w:r>
            <w:r>
              <w:rPr>
                <w:rFonts w:hint="default" w:ascii="Times New Roman" w:hAnsi="Times New Roman" w:eastAsia="宋体" w:cs="Times New Roman"/>
                <w:color w:val="auto"/>
              </w:rPr>
              <w:t>℃</w:t>
            </w:r>
            <w:r>
              <w:rPr>
                <w:rFonts w:hint="eastAsia"/>
                <w:color w:val="auto"/>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12.7</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1503" w:type="dxa"/>
            <w:noWrap w:val="0"/>
            <w:vAlign w:val="center"/>
          </w:tcPr>
          <w:p>
            <w:pPr>
              <w:pStyle w:val="73"/>
              <w:ind w:firstLine="0" w:firstLineChars="0"/>
              <w:rPr>
                <w:rFonts w:hint="default" w:ascii="Times New Roman" w:hAnsi="Times New Roman" w:cs="Times New Roman"/>
                <w:color w:val="auto"/>
                <w:szCs w:val="24"/>
                <w:u w:val="none"/>
              </w:rPr>
            </w:pPr>
            <w:r>
              <w:rPr>
                <w:rFonts w:hint="default" w:ascii="Times New Roman" w:hAnsi="Times New Roman" w:cs="Times New Roman"/>
                <w:color w:val="auto"/>
                <w:szCs w:val="24"/>
                <w:u w:val="none"/>
              </w:rPr>
              <w:t>水深</w:t>
            </w:r>
            <w:r>
              <w:rPr>
                <w:rFonts w:hint="eastAsia" w:ascii="Times New Roman" w:hAnsi="Times New Roman" w:cs="Times New Roman"/>
                <w:color w:val="auto"/>
                <w:szCs w:val="24"/>
                <w:u w:val="none"/>
                <w:lang w:eastAsia="zh-CN"/>
              </w:rPr>
              <w:t>（</w:t>
            </w:r>
            <w:r>
              <w:rPr>
                <w:rFonts w:hint="default" w:ascii="Times New Roman" w:hAnsi="Times New Roman" w:cs="Times New Roman"/>
                <w:color w:val="auto"/>
                <w:lang w:val="en-US" w:eastAsia="zh-CN"/>
              </w:rPr>
              <w:t>m</w:t>
            </w:r>
            <w:r>
              <w:rPr>
                <w:rFonts w:hint="eastAsia" w:ascii="Times New Roman" w:hAnsi="Times New Roman" w:cs="Times New Roman"/>
                <w:color w:val="auto"/>
                <w:szCs w:val="24"/>
                <w:u w:val="none"/>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5.9</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noWrap w:val="0"/>
            <w:vAlign w:val="center"/>
          </w:tcPr>
          <w:p>
            <w:pPr>
              <w:pStyle w:val="73"/>
              <w:rPr>
                <w:rFonts w:hint="default" w:ascii="Times New Roman" w:hAnsi="Times New Roman" w:cs="Times New Roman"/>
                <w:bCs/>
                <w:color w:val="auto"/>
                <w:u w:val="none"/>
              </w:rPr>
            </w:pPr>
          </w:p>
        </w:tc>
        <w:tc>
          <w:tcPr>
            <w:tcW w:w="1503" w:type="dxa"/>
            <w:noWrap w:val="0"/>
            <w:vAlign w:val="center"/>
          </w:tcPr>
          <w:p>
            <w:pPr>
              <w:pStyle w:val="73"/>
              <w:ind w:firstLine="0" w:firstLineChars="0"/>
              <w:rPr>
                <w:rFonts w:hint="default" w:ascii="Times New Roman" w:hAnsi="Times New Roman" w:cs="Times New Roman"/>
                <w:color w:val="auto"/>
                <w:szCs w:val="24"/>
                <w:u w:val="none"/>
              </w:rPr>
            </w:pPr>
            <w:r>
              <w:rPr>
                <w:rFonts w:hint="default" w:ascii="Times New Roman" w:hAnsi="Times New Roman" w:cs="Times New Roman"/>
                <w:color w:val="auto"/>
                <w:u w:val="none"/>
              </w:rPr>
              <w:t>河宽</w:t>
            </w:r>
            <w:r>
              <w:rPr>
                <w:rFonts w:hint="eastAsia" w:ascii="Times New Roman" w:hAnsi="Times New Roman" w:cs="Times New Roman"/>
                <w:color w:val="auto"/>
                <w:u w:val="none"/>
                <w:lang w:eastAsia="zh-CN"/>
              </w:rPr>
              <w:t>（</w:t>
            </w:r>
            <w:r>
              <w:rPr>
                <w:rFonts w:hint="default" w:ascii="Times New Roman" w:hAnsi="Times New Roman" w:cs="Times New Roman"/>
                <w:color w:val="auto"/>
                <w:lang w:val="en-US" w:eastAsia="zh-CN"/>
              </w:rPr>
              <w:t>m</w:t>
            </w:r>
            <w:r>
              <w:rPr>
                <w:rFonts w:hint="eastAsia" w:ascii="Times New Roman" w:hAnsi="Times New Roman" w:cs="Times New Roman"/>
                <w:color w:val="auto"/>
                <w:u w:val="none"/>
                <w:lang w:eastAsia="zh-CN"/>
              </w:rPr>
              <w:t>）</w:t>
            </w:r>
          </w:p>
        </w:tc>
        <w:tc>
          <w:tcPr>
            <w:tcW w:w="1020" w:type="pct"/>
            <w:noWrap w:val="0"/>
            <w:vAlign w:val="center"/>
          </w:tcPr>
          <w:p>
            <w:pPr>
              <w:pStyle w:val="73"/>
              <w:rPr>
                <w:rFonts w:hint="default" w:ascii="Times New Roman" w:hAnsi="Times New Roman" w:eastAsia="宋体" w:cs="Times New Roman"/>
                <w:bCs/>
                <w:color w:val="auto"/>
                <w:u w:val="none"/>
                <w:lang w:val="en-US" w:eastAsia="zh-CN"/>
              </w:rPr>
            </w:pPr>
            <w:r>
              <w:rPr>
                <w:rFonts w:hint="eastAsia" w:ascii="Times New Roman" w:hAnsi="Times New Roman" w:cs="Times New Roman"/>
                <w:bCs/>
                <w:color w:val="auto"/>
                <w:u w:val="none"/>
                <w:lang w:val="en-US" w:eastAsia="zh-CN"/>
              </w:rPr>
              <w:t>29</w:t>
            </w:r>
          </w:p>
        </w:tc>
        <w:tc>
          <w:tcPr>
            <w:tcW w:w="55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7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381"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pPr>
        <w:widowControl w:val="0"/>
        <w:ind w:firstLine="480"/>
        <w:jc w:val="both"/>
        <w:rPr>
          <w:rFonts w:hint="eastAsia"/>
          <w:color w:val="auto"/>
          <w:kern w:val="0"/>
          <w:u w:val="none"/>
        </w:rPr>
      </w:pPr>
      <w:r>
        <w:rPr>
          <w:rFonts w:hint="eastAsia"/>
          <w:color w:val="auto"/>
          <w:kern w:val="0"/>
          <w:u w:val="none"/>
        </w:rPr>
        <w:t>由表3.4</w:t>
      </w:r>
      <w:r>
        <w:rPr>
          <w:color w:val="auto"/>
          <w:kern w:val="0"/>
          <w:u w:val="none"/>
        </w:rPr>
        <w:t>-6</w:t>
      </w:r>
      <w:r>
        <w:rPr>
          <w:rFonts w:hint="eastAsia"/>
          <w:color w:val="auto"/>
          <w:kern w:val="0"/>
          <w:u w:val="none"/>
        </w:rPr>
        <w:t>可知：本项目地表水监测断面的</w:t>
      </w:r>
      <w:r>
        <w:rPr>
          <w:rFonts w:hint="eastAsia"/>
          <w:color w:val="auto"/>
          <w:kern w:val="0"/>
          <w:u w:val="none"/>
          <w:lang w:eastAsia="zh-CN"/>
        </w:rPr>
        <w:t>各项因子</w:t>
      </w:r>
      <w:r>
        <w:rPr>
          <w:rFonts w:hint="eastAsia"/>
          <w:color w:val="auto"/>
          <w:kern w:val="0"/>
          <w:u w:val="none"/>
        </w:rPr>
        <w:t>均能满足《地表水环境质量标准》（GB3838-2002）中Ⅲ级标准要求，项目水域各项因子均达标。</w:t>
      </w:r>
    </w:p>
    <w:p>
      <w:pPr>
        <w:pStyle w:val="6"/>
        <w:bidi w:val="0"/>
        <w:rPr>
          <w:rFonts w:hint="eastAsia"/>
        </w:rPr>
      </w:pPr>
      <w:r>
        <w:rPr>
          <w:rFonts w:hint="eastAsia"/>
        </w:rPr>
        <w:t>3.4.3地下水环境质量现状评价</w:t>
      </w:r>
    </w:p>
    <w:p>
      <w:pPr>
        <w:widowControl w:val="0"/>
        <w:wordWrap w:val="0"/>
        <w:ind w:firstLine="480"/>
        <w:jc w:val="both"/>
        <w:rPr>
          <w:color w:val="auto"/>
          <w:u w:val="none"/>
        </w:rPr>
      </w:pPr>
      <w:r>
        <w:rPr>
          <w:rFonts w:hint="eastAsia"/>
          <w:color w:val="auto"/>
          <w:u w:val="none"/>
        </w:rPr>
        <w:t>本项目采用历史资料收集和现状监测相结合的方法，调查了解项目区域的环境质量现状。</w:t>
      </w:r>
    </w:p>
    <w:p>
      <w:pPr>
        <w:pStyle w:val="69"/>
        <w:bidi w:val="0"/>
        <w:rPr>
          <w:rFonts w:hint="eastAsia"/>
          <w:color w:val="auto"/>
        </w:rPr>
      </w:pPr>
      <w:r>
        <w:rPr>
          <w:rFonts w:hint="eastAsia"/>
          <w:color w:val="auto"/>
          <w:lang w:val="en-US" w:eastAsia="zh-CN"/>
        </w:rPr>
        <w:t>3.4.3.1地下水环境质量引用监测</w:t>
      </w:r>
    </w:p>
    <w:p>
      <w:pPr>
        <w:widowControl w:val="0"/>
        <w:wordWrap w:val="0"/>
        <w:ind w:firstLine="480"/>
        <w:jc w:val="both"/>
        <w:rPr>
          <w:color w:val="auto"/>
          <w:szCs w:val="22"/>
          <w:u w:val="none"/>
        </w:rPr>
      </w:pPr>
      <w:r>
        <w:rPr>
          <w:rFonts w:hint="eastAsia"/>
          <w:color w:val="auto"/>
          <w:kern w:val="0"/>
          <w:u w:val="none"/>
        </w:rPr>
        <w:t>本项目</w:t>
      </w:r>
      <w:r>
        <w:rPr>
          <w:color w:val="auto"/>
          <w:szCs w:val="22"/>
          <w:u w:val="none"/>
        </w:rPr>
        <w:t>收集了《</w:t>
      </w:r>
      <w:r>
        <w:rPr>
          <w:rFonts w:hint="default"/>
          <w:color w:val="auto"/>
          <w:szCs w:val="22"/>
          <w:u w:val="none"/>
          <w:lang w:val="en-US" w:eastAsia="zh-CN"/>
        </w:rPr>
        <w:t>湘西废旧汽车拆解利用建设项目</w:t>
      </w:r>
      <w:r>
        <w:rPr>
          <w:rFonts w:hint="eastAsia"/>
          <w:color w:val="auto"/>
          <w:szCs w:val="22"/>
          <w:u w:val="none"/>
          <w:lang w:val="en-US" w:eastAsia="zh-CN"/>
        </w:rPr>
        <w:t>环境影响报告表</w:t>
      </w:r>
      <w:r>
        <w:rPr>
          <w:color w:val="auto"/>
          <w:szCs w:val="22"/>
          <w:u w:val="none"/>
        </w:rPr>
        <w:t>》中的地下水环境质量现状监测数据。引用理由如下：</w:t>
      </w:r>
    </w:p>
    <w:p>
      <w:pPr>
        <w:pStyle w:val="31"/>
        <w:jc w:val="both"/>
        <w:rPr>
          <w:rFonts w:hint="default" w:eastAsia="宋体"/>
          <w:color w:val="auto"/>
          <w:lang w:val="en-US" w:eastAsia="zh-CN"/>
        </w:rPr>
      </w:pPr>
      <w:r>
        <w:rPr>
          <w:rFonts w:hint="eastAsia"/>
          <w:color w:val="auto"/>
          <w:szCs w:val="22"/>
          <w:u w:val="none"/>
          <w:lang w:eastAsia="zh-CN"/>
        </w:rPr>
        <w:t>（</w:t>
      </w:r>
      <w:r>
        <w:rPr>
          <w:rFonts w:hint="eastAsia"/>
          <w:color w:val="auto"/>
          <w:szCs w:val="22"/>
          <w:u w:val="none"/>
          <w:lang w:val="en-US" w:eastAsia="zh-CN"/>
        </w:rPr>
        <w:t>1</w:t>
      </w:r>
      <w:r>
        <w:rPr>
          <w:rFonts w:hint="eastAsia"/>
          <w:color w:val="auto"/>
          <w:szCs w:val="22"/>
          <w:u w:val="none"/>
          <w:lang w:eastAsia="zh-CN"/>
        </w:rPr>
        <w:t>）监测点位</w:t>
      </w:r>
    </w:p>
    <w:p>
      <w:pPr>
        <w:widowControl w:val="0"/>
        <w:wordWrap w:val="0"/>
        <w:ind w:firstLine="480"/>
        <w:jc w:val="both"/>
        <w:rPr>
          <w:color w:val="auto"/>
          <w:szCs w:val="22"/>
          <w:u w:val="none"/>
        </w:rPr>
      </w:pPr>
      <w:r>
        <w:rPr>
          <w:color w:val="auto"/>
          <w:szCs w:val="22"/>
          <w:u w:val="none"/>
        </w:rPr>
        <w:t>1）引用监测时间为</w:t>
      </w:r>
      <w:r>
        <w:rPr>
          <w:rFonts w:hint="default"/>
          <w:color w:val="auto"/>
          <w:szCs w:val="22"/>
          <w:u w:val="none"/>
        </w:rPr>
        <w:t>2020年8月10日~2020年8月12日</w:t>
      </w:r>
      <w:r>
        <w:rPr>
          <w:color w:val="auto"/>
          <w:szCs w:val="22"/>
          <w:u w:val="none"/>
        </w:rPr>
        <w:t>，</w:t>
      </w:r>
      <w:r>
        <w:rPr>
          <w:rFonts w:hint="eastAsia"/>
          <w:color w:val="auto"/>
          <w:szCs w:val="22"/>
          <w:u w:val="none"/>
        </w:rPr>
        <w:t>在三年有效期限内</w:t>
      </w:r>
      <w:r>
        <w:rPr>
          <w:color w:val="auto"/>
          <w:szCs w:val="22"/>
          <w:u w:val="none"/>
        </w:rPr>
        <w:t>；</w:t>
      </w:r>
    </w:p>
    <w:p>
      <w:pPr>
        <w:wordWrap w:val="0"/>
        <w:ind w:firstLine="480"/>
        <w:jc w:val="both"/>
        <w:rPr>
          <w:color w:val="auto"/>
          <w:szCs w:val="22"/>
          <w:u w:val="none"/>
        </w:rPr>
      </w:pPr>
      <w:r>
        <w:rPr>
          <w:color w:val="auto"/>
          <w:szCs w:val="22"/>
          <w:u w:val="none"/>
        </w:rPr>
        <w:t>2）引用数据项目地与拟建项目地</w:t>
      </w:r>
      <w:r>
        <w:rPr>
          <w:rFonts w:hint="eastAsia"/>
          <w:color w:val="auto"/>
          <w:szCs w:val="22"/>
          <w:u w:val="none"/>
        </w:rPr>
        <w:t>在同区域内</w:t>
      </w:r>
      <w:r>
        <w:rPr>
          <w:color w:val="auto"/>
          <w:szCs w:val="22"/>
          <w:u w:val="none"/>
        </w:rPr>
        <w:t>；</w:t>
      </w:r>
    </w:p>
    <w:p>
      <w:pPr>
        <w:wordWrap w:val="0"/>
        <w:ind w:firstLine="480"/>
        <w:jc w:val="both"/>
        <w:rPr>
          <w:color w:val="auto"/>
          <w:szCs w:val="22"/>
          <w:u w:val="none"/>
        </w:rPr>
      </w:pPr>
      <w:r>
        <w:rPr>
          <w:color w:val="auto"/>
          <w:szCs w:val="22"/>
          <w:u w:val="none"/>
        </w:rPr>
        <w:t>3）监测项目较全面，包含了本项目的污染因子；</w:t>
      </w:r>
    </w:p>
    <w:p>
      <w:pPr>
        <w:widowControl w:val="0"/>
        <w:wordWrap w:val="0"/>
        <w:ind w:left="480" w:firstLine="0" w:firstLineChars="0"/>
        <w:jc w:val="both"/>
        <w:rPr>
          <w:color w:val="auto"/>
          <w:szCs w:val="22"/>
          <w:u w:val="none"/>
        </w:rPr>
      </w:pPr>
      <w:r>
        <w:rPr>
          <w:color w:val="auto"/>
          <w:szCs w:val="22"/>
          <w:u w:val="none"/>
        </w:rPr>
        <w:t>4）地下水环境质量现状与本项目建设前改变不大。</w:t>
      </w:r>
    </w:p>
    <w:p>
      <w:pPr>
        <w:ind w:firstLine="480"/>
        <w:jc w:val="both"/>
        <w:rPr>
          <w:rFonts w:hint="eastAsia"/>
          <w:color w:val="auto"/>
          <w:kern w:val="0"/>
          <w:u w:val="none"/>
        </w:rPr>
      </w:pPr>
      <w:r>
        <w:rPr>
          <w:rFonts w:hint="eastAsia"/>
          <w:color w:val="auto"/>
          <w:kern w:val="0"/>
          <w:u w:val="none"/>
        </w:rPr>
        <w:t>项目监测布点情况详见下表3.4-</w:t>
      </w:r>
      <w:r>
        <w:rPr>
          <w:rFonts w:hint="eastAsia"/>
          <w:color w:val="auto"/>
          <w:kern w:val="0"/>
          <w:u w:val="none"/>
          <w:lang w:val="en-US" w:eastAsia="zh-CN"/>
        </w:rPr>
        <w:t>9</w:t>
      </w:r>
      <w:r>
        <w:rPr>
          <w:rFonts w:hint="eastAsia"/>
          <w:color w:val="auto"/>
          <w:kern w:val="0"/>
          <w:u w:val="none"/>
        </w:rPr>
        <w:t>，项目</w:t>
      </w:r>
      <w:r>
        <w:rPr>
          <w:rFonts w:hint="eastAsia"/>
          <w:color w:val="auto"/>
          <w:kern w:val="0"/>
          <w:u w:val="none"/>
          <w:lang w:eastAsia="zh-CN"/>
        </w:rPr>
        <w:t>引用</w:t>
      </w:r>
      <w:r>
        <w:rPr>
          <w:rFonts w:hint="eastAsia"/>
          <w:color w:val="auto"/>
          <w:kern w:val="0"/>
          <w:u w:val="none"/>
        </w:rPr>
        <w:t>监测布点图见附图</w:t>
      </w:r>
      <w:r>
        <w:rPr>
          <w:rFonts w:hint="eastAsia"/>
          <w:color w:val="auto"/>
          <w:kern w:val="0"/>
          <w:u w:val="none"/>
          <w:lang w:val="en-US" w:eastAsia="zh-CN"/>
        </w:rPr>
        <w:t>3</w:t>
      </w:r>
      <w:r>
        <w:rPr>
          <w:rFonts w:hint="eastAsia"/>
          <w:color w:val="auto"/>
          <w:kern w:val="0"/>
          <w:u w:val="none"/>
        </w:rPr>
        <w:t>：</w:t>
      </w:r>
      <w:r>
        <w:rPr>
          <w:rFonts w:hint="eastAsia"/>
          <w:color w:val="auto"/>
          <w:kern w:val="0"/>
          <w:u w:val="none"/>
          <w:lang w:eastAsia="zh-CN"/>
        </w:rPr>
        <w:t>引用</w:t>
      </w:r>
      <w:r>
        <w:rPr>
          <w:rFonts w:hint="eastAsia"/>
          <w:color w:val="auto"/>
          <w:kern w:val="0"/>
          <w:u w:val="none"/>
        </w:rPr>
        <w:t>监测布点图。</w:t>
      </w:r>
    </w:p>
    <w:p>
      <w:pPr>
        <w:ind w:firstLine="198" w:firstLineChars="94"/>
        <w:jc w:val="center"/>
        <w:rPr>
          <w:rFonts w:hint="eastAsia"/>
          <w:color w:val="auto"/>
          <w:kern w:val="0"/>
          <w:u w:val="none"/>
        </w:rPr>
      </w:pPr>
      <w:r>
        <w:rPr>
          <w:rFonts w:hint="eastAsia"/>
          <w:b/>
          <w:color w:val="auto"/>
          <w:kern w:val="0"/>
          <w:sz w:val="21"/>
          <w:szCs w:val="21"/>
          <w:u w:val="none"/>
        </w:rPr>
        <w:t>表3.4-</w:t>
      </w:r>
      <w:r>
        <w:rPr>
          <w:rFonts w:hint="eastAsia"/>
          <w:b/>
          <w:color w:val="auto"/>
          <w:kern w:val="0"/>
          <w:sz w:val="21"/>
          <w:szCs w:val="21"/>
          <w:u w:val="none"/>
          <w:lang w:val="en-US" w:eastAsia="zh-CN"/>
        </w:rPr>
        <w:t>9</w:t>
      </w:r>
      <w:r>
        <w:rPr>
          <w:b/>
          <w:color w:val="auto"/>
          <w:kern w:val="0"/>
          <w:sz w:val="21"/>
          <w:szCs w:val="21"/>
          <w:u w:val="none"/>
        </w:rPr>
        <w:t xml:space="preserve"> </w:t>
      </w:r>
      <w:r>
        <w:rPr>
          <w:rFonts w:hint="eastAsia"/>
          <w:b/>
          <w:color w:val="auto"/>
          <w:kern w:val="0"/>
          <w:sz w:val="21"/>
          <w:szCs w:val="21"/>
          <w:u w:val="none"/>
          <w:lang w:eastAsia="zh-CN"/>
        </w:rPr>
        <w:t>地下水</w:t>
      </w:r>
      <w:r>
        <w:rPr>
          <w:rFonts w:hint="eastAsia"/>
          <w:b/>
          <w:color w:val="auto"/>
          <w:kern w:val="0"/>
          <w:sz w:val="21"/>
          <w:szCs w:val="21"/>
          <w:u w:val="none"/>
        </w:rPr>
        <w:t>监测布点情况一览表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9"/>
        <w:gridCol w:w="1372"/>
        <w:gridCol w:w="1552"/>
        <w:gridCol w:w="3689"/>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exact"/>
          <w:jc w:val="center"/>
        </w:trPr>
        <w:tc>
          <w:tcPr>
            <w:tcW w:w="258" w:type="pct"/>
            <w:noWrap w:val="0"/>
            <w:vAlign w:val="center"/>
          </w:tcPr>
          <w:p>
            <w:pPr>
              <w:pStyle w:val="120"/>
              <w:bidi w:val="0"/>
              <w:rPr>
                <w:rFonts w:hint="default"/>
                <w:lang w:val="en-US" w:eastAsia="zh-CN"/>
              </w:rPr>
            </w:pPr>
            <w:r>
              <w:rPr>
                <w:rFonts w:hint="default"/>
                <w:lang w:val="en-US" w:eastAsia="zh-CN"/>
              </w:rPr>
              <w:t>编号</w:t>
            </w:r>
          </w:p>
        </w:tc>
        <w:tc>
          <w:tcPr>
            <w:tcW w:w="825" w:type="pct"/>
            <w:noWrap w:val="0"/>
            <w:vAlign w:val="center"/>
          </w:tcPr>
          <w:p>
            <w:pPr>
              <w:pStyle w:val="120"/>
              <w:bidi w:val="0"/>
              <w:rPr>
                <w:rFonts w:hint="default"/>
                <w:lang w:val="en-US" w:eastAsia="zh-CN"/>
              </w:rPr>
            </w:pPr>
            <w:r>
              <w:rPr>
                <w:rFonts w:hint="default"/>
                <w:lang w:val="en-US" w:eastAsia="zh-CN"/>
              </w:rPr>
              <w:t>监测点名称</w:t>
            </w:r>
          </w:p>
        </w:tc>
        <w:tc>
          <w:tcPr>
            <w:tcW w:w="933" w:type="pct"/>
            <w:noWrap w:val="0"/>
            <w:vAlign w:val="center"/>
          </w:tcPr>
          <w:p>
            <w:pPr>
              <w:pStyle w:val="120"/>
              <w:bidi w:val="0"/>
              <w:rPr>
                <w:rFonts w:hint="default"/>
                <w:lang w:val="en-US" w:eastAsia="zh-CN"/>
              </w:rPr>
            </w:pPr>
            <w:r>
              <w:rPr>
                <w:rFonts w:hint="default"/>
                <w:lang w:val="en-US" w:eastAsia="zh-CN"/>
              </w:rPr>
              <w:t>与</w:t>
            </w:r>
            <w:r>
              <w:rPr>
                <w:rFonts w:hint="eastAsia"/>
                <w:lang w:val="en-US" w:eastAsia="zh-CN"/>
              </w:rPr>
              <w:t>本</w:t>
            </w:r>
            <w:r>
              <w:rPr>
                <w:rFonts w:hint="default"/>
                <w:lang w:val="en-US" w:eastAsia="zh-CN"/>
              </w:rPr>
              <w:t>项目方位关系</w:t>
            </w:r>
          </w:p>
        </w:tc>
        <w:tc>
          <w:tcPr>
            <w:tcW w:w="2218" w:type="pct"/>
            <w:noWrap w:val="0"/>
            <w:vAlign w:val="center"/>
          </w:tcPr>
          <w:p>
            <w:pPr>
              <w:pStyle w:val="120"/>
              <w:bidi w:val="0"/>
              <w:rPr>
                <w:rFonts w:hint="default"/>
                <w:lang w:val="en-US" w:eastAsia="zh-CN"/>
              </w:rPr>
            </w:pPr>
            <w:r>
              <w:rPr>
                <w:rFonts w:hint="default"/>
                <w:lang w:val="en-US" w:eastAsia="zh-CN"/>
              </w:rPr>
              <w:t>监测因子</w:t>
            </w:r>
          </w:p>
        </w:tc>
        <w:tc>
          <w:tcPr>
            <w:tcW w:w="764" w:type="pct"/>
            <w:noWrap w:val="0"/>
            <w:vAlign w:val="center"/>
          </w:tcPr>
          <w:p>
            <w:pPr>
              <w:pStyle w:val="120"/>
              <w:bidi w:val="0"/>
              <w:rPr>
                <w:rFonts w:hint="default"/>
                <w:lang w:val="en-US" w:eastAsia="zh-CN"/>
              </w:rPr>
            </w:pPr>
            <w:r>
              <w:rPr>
                <w:rFonts w:hint="default"/>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258" w:type="pct"/>
            <w:noWrap w:val="0"/>
            <w:vAlign w:val="center"/>
          </w:tcPr>
          <w:p>
            <w:pPr>
              <w:pStyle w:val="120"/>
              <w:bidi w:val="0"/>
              <w:rPr>
                <w:rFonts w:hint="default"/>
                <w:lang w:val="en-US" w:eastAsia="zh-CN"/>
              </w:rPr>
            </w:pPr>
            <w:r>
              <w:rPr>
                <w:rFonts w:hint="default"/>
                <w:lang w:val="en-US" w:eastAsia="zh-CN"/>
              </w:rPr>
              <w:t>D1</w:t>
            </w:r>
          </w:p>
        </w:tc>
        <w:tc>
          <w:tcPr>
            <w:tcW w:w="825" w:type="pct"/>
            <w:noWrap w:val="0"/>
            <w:vAlign w:val="center"/>
          </w:tcPr>
          <w:p>
            <w:pPr>
              <w:pStyle w:val="120"/>
              <w:bidi w:val="0"/>
              <w:rPr>
                <w:rFonts w:hint="default"/>
                <w:lang w:val="en-US" w:eastAsia="zh-CN"/>
              </w:rPr>
            </w:pPr>
            <w:r>
              <w:rPr>
                <w:rFonts w:hint="default"/>
                <w:lang w:val="en-US" w:eastAsia="zh-CN"/>
              </w:rPr>
              <w:t>岔</w:t>
            </w:r>
            <w:r>
              <w:rPr>
                <w:rFonts w:hint="eastAsia"/>
                <w:lang w:val="en-US" w:eastAsia="zh-CN"/>
              </w:rPr>
              <w:t>哪</w:t>
            </w:r>
            <w:r>
              <w:rPr>
                <w:rFonts w:hint="default"/>
                <w:lang w:val="en-US" w:eastAsia="zh-CN"/>
              </w:rPr>
              <w:t>村地下水井</w:t>
            </w:r>
          </w:p>
        </w:tc>
        <w:tc>
          <w:tcPr>
            <w:tcW w:w="933" w:type="pct"/>
            <w:noWrap w:val="0"/>
            <w:vAlign w:val="center"/>
          </w:tcPr>
          <w:p>
            <w:pPr>
              <w:pStyle w:val="120"/>
              <w:bidi w:val="0"/>
              <w:rPr>
                <w:rFonts w:hint="default"/>
                <w:lang w:val="en-US" w:eastAsia="zh-CN"/>
              </w:rPr>
            </w:pPr>
            <w:r>
              <w:rPr>
                <w:rFonts w:hint="default"/>
                <w:lang w:val="en-US" w:eastAsia="zh-CN"/>
              </w:rPr>
              <w:t>NW，570m</w:t>
            </w:r>
          </w:p>
        </w:tc>
        <w:tc>
          <w:tcPr>
            <w:tcW w:w="2218" w:type="pct"/>
            <w:vMerge w:val="restart"/>
            <w:noWrap w:val="0"/>
            <w:vAlign w:val="center"/>
          </w:tcPr>
          <w:p>
            <w:pPr>
              <w:pStyle w:val="120"/>
              <w:bidi w:val="0"/>
              <w:rPr>
                <w:rFonts w:hint="default"/>
                <w:lang w:val="en-US" w:eastAsia="zh-CN"/>
              </w:rPr>
            </w:pPr>
            <w:r>
              <w:rPr>
                <w:rFonts w:hint="default"/>
              </w:rPr>
              <w:t>pH、氨氮、</w:t>
            </w:r>
            <w:r>
              <w:rPr>
                <w:rFonts w:hint="default"/>
                <w:lang w:val="en-US" w:eastAsia="zh-CN"/>
              </w:rPr>
              <w:t>总硬度、溶解性总固体、氯化物、硫酸盐、挥发酚、耗氧量、硝酸盐、亚硝酸盐、氟化物、氰化物、六价铬、砷、汞、铅、镉、铁、锰、总大肠菌群、细菌总数、石油类、地下水位</w:t>
            </w:r>
          </w:p>
        </w:tc>
        <w:tc>
          <w:tcPr>
            <w:tcW w:w="764" w:type="pct"/>
            <w:vMerge w:val="restart"/>
            <w:noWrap w:val="0"/>
            <w:vAlign w:val="center"/>
          </w:tcPr>
          <w:p>
            <w:pPr>
              <w:pStyle w:val="120"/>
              <w:bidi w:val="0"/>
              <w:rPr>
                <w:rFonts w:hint="default"/>
              </w:rPr>
            </w:pPr>
            <w:r>
              <w:rPr>
                <w:rFonts w:hint="default"/>
              </w:rPr>
              <w:t>2020年8月10日~2020年8月12日</w:t>
            </w:r>
          </w:p>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258" w:type="pct"/>
            <w:noWrap w:val="0"/>
            <w:vAlign w:val="center"/>
          </w:tcPr>
          <w:p>
            <w:pPr>
              <w:pStyle w:val="120"/>
              <w:bidi w:val="0"/>
              <w:rPr>
                <w:rFonts w:hint="default"/>
                <w:lang w:val="en-US" w:eastAsia="zh-CN"/>
              </w:rPr>
            </w:pPr>
            <w:r>
              <w:rPr>
                <w:rFonts w:hint="default"/>
                <w:lang w:val="en-US" w:eastAsia="zh-CN"/>
              </w:rPr>
              <w:t>D2</w:t>
            </w:r>
          </w:p>
        </w:tc>
        <w:tc>
          <w:tcPr>
            <w:tcW w:w="825" w:type="pct"/>
            <w:noWrap w:val="0"/>
            <w:vAlign w:val="center"/>
          </w:tcPr>
          <w:p>
            <w:pPr>
              <w:pStyle w:val="120"/>
              <w:bidi w:val="0"/>
              <w:rPr>
                <w:rFonts w:hint="default"/>
                <w:lang w:val="en-US" w:eastAsia="zh-CN"/>
              </w:rPr>
            </w:pPr>
            <w:r>
              <w:rPr>
                <w:rFonts w:hint="default"/>
                <w:lang w:val="en-US" w:eastAsia="zh-CN"/>
              </w:rPr>
              <w:t>岔包地下水井</w:t>
            </w:r>
          </w:p>
        </w:tc>
        <w:tc>
          <w:tcPr>
            <w:tcW w:w="933" w:type="pct"/>
            <w:noWrap w:val="0"/>
            <w:vAlign w:val="center"/>
          </w:tcPr>
          <w:p>
            <w:pPr>
              <w:pStyle w:val="120"/>
              <w:bidi w:val="0"/>
              <w:rPr>
                <w:rFonts w:hint="default"/>
                <w:lang w:val="en-US" w:eastAsia="zh-CN"/>
              </w:rPr>
            </w:pPr>
            <w:r>
              <w:rPr>
                <w:rFonts w:hint="default"/>
                <w:lang w:val="en-US" w:eastAsia="zh-CN"/>
              </w:rPr>
              <w:t>SW，260m</w:t>
            </w:r>
          </w:p>
        </w:tc>
        <w:tc>
          <w:tcPr>
            <w:tcW w:w="2218" w:type="pct"/>
            <w:vMerge w:val="continue"/>
            <w:noWrap w:val="0"/>
            <w:vAlign w:val="center"/>
          </w:tcPr>
          <w:p>
            <w:pPr>
              <w:pStyle w:val="120"/>
              <w:bidi w:val="0"/>
              <w:rPr>
                <w:rFonts w:hint="default"/>
                <w:lang w:val="en-US" w:eastAsia="zh-CN"/>
              </w:rPr>
            </w:pPr>
          </w:p>
        </w:tc>
        <w:tc>
          <w:tcPr>
            <w:tcW w:w="764" w:type="pct"/>
            <w:vMerge w:val="continue"/>
            <w:noWrap w:val="0"/>
            <w:vAlign w:val="center"/>
          </w:tcPr>
          <w:p>
            <w:pPr>
              <w:pStyle w:val="1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258" w:type="pct"/>
            <w:noWrap w:val="0"/>
            <w:vAlign w:val="center"/>
          </w:tcPr>
          <w:p>
            <w:pPr>
              <w:pStyle w:val="120"/>
              <w:bidi w:val="0"/>
              <w:rPr>
                <w:rFonts w:hint="default"/>
                <w:lang w:val="en-US" w:eastAsia="zh-CN"/>
              </w:rPr>
            </w:pPr>
            <w:r>
              <w:rPr>
                <w:rFonts w:hint="default"/>
                <w:lang w:val="en-US" w:eastAsia="zh-CN"/>
              </w:rPr>
              <w:t>D3</w:t>
            </w:r>
          </w:p>
        </w:tc>
        <w:tc>
          <w:tcPr>
            <w:tcW w:w="825" w:type="pct"/>
            <w:noWrap w:val="0"/>
            <w:vAlign w:val="center"/>
          </w:tcPr>
          <w:p>
            <w:pPr>
              <w:pStyle w:val="120"/>
              <w:bidi w:val="0"/>
              <w:rPr>
                <w:rFonts w:hint="default"/>
                <w:lang w:val="en-US" w:eastAsia="zh-CN"/>
              </w:rPr>
            </w:pPr>
            <w:r>
              <w:rPr>
                <w:rFonts w:hint="default"/>
                <w:lang w:val="en-US" w:eastAsia="zh-CN"/>
              </w:rPr>
              <w:t>石堤湖地下水井</w:t>
            </w:r>
          </w:p>
        </w:tc>
        <w:tc>
          <w:tcPr>
            <w:tcW w:w="933" w:type="pct"/>
            <w:noWrap w:val="0"/>
            <w:vAlign w:val="center"/>
          </w:tcPr>
          <w:p>
            <w:pPr>
              <w:pStyle w:val="120"/>
              <w:bidi w:val="0"/>
              <w:rPr>
                <w:rFonts w:hint="default"/>
                <w:lang w:val="en-US" w:eastAsia="zh-CN"/>
              </w:rPr>
            </w:pPr>
            <w:r>
              <w:rPr>
                <w:rFonts w:hint="default"/>
                <w:lang w:val="en-US" w:eastAsia="zh-CN"/>
              </w:rPr>
              <w:t>SW，600m</w:t>
            </w:r>
          </w:p>
        </w:tc>
        <w:tc>
          <w:tcPr>
            <w:tcW w:w="2218" w:type="pct"/>
            <w:vMerge w:val="continue"/>
            <w:noWrap w:val="0"/>
            <w:vAlign w:val="center"/>
          </w:tcPr>
          <w:p>
            <w:pPr>
              <w:pStyle w:val="120"/>
              <w:bidi w:val="0"/>
              <w:rPr>
                <w:rFonts w:hint="default"/>
                <w:lang w:val="en-US" w:eastAsia="zh-CN"/>
              </w:rPr>
            </w:pPr>
          </w:p>
        </w:tc>
        <w:tc>
          <w:tcPr>
            <w:tcW w:w="764" w:type="pct"/>
            <w:vMerge w:val="continue"/>
            <w:noWrap w:val="0"/>
            <w:vAlign w:val="center"/>
          </w:tcPr>
          <w:p>
            <w:pPr>
              <w:pStyle w:val="1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exact"/>
          <w:jc w:val="center"/>
        </w:trPr>
        <w:tc>
          <w:tcPr>
            <w:tcW w:w="258" w:type="pct"/>
            <w:noWrap w:val="0"/>
            <w:vAlign w:val="center"/>
          </w:tcPr>
          <w:p>
            <w:pPr>
              <w:pStyle w:val="120"/>
              <w:bidi w:val="0"/>
              <w:rPr>
                <w:rFonts w:hint="default"/>
                <w:lang w:val="en-US" w:eastAsia="zh-CN"/>
              </w:rPr>
            </w:pPr>
            <w:r>
              <w:rPr>
                <w:rFonts w:hint="default"/>
                <w:lang w:val="en-US" w:eastAsia="zh-CN"/>
              </w:rPr>
              <w:t>D4</w:t>
            </w:r>
          </w:p>
        </w:tc>
        <w:tc>
          <w:tcPr>
            <w:tcW w:w="825" w:type="pct"/>
            <w:noWrap w:val="0"/>
            <w:vAlign w:val="center"/>
          </w:tcPr>
          <w:p>
            <w:pPr>
              <w:pStyle w:val="120"/>
              <w:bidi w:val="0"/>
              <w:rPr>
                <w:rFonts w:hint="default"/>
                <w:lang w:val="en-US" w:eastAsia="zh-CN"/>
              </w:rPr>
            </w:pPr>
            <w:r>
              <w:rPr>
                <w:rFonts w:hint="default"/>
                <w:lang w:val="en-US" w:eastAsia="zh-CN"/>
              </w:rPr>
              <w:t>老寨地下水井</w:t>
            </w:r>
          </w:p>
        </w:tc>
        <w:tc>
          <w:tcPr>
            <w:tcW w:w="933" w:type="pct"/>
            <w:noWrap w:val="0"/>
            <w:vAlign w:val="center"/>
          </w:tcPr>
          <w:p>
            <w:pPr>
              <w:pStyle w:val="120"/>
              <w:bidi w:val="0"/>
              <w:rPr>
                <w:rFonts w:hint="default"/>
                <w:lang w:val="en-US" w:eastAsia="zh-CN"/>
              </w:rPr>
            </w:pPr>
            <w:r>
              <w:rPr>
                <w:rFonts w:hint="default"/>
                <w:lang w:val="en-US" w:eastAsia="zh-CN"/>
              </w:rPr>
              <w:t>NW，1077m</w:t>
            </w:r>
          </w:p>
        </w:tc>
        <w:tc>
          <w:tcPr>
            <w:tcW w:w="2218" w:type="pct"/>
            <w:noWrap w:val="0"/>
            <w:vAlign w:val="center"/>
          </w:tcPr>
          <w:p>
            <w:pPr>
              <w:pStyle w:val="120"/>
              <w:bidi w:val="0"/>
              <w:rPr>
                <w:rFonts w:hint="default"/>
                <w:lang w:val="en-US" w:eastAsia="zh-CN"/>
              </w:rPr>
            </w:pPr>
            <w:r>
              <w:rPr>
                <w:rFonts w:hint="default"/>
                <w:lang w:val="en-US" w:eastAsia="zh-CN"/>
              </w:rPr>
              <w:t>地下水位</w:t>
            </w:r>
          </w:p>
        </w:tc>
        <w:tc>
          <w:tcPr>
            <w:tcW w:w="764" w:type="pct"/>
            <w:vMerge w:val="continue"/>
            <w:noWrap w:val="0"/>
            <w:vAlign w:val="center"/>
          </w:tcPr>
          <w:p>
            <w:pPr>
              <w:pStyle w:val="1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exact"/>
          <w:jc w:val="center"/>
        </w:trPr>
        <w:tc>
          <w:tcPr>
            <w:tcW w:w="258" w:type="pct"/>
            <w:noWrap w:val="0"/>
            <w:vAlign w:val="center"/>
          </w:tcPr>
          <w:p>
            <w:pPr>
              <w:pStyle w:val="120"/>
              <w:bidi w:val="0"/>
              <w:rPr>
                <w:rFonts w:hint="default"/>
                <w:lang w:val="en-US" w:eastAsia="zh-CN"/>
              </w:rPr>
            </w:pPr>
            <w:r>
              <w:rPr>
                <w:rFonts w:hint="default"/>
                <w:lang w:val="en-US" w:eastAsia="zh-CN"/>
              </w:rPr>
              <w:t>D5</w:t>
            </w:r>
          </w:p>
        </w:tc>
        <w:tc>
          <w:tcPr>
            <w:tcW w:w="825" w:type="pct"/>
            <w:noWrap w:val="0"/>
            <w:vAlign w:val="center"/>
          </w:tcPr>
          <w:p>
            <w:pPr>
              <w:pStyle w:val="120"/>
              <w:bidi w:val="0"/>
              <w:rPr>
                <w:rFonts w:hint="default"/>
                <w:lang w:val="en-US" w:eastAsia="zh-CN"/>
              </w:rPr>
            </w:pPr>
            <w:r>
              <w:rPr>
                <w:rFonts w:hint="default"/>
                <w:lang w:val="en-US" w:eastAsia="zh-CN"/>
              </w:rPr>
              <w:t>园区地下水井</w:t>
            </w:r>
          </w:p>
        </w:tc>
        <w:tc>
          <w:tcPr>
            <w:tcW w:w="933" w:type="pct"/>
            <w:noWrap w:val="0"/>
            <w:vAlign w:val="center"/>
          </w:tcPr>
          <w:p>
            <w:pPr>
              <w:pStyle w:val="120"/>
              <w:bidi w:val="0"/>
              <w:rPr>
                <w:rFonts w:hint="default"/>
                <w:lang w:val="en-US" w:eastAsia="zh-CN"/>
              </w:rPr>
            </w:pPr>
            <w:r>
              <w:rPr>
                <w:rFonts w:hint="default"/>
                <w:lang w:val="en-US" w:eastAsia="zh-CN"/>
              </w:rPr>
              <w:t>SE，500m</w:t>
            </w:r>
          </w:p>
        </w:tc>
        <w:tc>
          <w:tcPr>
            <w:tcW w:w="2218" w:type="pct"/>
            <w:noWrap w:val="0"/>
            <w:vAlign w:val="center"/>
          </w:tcPr>
          <w:p>
            <w:pPr>
              <w:pStyle w:val="120"/>
              <w:bidi w:val="0"/>
              <w:rPr>
                <w:rFonts w:hint="default"/>
                <w:lang w:val="en-US" w:eastAsia="zh-CN"/>
              </w:rPr>
            </w:pPr>
            <w:r>
              <w:rPr>
                <w:rFonts w:hint="default"/>
                <w:lang w:val="en-US" w:eastAsia="zh-CN"/>
              </w:rPr>
              <w:t>地下水位</w:t>
            </w:r>
          </w:p>
        </w:tc>
        <w:tc>
          <w:tcPr>
            <w:tcW w:w="764" w:type="pct"/>
            <w:vMerge w:val="continue"/>
            <w:noWrap w:val="0"/>
            <w:vAlign w:val="center"/>
          </w:tcPr>
          <w:p>
            <w:pPr>
              <w:pStyle w:val="1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258" w:type="pct"/>
            <w:noWrap w:val="0"/>
            <w:vAlign w:val="center"/>
          </w:tcPr>
          <w:p>
            <w:pPr>
              <w:pStyle w:val="120"/>
              <w:bidi w:val="0"/>
              <w:rPr>
                <w:rFonts w:hint="default"/>
                <w:lang w:val="en-US" w:eastAsia="zh-CN"/>
              </w:rPr>
            </w:pPr>
            <w:r>
              <w:rPr>
                <w:rFonts w:hint="default"/>
                <w:lang w:val="en-US" w:eastAsia="zh-CN"/>
              </w:rPr>
              <w:t>D6</w:t>
            </w:r>
          </w:p>
        </w:tc>
        <w:tc>
          <w:tcPr>
            <w:tcW w:w="825" w:type="pct"/>
            <w:noWrap w:val="0"/>
            <w:vAlign w:val="center"/>
          </w:tcPr>
          <w:p>
            <w:pPr>
              <w:pStyle w:val="120"/>
              <w:bidi w:val="0"/>
              <w:rPr>
                <w:rFonts w:hint="default"/>
                <w:lang w:val="en-US" w:eastAsia="zh-CN"/>
              </w:rPr>
            </w:pPr>
            <w:r>
              <w:rPr>
                <w:rFonts w:hint="default"/>
                <w:lang w:val="en-US" w:eastAsia="zh-CN"/>
              </w:rPr>
              <w:t>沙西枯地下水井</w:t>
            </w:r>
          </w:p>
        </w:tc>
        <w:tc>
          <w:tcPr>
            <w:tcW w:w="933" w:type="pct"/>
            <w:noWrap w:val="0"/>
            <w:vAlign w:val="center"/>
          </w:tcPr>
          <w:p>
            <w:pPr>
              <w:pStyle w:val="120"/>
              <w:bidi w:val="0"/>
              <w:rPr>
                <w:rFonts w:hint="default"/>
                <w:lang w:val="en-US" w:eastAsia="zh-CN"/>
              </w:rPr>
            </w:pPr>
            <w:r>
              <w:rPr>
                <w:rFonts w:hint="default"/>
                <w:lang w:val="en-US" w:eastAsia="zh-CN"/>
              </w:rPr>
              <w:t>SW，1193m</w:t>
            </w:r>
          </w:p>
        </w:tc>
        <w:tc>
          <w:tcPr>
            <w:tcW w:w="2218" w:type="pct"/>
            <w:noWrap w:val="0"/>
            <w:vAlign w:val="center"/>
          </w:tcPr>
          <w:p>
            <w:pPr>
              <w:pStyle w:val="120"/>
              <w:bidi w:val="0"/>
              <w:rPr>
                <w:rFonts w:hint="default"/>
                <w:lang w:val="en-US" w:eastAsia="zh-CN"/>
              </w:rPr>
            </w:pPr>
            <w:r>
              <w:rPr>
                <w:rFonts w:hint="default"/>
                <w:lang w:val="en-US" w:eastAsia="zh-CN"/>
              </w:rPr>
              <w:t>地下水位</w:t>
            </w:r>
          </w:p>
        </w:tc>
        <w:tc>
          <w:tcPr>
            <w:tcW w:w="764" w:type="pct"/>
            <w:vMerge w:val="continue"/>
            <w:noWrap w:val="0"/>
            <w:vAlign w:val="center"/>
          </w:tcPr>
          <w:p>
            <w:pPr>
              <w:pStyle w:val="120"/>
              <w:bidi w:val="0"/>
              <w:rPr>
                <w:rFonts w:hint="default"/>
                <w:lang w:val="en-US" w:eastAsia="zh-CN"/>
              </w:rPr>
            </w:pPr>
          </w:p>
        </w:tc>
      </w:tr>
    </w:tbl>
    <w:p>
      <w:pPr>
        <w:ind w:firstLine="480"/>
        <w:rPr>
          <w:rFonts w:hint="eastAsia"/>
          <w:color w:val="auto"/>
          <w:kern w:val="0"/>
          <w:u w:val="none"/>
        </w:rPr>
      </w:pPr>
      <w:r>
        <w:rPr>
          <w:rFonts w:hint="eastAsia"/>
          <w:color w:val="auto"/>
          <w:kern w:val="0"/>
          <w:u w:val="none"/>
        </w:rPr>
        <w:t>（</w:t>
      </w:r>
      <w:r>
        <w:rPr>
          <w:color w:val="auto"/>
          <w:kern w:val="0"/>
          <w:u w:val="none"/>
        </w:rPr>
        <w:t>2</w:t>
      </w:r>
      <w:r>
        <w:rPr>
          <w:rFonts w:hint="eastAsia"/>
          <w:color w:val="auto"/>
          <w:kern w:val="0"/>
          <w:u w:val="none"/>
        </w:rPr>
        <w:t>）监测、分析方法</w:t>
      </w:r>
    </w:p>
    <w:p>
      <w:pPr>
        <w:ind w:firstLine="480"/>
        <w:rPr>
          <w:rFonts w:hint="eastAsia"/>
          <w:color w:val="auto"/>
          <w:kern w:val="0"/>
          <w:u w:val="none"/>
        </w:rPr>
      </w:pPr>
      <w:r>
        <w:rPr>
          <w:rFonts w:hint="eastAsia"/>
          <w:color w:val="auto"/>
          <w:kern w:val="0"/>
          <w:u w:val="none"/>
        </w:rPr>
        <w:t>执行</w:t>
      </w:r>
      <w:r>
        <w:rPr>
          <w:color w:val="auto"/>
          <w:kern w:val="0"/>
          <w:u w:val="none"/>
        </w:rPr>
        <w:t>《地下水质量标准》（</w:t>
      </w:r>
      <w:r>
        <w:rPr>
          <w:rFonts w:eastAsia="Times New Roman"/>
          <w:color w:val="auto"/>
          <w:kern w:val="0"/>
          <w:u w:val="none"/>
        </w:rPr>
        <w:t>GB/T14848-</w:t>
      </w:r>
      <w:r>
        <w:rPr>
          <w:rFonts w:hint="eastAsia"/>
          <w:color w:val="auto"/>
          <w:kern w:val="0"/>
          <w:u w:val="none"/>
        </w:rPr>
        <w:t>2017</w:t>
      </w:r>
      <w:r>
        <w:rPr>
          <w:color w:val="auto"/>
          <w:kern w:val="0"/>
          <w:u w:val="none"/>
        </w:rPr>
        <w:t>）</w:t>
      </w:r>
      <w:r>
        <w:rPr>
          <w:rFonts w:hint="eastAsia" w:cs="宋体"/>
          <w:color w:val="auto"/>
          <w:kern w:val="0"/>
          <w:u w:val="none"/>
        </w:rPr>
        <w:t>Ⅲ</w:t>
      </w:r>
      <w:r>
        <w:rPr>
          <w:color w:val="auto"/>
          <w:kern w:val="0"/>
          <w:u w:val="none"/>
        </w:rPr>
        <w:t>类标准</w:t>
      </w:r>
    </w:p>
    <w:p>
      <w:pPr>
        <w:ind w:firstLine="480"/>
        <w:rPr>
          <w:rFonts w:hint="eastAsia"/>
          <w:color w:val="auto"/>
          <w:kern w:val="0"/>
          <w:u w:val="none"/>
        </w:rPr>
      </w:pPr>
      <w:r>
        <w:rPr>
          <w:rFonts w:hint="eastAsia"/>
          <w:color w:val="auto"/>
          <w:kern w:val="0"/>
          <w:u w:val="none"/>
        </w:rPr>
        <w:t>（</w:t>
      </w:r>
      <w:r>
        <w:rPr>
          <w:rFonts w:hint="eastAsia"/>
          <w:color w:val="auto"/>
          <w:kern w:val="0"/>
          <w:u w:val="none"/>
          <w:lang w:val="en-US" w:eastAsia="zh-CN"/>
        </w:rPr>
        <w:t>3</w:t>
      </w:r>
      <w:r>
        <w:rPr>
          <w:rFonts w:hint="eastAsia"/>
          <w:color w:val="auto"/>
          <w:kern w:val="0"/>
          <w:u w:val="none"/>
        </w:rPr>
        <w:t>）监测数据结果</w:t>
      </w:r>
    </w:p>
    <w:p>
      <w:pPr>
        <w:ind w:firstLine="480"/>
        <w:rPr>
          <w:rFonts w:hint="eastAsia"/>
          <w:color w:val="auto"/>
          <w:kern w:val="0"/>
          <w:u w:val="none"/>
        </w:rPr>
      </w:pPr>
      <w:r>
        <w:rPr>
          <w:rFonts w:hint="eastAsia"/>
          <w:color w:val="auto"/>
          <w:kern w:val="0"/>
          <w:u w:val="none"/>
        </w:rPr>
        <w:t>监测数据结果见表3.4</w:t>
      </w:r>
      <w:r>
        <w:rPr>
          <w:color w:val="auto"/>
          <w:kern w:val="0"/>
          <w:u w:val="none"/>
        </w:rPr>
        <w:t>-</w:t>
      </w:r>
      <w:r>
        <w:rPr>
          <w:rFonts w:hint="eastAsia"/>
          <w:color w:val="auto"/>
          <w:kern w:val="0"/>
          <w:u w:val="none"/>
          <w:lang w:val="en-US" w:eastAsia="zh-CN"/>
        </w:rPr>
        <w:t>10</w:t>
      </w:r>
      <w:r>
        <w:rPr>
          <w:rFonts w:hint="eastAsia"/>
          <w:color w:val="auto"/>
          <w:kern w:val="0"/>
          <w:u w:val="none"/>
        </w:rPr>
        <w:t>。</w:t>
      </w:r>
    </w:p>
    <w:p>
      <w:pPr>
        <w:ind w:firstLine="422"/>
        <w:jc w:val="center"/>
        <w:rPr>
          <w:b/>
          <w:color w:val="auto"/>
          <w:kern w:val="0"/>
          <w:sz w:val="21"/>
          <w:szCs w:val="21"/>
          <w:u w:val="none"/>
        </w:rPr>
      </w:pPr>
      <w:r>
        <w:rPr>
          <w:rFonts w:hint="eastAsia"/>
          <w:b/>
          <w:color w:val="auto"/>
          <w:kern w:val="0"/>
          <w:sz w:val="21"/>
          <w:szCs w:val="21"/>
          <w:u w:val="none"/>
        </w:rPr>
        <w:t>表3.4</w:t>
      </w:r>
      <w:r>
        <w:rPr>
          <w:b/>
          <w:color w:val="auto"/>
          <w:kern w:val="0"/>
          <w:sz w:val="21"/>
          <w:szCs w:val="21"/>
          <w:u w:val="none"/>
        </w:rPr>
        <w:t>-</w:t>
      </w:r>
      <w:r>
        <w:rPr>
          <w:rFonts w:hint="eastAsia"/>
          <w:b/>
          <w:color w:val="auto"/>
          <w:kern w:val="0"/>
          <w:sz w:val="21"/>
          <w:szCs w:val="21"/>
          <w:u w:val="none"/>
          <w:lang w:val="en-US" w:eastAsia="zh-CN"/>
        </w:rPr>
        <w:t xml:space="preserve">10  </w:t>
      </w:r>
      <w:r>
        <w:rPr>
          <w:rFonts w:hint="eastAsia"/>
          <w:b/>
          <w:color w:val="auto"/>
          <w:kern w:val="0"/>
          <w:sz w:val="21"/>
          <w:szCs w:val="21"/>
          <w:u w:val="none"/>
        </w:rPr>
        <w:t>地下水环境监测及评价结果统计表单位:mg/L(PH除外)</w:t>
      </w:r>
    </w:p>
    <w:tbl>
      <w:tblPr>
        <w:tblStyle w:val="36"/>
        <w:tblW w:w="4997"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566"/>
        <w:gridCol w:w="1904"/>
        <w:gridCol w:w="1275"/>
        <w:gridCol w:w="1120"/>
        <w:gridCol w:w="1157"/>
        <w:gridCol w:w="675"/>
        <w:gridCol w:w="1031"/>
        <w:gridCol w:w="78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tcBorders>
              <w:tl2br w:val="nil"/>
              <w:tr2bl w:val="nil"/>
            </w:tcBorders>
            <w:noWrap w:val="0"/>
            <w:vAlign w:val="center"/>
          </w:tcPr>
          <w:p>
            <w:pPr>
              <w:pStyle w:val="120"/>
              <w:bidi w:val="0"/>
              <w:rPr>
                <w:rFonts w:hint="default"/>
              </w:rPr>
            </w:pPr>
            <w:r>
              <w:rPr>
                <w:rFonts w:hint="default"/>
              </w:rPr>
              <w:t>断面</w:t>
            </w:r>
          </w:p>
        </w:tc>
        <w:tc>
          <w:tcPr>
            <w:tcW w:w="1124" w:type="pct"/>
            <w:tcBorders>
              <w:tl2br w:val="nil"/>
              <w:tr2bl w:val="nil"/>
            </w:tcBorders>
            <w:noWrap w:val="0"/>
            <w:vAlign w:val="center"/>
          </w:tcPr>
          <w:p>
            <w:pPr>
              <w:pStyle w:val="120"/>
              <w:bidi w:val="0"/>
              <w:rPr>
                <w:rFonts w:hint="default"/>
              </w:rPr>
            </w:pPr>
            <w:r>
              <w:rPr>
                <w:rFonts w:hint="default"/>
              </w:rPr>
              <w:t>项目</w:t>
            </w:r>
          </w:p>
        </w:tc>
        <w:tc>
          <w:tcPr>
            <w:tcW w:w="699" w:type="pct"/>
            <w:tcBorders>
              <w:tl2br w:val="nil"/>
              <w:tr2bl w:val="nil"/>
            </w:tcBorders>
            <w:noWrap w:val="0"/>
            <w:vAlign w:val="center"/>
          </w:tcPr>
          <w:p>
            <w:pPr>
              <w:pStyle w:val="120"/>
              <w:bidi w:val="0"/>
              <w:rPr>
                <w:rFonts w:hint="default"/>
              </w:rPr>
            </w:pPr>
            <w:r>
              <w:rPr>
                <w:rFonts w:hint="default"/>
              </w:rPr>
              <w:t>浓度范围</w:t>
            </w:r>
          </w:p>
        </w:tc>
        <w:tc>
          <w:tcPr>
            <w:tcW w:w="664" w:type="pct"/>
            <w:tcBorders>
              <w:tl2br w:val="nil"/>
              <w:tr2bl w:val="nil"/>
            </w:tcBorders>
            <w:noWrap w:val="0"/>
            <w:vAlign w:val="center"/>
          </w:tcPr>
          <w:p>
            <w:pPr>
              <w:pStyle w:val="120"/>
              <w:bidi w:val="0"/>
              <w:rPr>
                <w:rFonts w:hint="default"/>
              </w:rPr>
            </w:pPr>
            <w:r>
              <w:rPr>
                <w:rFonts w:hint="default"/>
              </w:rPr>
              <w:t>评价标准</w:t>
            </w:r>
          </w:p>
        </w:tc>
        <w:tc>
          <w:tcPr>
            <w:tcW w:w="686" w:type="pct"/>
            <w:tcBorders>
              <w:tl2br w:val="nil"/>
              <w:tr2bl w:val="nil"/>
            </w:tcBorders>
            <w:noWrap w:val="0"/>
            <w:vAlign w:val="center"/>
          </w:tcPr>
          <w:p>
            <w:pPr>
              <w:pStyle w:val="120"/>
              <w:bidi w:val="0"/>
              <w:rPr>
                <w:rFonts w:hint="default"/>
              </w:rPr>
            </w:pPr>
            <w:r>
              <w:rPr>
                <w:rFonts w:hint="default"/>
              </w:rPr>
              <w:t>样品数/超标样品数</w:t>
            </w:r>
          </w:p>
        </w:tc>
        <w:tc>
          <w:tcPr>
            <w:tcW w:w="403" w:type="pct"/>
            <w:tcBorders>
              <w:tl2br w:val="nil"/>
              <w:tr2bl w:val="nil"/>
            </w:tcBorders>
            <w:noWrap w:val="0"/>
            <w:vAlign w:val="center"/>
          </w:tcPr>
          <w:p>
            <w:pPr>
              <w:pStyle w:val="120"/>
              <w:bidi w:val="0"/>
              <w:rPr>
                <w:rFonts w:hint="default"/>
              </w:rPr>
            </w:pPr>
            <w:r>
              <w:rPr>
                <w:rFonts w:hint="default"/>
              </w:rPr>
              <w:t>超标率</w:t>
            </w:r>
          </w:p>
        </w:tc>
        <w:tc>
          <w:tcPr>
            <w:tcW w:w="612" w:type="pct"/>
            <w:tcBorders>
              <w:tl2br w:val="nil"/>
              <w:tr2bl w:val="nil"/>
            </w:tcBorders>
            <w:noWrap w:val="0"/>
            <w:vAlign w:val="center"/>
          </w:tcPr>
          <w:p>
            <w:pPr>
              <w:pStyle w:val="120"/>
              <w:bidi w:val="0"/>
              <w:rPr>
                <w:rFonts w:hint="default"/>
              </w:rPr>
            </w:pPr>
            <w:r>
              <w:rPr>
                <w:rFonts w:hint="default"/>
              </w:rPr>
              <w:t>最大超标倍数</w:t>
            </w:r>
          </w:p>
        </w:tc>
        <w:tc>
          <w:tcPr>
            <w:tcW w:w="470" w:type="pct"/>
            <w:tcBorders>
              <w:tl2br w:val="nil"/>
              <w:tr2bl w:val="nil"/>
            </w:tcBorders>
            <w:noWrap w:val="0"/>
            <w:vAlign w:val="center"/>
          </w:tcPr>
          <w:p>
            <w:pPr>
              <w:pStyle w:val="120"/>
              <w:bidi w:val="0"/>
              <w:rPr>
                <w:rFonts w:hint="default"/>
              </w:rPr>
            </w:pPr>
            <w:r>
              <w:rPr>
                <w:rFonts w:hint="default"/>
              </w:rPr>
              <w:t>达标情况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restart"/>
            <w:tcBorders>
              <w:tl2br w:val="nil"/>
              <w:tr2bl w:val="nil"/>
            </w:tcBorders>
            <w:noWrap w:val="0"/>
            <w:vAlign w:val="center"/>
          </w:tcPr>
          <w:p>
            <w:pPr>
              <w:pStyle w:val="120"/>
              <w:bidi w:val="0"/>
              <w:rPr>
                <w:rFonts w:hint="default"/>
              </w:rPr>
            </w:pPr>
            <w:r>
              <w:rPr>
                <w:rFonts w:hint="default"/>
              </w:rPr>
              <w:t>D1</w:t>
            </w:r>
          </w:p>
        </w:tc>
        <w:tc>
          <w:tcPr>
            <w:tcW w:w="1124" w:type="pct"/>
            <w:tcBorders>
              <w:tl2br w:val="nil"/>
              <w:tr2bl w:val="nil"/>
            </w:tcBorders>
            <w:noWrap w:val="0"/>
            <w:vAlign w:val="center"/>
          </w:tcPr>
          <w:p>
            <w:pPr>
              <w:pStyle w:val="120"/>
              <w:bidi w:val="0"/>
              <w:rPr>
                <w:rFonts w:hint="default"/>
              </w:rPr>
            </w:pPr>
            <w:r>
              <w:rPr>
                <w:rFonts w:hint="default"/>
              </w:rPr>
              <w:t>pH</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6.86~6.97</w:t>
            </w:r>
          </w:p>
        </w:tc>
        <w:tc>
          <w:tcPr>
            <w:tcW w:w="664" w:type="pct"/>
            <w:tcBorders>
              <w:tl2br w:val="nil"/>
              <w:tr2bl w:val="nil"/>
            </w:tcBorders>
            <w:noWrap w:val="0"/>
            <w:vAlign w:val="center"/>
          </w:tcPr>
          <w:p>
            <w:pPr>
              <w:pStyle w:val="120"/>
              <w:bidi w:val="0"/>
              <w:rPr>
                <w:rFonts w:hint="default"/>
              </w:rPr>
            </w:pPr>
            <w:r>
              <w:rPr>
                <w:rFonts w:hint="default"/>
                <w:lang w:val="en-US" w:eastAsia="zh-CN"/>
              </w:rPr>
              <w:t>6.5~8.5</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氨氮</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0.065~0.071</w:t>
            </w:r>
          </w:p>
        </w:tc>
        <w:tc>
          <w:tcPr>
            <w:tcW w:w="664" w:type="pct"/>
            <w:tcBorders>
              <w:tl2br w:val="nil"/>
              <w:tr2bl w:val="nil"/>
            </w:tcBorders>
            <w:noWrap w:val="0"/>
            <w:vAlign w:val="center"/>
          </w:tcPr>
          <w:p>
            <w:pPr>
              <w:pStyle w:val="120"/>
              <w:bidi w:val="0"/>
              <w:rPr>
                <w:rFonts w:hint="default"/>
              </w:rPr>
            </w:pPr>
            <w:r>
              <w:rPr>
                <w:rFonts w:hint="default"/>
                <w:lang w:val="en-US" w:eastAsia="zh-CN"/>
              </w:rPr>
              <w:t>≤0.1</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总硬度</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133~139</w:t>
            </w:r>
          </w:p>
        </w:tc>
        <w:tc>
          <w:tcPr>
            <w:tcW w:w="664" w:type="pct"/>
            <w:tcBorders>
              <w:tl2br w:val="nil"/>
              <w:tr2bl w:val="nil"/>
            </w:tcBorders>
            <w:noWrap w:val="0"/>
            <w:vAlign w:val="center"/>
          </w:tcPr>
          <w:p>
            <w:pPr>
              <w:pStyle w:val="120"/>
              <w:bidi w:val="0"/>
              <w:rPr>
                <w:rFonts w:hint="default"/>
              </w:rPr>
            </w:pPr>
            <w:r>
              <w:rPr>
                <w:rFonts w:hint="default"/>
              </w:rPr>
              <w:t>≤450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溶解性总固体</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133~140</w:t>
            </w:r>
          </w:p>
        </w:tc>
        <w:tc>
          <w:tcPr>
            <w:tcW w:w="664" w:type="pct"/>
            <w:tcBorders>
              <w:tl2br w:val="nil"/>
              <w:tr2bl w:val="nil"/>
            </w:tcBorders>
            <w:noWrap w:val="0"/>
            <w:vAlign w:val="center"/>
          </w:tcPr>
          <w:p>
            <w:pPr>
              <w:pStyle w:val="120"/>
              <w:bidi w:val="0"/>
              <w:rPr>
                <w:rFonts w:hint="default"/>
              </w:rPr>
            </w:pPr>
            <w:r>
              <w:rPr>
                <w:rFonts w:hint="default"/>
              </w:rPr>
              <w:t>≤1000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氯化物</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2.11~2.19</w:t>
            </w:r>
          </w:p>
        </w:tc>
        <w:tc>
          <w:tcPr>
            <w:tcW w:w="664" w:type="pct"/>
            <w:tcBorders>
              <w:tl2br w:val="nil"/>
              <w:tr2bl w:val="nil"/>
            </w:tcBorders>
            <w:noWrap w:val="0"/>
            <w:vAlign w:val="center"/>
          </w:tcPr>
          <w:p>
            <w:pPr>
              <w:pStyle w:val="120"/>
              <w:bidi w:val="0"/>
              <w:rPr>
                <w:rFonts w:hint="default"/>
              </w:rPr>
            </w:pPr>
            <w:r>
              <w:rPr>
                <w:rFonts w:hint="default"/>
              </w:rPr>
              <w:t>≤250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硫酸盐</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8.03~8.11</w:t>
            </w:r>
          </w:p>
        </w:tc>
        <w:tc>
          <w:tcPr>
            <w:tcW w:w="664" w:type="pct"/>
            <w:tcBorders>
              <w:tl2br w:val="nil"/>
              <w:tr2bl w:val="nil"/>
            </w:tcBorders>
            <w:noWrap w:val="0"/>
            <w:vAlign w:val="center"/>
          </w:tcPr>
          <w:p>
            <w:pPr>
              <w:pStyle w:val="120"/>
              <w:bidi w:val="0"/>
              <w:rPr>
                <w:rFonts w:hint="default"/>
              </w:rPr>
            </w:pPr>
            <w:r>
              <w:rPr>
                <w:rFonts w:hint="default"/>
              </w:rPr>
              <w:t>≤250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挥发酚</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0.002L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0.002</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耗氧量</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0.92~1.00</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3.0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硝酸盐</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0.284~0.288</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20.0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亚硝酸盐</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0.001L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1.0</w:t>
            </w:r>
          </w:p>
        </w:tc>
        <w:tc>
          <w:tcPr>
            <w:tcW w:w="686" w:type="pct"/>
            <w:tcBorders>
              <w:tl2br w:val="nil"/>
              <w:tr2bl w:val="nil"/>
            </w:tcBorders>
            <w:noWrap w:val="0"/>
            <w:vAlign w:val="center"/>
          </w:tcPr>
          <w:p>
            <w:pPr>
              <w:pStyle w:val="120"/>
              <w:bidi w:val="0"/>
              <w:rPr>
                <w:rFonts w:hint="default"/>
              </w:rPr>
            </w:pPr>
          </w:p>
        </w:tc>
        <w:tc>
          <w:tcPr>
            <w:tcW w:w="403" w:type="pct"/>
            <w:tcBorders>
              <w:tl2br w:val="nil"/>
              <w:tr2bl w:val="nil"/>
            </w:tcBorders>
            <w:noWrap w:val="0"/>
            <w:vAlign w:val="center"/>
          </w:tcPr>
          <w:p>
            <w:pPr>
              <w:pStyle w:val="120"/>
              <w:bidi w:val="0"/>
              <w:rPr>
                <w:rFonts w:hint="default"/>
              </w:rPr>
            </w:pPr>
          </w:p>
        </w:tc>
        <w:tc>
          <w:tcPr>
            <w:tcW w:w="612" w:type="pct"/>
            <w:tcBorders>
              <w:tl2br w:val="nil"/>
              <w:tr2bl w:val="nil"/>
            </w:tcBorders>
            <w:noWrap w:val="0"/>
            <w:vAlign w:val="center"/>
          </w:tcPr>
          <w:p>
            <w:pPr>
              <w:pStyle w:val="120"/>
              <w:bidi w:val="0"/>
              <w:rPr>
                <w:rFonts w:hint="default"/>
              </w:rPr>
            </w:pPr>
          </w:p>
        </w:tc>
        <w:tc>
          <w:tcPr>
            <w:tcW w:w="470" w:type="pct"/>
            <w:tcBorders>
              <w:tl2br w:val="nil"/>
              <w:tr2bl w:val="nil"/>
            </w:tcBorders>
            <w:noWrap w:val="0"/>
            <w:vAlign w:val="center"/>
          </w:tcPr>
          <w:p>
            <w:pPr>
              <w:pStyle w:val="120"/>
              <w:bidi w:val="0"/>
              <w:rPr>
                <w:rFonts w:hint="default"/>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氟化物</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0.1L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1.0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氰化物</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0.002L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0.05</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六价铬</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0.004L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0.05</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砷</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0.001L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汞</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0.0001L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铅</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0.01L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镉</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0.0005L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0.005</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总大肠菌群</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2.0</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3.0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铁</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0.3L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0.3</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锰</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0.1L</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细菌总数</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81~85</w:t>
            </w:r>
          </w:p>
        </w:tc>
        <w:tc>
          <w:tcPr>
            <w:tcW w:w="664"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100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default"/>
              </w:rPr>
            </w:pPr>
            <w:r>
              <w:rPr>
                <w:rFonts w:hint="default"/>
                <w:lang w:val="en-US" w:eastAsia="zh-CN"/>
              </w:rPr>
              <w:t>石油类</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0.01L</w:t>
            </w:r>
          </w:p>
        </w:tc>
        <w:tc>
          <w:tcPr>
            <w:tcW w:w="664"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86"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0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12"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7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124" w:type="pct"/>
            <w:tcBorders>
              <w:tl2br w:val="nil"/>
              <w:tr2bl w:val="nil"/>
            </w:tcBorders>
            <w:noWrap w:val="0"/>
            <w:vAlign w:val="center"/>
          </w:tcPr>
          <w:p>
            <w:pPr>
              <w:pStyle w:val="120"/>
              <w:bidi w:val="0"/>
              <w:rPr>
                <w:rFonts w:hint="eastAsia"/>
                <w:lang w:eastAsia="zh-CN"/>
              </w:rPr>
            </w:pPr>
            <w:r>
              <w:rPr>
                <w:rFonts w:hint="default"/>
                <w:lang w:val="en-US" w:eastAsia="zh-CN"/>
              </w:rPr>
              <w:t>地下水位</w:t>
            </w:r>
            <w:r>
              <w:rPr>
                <w:rFonts w:hint="eastAsia"/>
                <w:lang w:eastAsia="zh-CN"/>
              </w:rPr>
              <w:t>（</w:t>
            </w:r>
            <w:r>
              <w:rPr>
                <w:rFonts w:hint="eastAsia"/>
                <w:lang w:val="en-US" w:eastAsia="zh-CN"/>
              </w:rPr>
              <w:t>m</w:t>
            </w:r>
            <w:r>
              <w:rPr>
                <w:rFonts w:hint="eastAsia"/>
                <w:lang w:eastAsia="zh-CN"/>
              </w:rPr>
              <w:t>）</w:t>
            </w:r>
          </w:p>
        </w:tc>
        <w:tc>
          <w:tcPr>
            <w:tcW w:w="699" w:type="pct"/>
            <w:tcBorders>
              <w:tl2br w:val="nil"/>
              <w:tr2bl w:val="nil"/>
            </w:tcBorders>
            <w:noWrap w:val="0"/>
            <w:vAlign w:val="center"/>
          </w:tcPr>
          <w:p>
            <w:pPr>
              <w:pStyle w:val="120"/>
              <w:bidi w:val="0"/>
              <w:rPr>
                <w:rFonts w:hint="default"/>
                <w:lang w:val="en-US" w:eastAsia="zh-CN"/>
              </w:rPr>
            </w:pPr>
            <w:r>
              <w:rPr>
                <w:rFonts w:hint="default"/>
                <w:lang w:val="en-US" w:eastAsia="zh-CN"/>
              </w:rPr>
              <w:t>12</w:t>
            </w:r>
          </w:p>
        </w:tc>
        <w:tc>
          <w:tcPr>
            <w:tcW w:w="664"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86"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0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12"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7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restart"/>
            <w:tcBorders>
              <w:tl2br w:val="nil"/>
              <w:tr2bl w:val="nil"/>
            </w:tcBorders>
            <w:noWrap w:val="0"/>
            <w:vAlign w:val="center"/>
          </w:tcPr>
          <w:p>
            <w:pPr>
              <w:pStyle w:val="120"/>
              <w:bidi w:val="0"/>
              <w:rPr>
                <w:rFonts w:hint="default"/>
              </w:rPr>
            </w:pPr>
            <w:r>
              <w:rPr>
                <w:rFonts w:hint="default"/>
              </w:rPr>
              <w:t>D2</w:t>
            </w:r>
          </w:p>
        </w:tc>
        <w:tc>
          <w:tcPr>
            <w:tcW w:w="1907" w:type="dxa"/>
            <w:tcBorders>
              <w:tl2br w:val="nil"/>
              <w:tr2bl w:val="nil"/>
            </w:tcBorders>
            <w:noWrap w:val="0"/>
            <w:vAlign w:val="center"/>
          </w:tcPr>
          <w:p>
            <w:pPr>
              <w:pStyle w:val="120"/>
              <w:bidi w:val="0"/>
              <w:rPr>
                <w:rFonts w:hint="default"/>
              </w:rPr>
            </w:pPr>
            <w:r>
              <w:rPr>
                <w:rFonts w:hint="default"/>
              </w:rPr>
              <w:t>pH</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6.74~6.82</w:t>
            </w:r>
          </w:p>
        </w:tc>
        <w:tc>
          <w:tcPr>
            <w:tcW w:w="1127" w:type="dxa"/>
            <w:tcBorders>
              <w:tl2br w:val="nil"/>
              <w:tr2bl w:val="nil"/>
            </w:tcBorders>
            <w:noWrap w:val="0"/>
            <w:vAlign w:val="center"/>
          </w:tcPr>
          <w:p>
            <w:pPr>
              <w:pStyle w:val="120"/>
              <w:bidi w:val="0"/>
              <w:rPr>
                <w:rFonts w:hint="default"/>
              </w:rPr>
            </w:pPr>
            <w:r>
              <w:rPr>
                <w:rFonts w:hint="default"/>
                <w:lang w:val="en-US" w:eastAsia="zh-CN"/>
              </w:rPr>
              <w:t>6.5~8.5</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氨氮</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0.048~0.059</w:t>
            </w:r>
          </w:p>
        </w:tc>
        <w:tc>
          <w:tcPr>
            <w:tcW w:w="1127" w:type="dxa"/>
            <w:tcBorders>
              <w:tl2br w:val="nil"/>
              <w:tr2bl w:val="nil"/>
            </w:tcBorders>
            <w:noWrap w:val="0"/>
            <w:vAlign w:val="center"/>
          </w:tcPr>
          <w:p>
            <w:pPr>
              <w:pStyle w:val="120"/>
              <w:bidi w:val="0"/>
              <w:rPr>
                <w:rFonts w:hint="default"/>
              </w:rPr>
            </w:pPr>
            <w:r>
              <w:rPr>
                <w:rFonts w:hint="default"/>
                <w:lang w:val="en-US" w:eastAsia="zh-CN"/>
              </w:rPr>
              <w:t>≤0.1</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总硬度</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151~155</w:t>
            </w:r>
          </w:p>
        </w:tc>
        <w:tc>
          <w:tcPr>
            <w:tcW w:w="1127" w:type="dxa"/>
            <w:tcBorders>
              <w:tl2br w:val="nil"/>
              <w:tr2bl w:val="nil"/>
            </w:tcBorders>
            <w:noWrap w:val="0"/>
            <w:vAlign w:val="center"/>
          </w:tcPr>
          <w:p>
            <w:pPr>
              <w:pStyle w:val="120"/>
              <w:bidi w:val="0"/>
              <w:rPr>
                <w:rFonts w:hint="default"/>
              </w:rPr>
            </w:pPr>
            <w:r>
              <w:rPr>
                <w:rFonts w:hint="default"/>
              </w:rPr>
              <w:t>≤450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溶解性总固体</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145~151</w:t>
            </w:r>
          </w:p>
        </w:tc>
        <w:tc>
          <w:tcPr>
            <w:tcW w:w="1127" w:type="dxa"/>
            <w:tcBorders>
              <w:tl2br w:val="nil"/>
              <w:tr2bl w:val="nil"/>
            </w:tcBorders>
            <w:noWrap w:val="0"/>
            <w:vAlign w:val="center"/>
          </w:tcPr>
          <w:p>
            <w:pPr>
              <w:pStyle w:val="120"/>
              <w:bidi w:val="0"/>
              <w:rPr>
                <w:rFonts w:hint="default"/>
              </w:rPr>
            </w:pPr>
            <w:r>
              <w:rPr>
                <w:rFonts w:hint="default"/>
              </w:rPr>
              <w:t>≤1000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氯化物</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2.21~2.31</w:t>
            </w:r>
          </w:p>
        </w:tc>
        <w:tc>
          <w:tcPr>
            <w:tcW w:w="1127" w:type="dxa"/>
            <w:tcBorders>
              <w:tl2br w:val="nil"/>
              <w:tr2bl w:val="nil"/>
            </w:tcBorders>
            <w:noWrap w:val="0"/>
            <w:vAlign w:val="center"/>
          </w:tcPr>
          <w:p>
            <w:pPr>
              <w:pStyle w:val="120"/>
              <w:bidi w:val="0"/>
              <w:rPr>
                <w:rFonts w:hint="default"/>
              </w:rPr>
            </w:pPr>
            <w:r>
              <w:rPr>
                <w:rFonts w:hint="default"/>
              </w:rPr>
              <w:t>≤250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硫酸盐</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8.37~8.43</w:t>
            </w:r>
          </w:p>
        </w:tc>
        <w:tc>
          <w:tcPr>
            <w:tcW w:w="1127" w:type="dxa"/>
            <w:tcBorders>
              <w:tl2br w:val="nil"/>
              <w:tr2bl w:val="nil"/>
            </w:tcBorders>
            <w:noWrap w:val="0"/>
            <w:vAlign w:val="center"/>
          </w:tcPr>
          <w:p>
            <w:pPr>
              <w:pStyle w:val="120"/>
              <w:bidi w:val="0"/>
              <w:rPr>
                <w:rFonts w:hint="default"/>
              </w:rPr>
            </w:pPr>
            <w:r>
              <w:rPr>
                <w:rFonts w:hint="default"/>
              </w:rPr>
              <w:t>≤250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挥发酚</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0.002L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0.002</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耗氧量</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1.05~1.07</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3.0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硝酸盐</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0.301~0.305</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20.0</w:t>
            </w:r>
          </w:p>
        </w:tc>
        <w:tc>
          <w:tcPr>
            <w:tcW w:w="686" w:type="pct"/>
            <w:tcBorders>
              <w:tl2br w:val="nil"/>
              <w:tr2bl w:val="nil"/>
            </w:tcBorders>
            <w:noWrap w:val="0"/>
            <w:vAlign w:val="center"/>
          </w:tcPr>
          <w:p>
            <w:pPr>
              <w:pStyle w:val="120"/>
              <w:bidi w:val="0"/>
              <w:rPr>
                <w:rFonts w:hint="default"/>
              </w:rPr>
            </w:pPr>
            <w:r>
              <w:rPr>
                <w:rFonts w:hint="default"/>
              </w:rPr>
              <w:t>3/0</w:t>
            </w:r>
          </w:p>
        </w:tc>
        <w:tc>
          <w:tcPr>
            <w:tcW w:w="403" w:type="pct"/>
            <w:tcBorders>
              <w:tl2br w:val="nil"/>
              <w:tr2bl w:val="nil"/>
            </w:tcBorders>
            <w:noWrap w:val="0"/>
            <w:vAlign w:val="center"/>
          </w:tcPr>
          <w:p>
            <w:pPr>
              <w:pStyle w:val="120"/>
              <w:bidi w:val="0"/>
              <w:rPr>
                <w:rFonts w:hint="default"/>
              </w:rPr>
            </w:pPr>
            <w:r>
              <w:rPr>
                <w:rFonts w:hint="default"/>
              </w:rPr>
              <w:t>0</w:t>
            </w:r>
          </w:p>
        </w:tc>
        <w:tc>
          <w:tcPr>
            <w:tcW w:w="612" w:type="pct"/>
            <w:tcBorders>
              <w:tl2br w:val="nil"/>
              <w:tr2bl w:val="nil"/>
            </w:tcBorders>
            <w:noWrap w:val="0"/>
            <w:vAlign w:val="center"/>
          </w:tcPr>
          <w:p>
            <w:pPr>
              <w:pStyle w:val="120"/>
              <w:bidi w:val="0"/>
              <w:rPr>
                <w:rFonts w:hint="default"/>
              </w:rPr>
            </w:pPr>
            <w:r>
              <w:rPr>
                <w:rFonts w:hint="default"/>
              </w:rPr>
              <w:t>0</w:t>
            </w:r>
          </w:p>
        </w:tc>
        <w:tc>
          <w:tcPr>
            <w:tcW w:w="470"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亚硝酸盐</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1.0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氟化物</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1.0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氰化物</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0.002L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0.05</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六价铬</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0.004L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0.05</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砷</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汞</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铅</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镉</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0.0005L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0.005</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总大肠菌群</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1.0~1.1</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3.0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铁</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0.3L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0.3</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锰</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细菌总数</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74~86</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100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石油类</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0.01L</w:t>
            </w:r>
          </w:p>
        </w:tc>
        <w:tc>
          <w:tcPr>
            <w:tcW w:w="1127" w:type="dxa"/>
            <w:tcBorders>
              <w:tl2br w:val="nil"/>
              <w:tr2bl w:val="nil"/>
            </w:tcBorders>
            <w:noWrap w:val="0"/>
            <w:vAlign w:val="center"/>
          </w:tcPr>
          <w:p>
            <w:pPr>
              <w:pStyle w:val="120"/>
              <w:bidi w:val="0"/>
              <w:rPr>
                <w:rFonts w:hint="default"/>
              </w:rPr>
            </w:pPr>
            <w:r>
              <w:rPr>
                <w:rFonts w:hint="default"/>
                <w:lang w:val="en-US" w:eastAsia="zh-CN"/>
              </w:rPr>
              <w:t>/</w:t>
            </w:r>
          </w:p>
        </w:tc>
        <w:tc>
          <w:tcPr>
            <w:tcW w:w="686"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0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12"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7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地下水位</w:t>
            </w:r>
            <w:r>
              <w:rPr>
                <w:rFonts w:hint="eastAsia"/>
                <w:lang w:eastAsia="zh-CN"/>
              </w:rPr>
              <w:t>（</w:t>
            </w:r>
            <w:r>
              <w:rPr>
                <w:rFonts w:hint="eastAsia"/>
                <w:lang w:val="en-US" w:eastAsia="zh-CN"/>
              </w:rPr>
              <w:t>m</w:t>
            </w:r>
            <w:r>
              <w:rPr>
                <w:rFonts w:hint="eastAsia"/>
                <w:lang w:eastAsia="zh-CN"/>
              </w:rPr>
              <w:t>）</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14</w:t>
            </w:r>
          </w:p>
        </w:tc>
        <w:tc>
          <w:tcPr>
            <w:tcW w:w="1127" w:type="dxa"/>
            <w:tcBorders>
              <w:tl2br w:val="nil"/>
              <w:tr2bl w:val="nil"/>
            </w:tcBorders>
            <w:noWrap w:val="0"/>
            <w:vAlign w:val="center"/>
          </w:tcPr>
          <w:p>
            <w:pPr>
              <w:pStyle w:val="120"/>
              <w:bidi w:val="0"/>
              <w:rPr>
                <w:rFonts w:hint="default"/>
              </w:rPr>
            </w:pPr>
            <w:r>
              <w:rPr>
                <w:rFonts w:hint="default"/>
                <w:lang w:val="en-US" w:eastAsia="zh-CN"/>
              </w:rPr>
              <w:t>/</w:t>
            </w:r>
          </w:p>
        </w:tc>
        <w:tc>
          <w:tcPr>
            <w:tcW w:w="686"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0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12"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7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restart"/>
            <w:tcBorders>
              <w:tl2br w:val="nil"/>
              <w:tr2bl w:val="nil"/>
            </w:tcBorders>
            <w:noWrap w:val="0"/>
            <w:vAlign w:val="center"/>
          </w:tcPr>
          <w:p>
            <w:pPr>
              <w:pStyle w:val="120"/>
              <w:bidi w:val="0"/>
              <w:rPr>
                <w:rFonts w:hint="default"/>
                <w:lang w:val="en-US" w:eastAsia="zh-CN"/>
              </w:rPr>
            </w:pPr>
            <w:r>
              <w:rPr>
                <w:rFonts w:hint="default"/>
                <w:lang w:val="en-US" w:eastAsia="zh-CN"/>
              </w:rPr>
              <w:t>D3</w:t>
            </w:r>
          </w:p>
        </w:tc>
        <w:tc>
          <w:tcPr>
            <w:tcW w:w="1907" w:type="dxa"/>
            <w:tcBorders>
              <w:tl2br w:val="nil"/>
              <w:tr2bl w:val="nil"/>
            </w:tcBorders>
            <w:noWrap w:val="0"/>
            <w:vAlign w:val="center"/>
          </w:tcPr>
          <w:p>
            <w:pPr>
              <w:pStyle w:val="120"/>
              <w:bidi w:val="0"/>
              <w:rPr>
                <w:rFonts w:hint="default"/>
              </w:rPr>
            </w:pPr>
            <w:r>
              <w:rPr>
                <w:rFonts w:hint="default"/>
              </w:rPr>
              <w:t>pH</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6.84~6.99</w:t>
            </w:r>
          </w:p>
        </w:tc>
        <w:tc>
          <w:tcPr>
            <w:tcW w:w="1127" w:type="dxa"/>
            <w:tcBorders>
              <w:tl2br w:val="nil"/>
              <w:tr2bl w:val="nil"/>
            </w:tcBorders>
            <w:noWrap w:val="0"/>
            <w:vAlign w:val="center"/>
          </w:tcPr>
          <w:p>
            <w:pPr>
              <w:pStyle w:val="120"/>
              <w:bidi w:val="0"/>
              <w:rPr>
                <w:rFonts w:hint="default"/>
              </w:rPr>
            </w:pPr>
            <w:r>
              <w:rPr>
                <w:rFonts w:hint="default"/>
                <w:lang w:val="en-US" w:eastAsia="zh-CN"/>
              </w:rPr>
              <w:t>6.5~8.5</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氨氮</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0.02L</w:t>
            </w:r>
          </w:p>
        </w:tc>
        <w:tc>
          <w:tcPr>
            <w:tcW w:w="1127" w:type="dxa"/>
            <w:tcBorders>
              <w:tl2br w:val="nil"/>
              <w:tr2bl w:val="nil"/>
            </w:tcBorders>
            <w:noWrap w:val="0"/>
            <w:vAlign w:val="center"/>
          </w:tcPr>
          <w:p>
            <w:pPr>
              <w:pStyle w:val="120"/>
              <w:bidi w:val="0"/>
              <w:rPr>
                <w:rFonts w:hint="default"/>
              </w:rPr>
            </w:pPr>
            <w:r>
              <w:rPr>
                <w:rFonts w:hint="default"/>
                <w:lang w:val="en-US" w:eastAsia="zh-CN"/>
              </w:rPr>
              <w:t>≤0.1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总硬度</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182~188</w:t>
            </w:r>
          </w:p>
        </w:tc>
        <w:tc>
          <w:tcPr>
            <w:tcW w:w="1127" w:type="dxa"/>
            <w:tcBorders>
              <w:tl2br w:val="nil"/>
              <w:tr2bl w:val="nil"/>
            </w:tcBorders>
            <w:noWrap w:val="0"/>
            <w:vAlign w:val="center"/>
          </w:tcPr>
          <w:p>
            <w:pPr>
              <w:pStyle w:val="120"/>
              <w:bidi w:val="0"/>
              <w:rPr>
                <w:rFonts w:hint="default"/>
              </w:rPr>
            </w:pPr>
            <w:r>
              <w:rPr>
                <w:rFonts w:hint="default"/>
              </w:rPr>
              <w:t>≤450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溶解性总固体</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158~169</w:t>
            </w:r>
          </w:p>
        </w:tc>
        <w:tc>
          <w:tcPr>
            <w:tcW w:w="1127" w:type="dxa"/>
            <w:tcBorders>
              <w:tl2br w:val="nil"/>
              <w:tr2bl w:val="nil"/>
            </w:tcBorders>
            <w:noWrap w:val="0"/>
            <w:vAlign w:val="center"/>
          </w:tcPr>
          <w:p>
            <w:pPr>
              <w:pStyle w:val="120"/>
              <w:bidi w:val="0"/>
              <w:rPr>
                <w:rFonts w:hint="default"/>
              </w:rPr>
            </w:pPr>
            <w:r>
              <w:rPr>
                <w:rFonts w:hint="default"/>
              </w:rPr>
              <w:t>≤1000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氯化物</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2.22~2.32</w:t>
            </w:r>
          </w:p>
        </w:tc>
        <w:tc>
          <w:tcPr>
            <w:tcW w:w="1127" w:type="dxa"/>
            <w:tcBorders>
              <w:tl2br w:val="nil"/>
              <w:tr2bl w:val="nil"/>
            </w:tcBorders>
            <w:noWrap w:val="0"/>
            <w:vAlign w:val="center"/>
          </w:tcPr>
          <w:p>
            <w:pPr>
              <w:pStyle w:val="120"/>
              <w:bidi w:val="0"/>
              <w:rPr>
                <w:rFonts w:hint="default"/>
              </w:rPr>
            </w:pPr>
            <w:r>
              <w:rPr>
                <w:rFonts w:hint="default"/>
              </w:rPr>
              <w:t>≤250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硫酸盐</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8.42~8.48</w:t>
            </w:r>
          </w:p>
        </w:tc>
        <w:tc>
          <w:tcPr>
            <w:tcW w:w="1127" w:type="dxa"/>
            <w:tcBorders>
              <w:tl2br w:val="nil"/>
              <w:tr2bl w:val="nil"/>
            </w:tcBorders>
            <w:noWrap w:val="0"/>
            <w:vAlign w:val="center"/>
          </w:tcPr>
          <w:p>
            <w:pPr>
              <w:pStyle w:val="120"/>
              <w:bidi w:val="0"/>
              <w:rPr>
                <w:rFonts w:hint="default"/>
              </w:rPr>
            </w:pPr>
            <w:r>
              <w:rPr>
                <w:rFonts w:hint="default"/>
              </w:rPr>
              <w:t>≤250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挥发酚</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0.002L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0.002</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耗氧量</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0.8~0.84</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3.0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硝酸盐</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0.293~0.301</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20.0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亚硝酸盐</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1.0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氟化物</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1.0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氰化物</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0.002L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0.05</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六价铬</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0.004L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0.05</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砷</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汞</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铅</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镉</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0.0005L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0.005</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总大肠菌群</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1.0</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3.0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铁</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0.3L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0.3</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锰</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0.1L</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0.1</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细菌总数</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73~78</w:t>
            </w:r>
          </w:p>
        </w:tc>
        <w:tc>
          <w:tcPr>
            <w:tcW w:w="1127" w:type="dxa"/>
            <w:tcBorders>
              <w:tl2br w:val="nil"/>
              <w:tr2bl w:val="nil"/>
            </w:tcBorders>
            <w:noWrap w:val="0"/>
            <w:vAlign w:val="center"/>
          </w:tcPr>
          <w:p>
            <w:pPr>
              <w:pStyle w:val="120"/>
              <w:bidi w:val="0"/>
              <w:rPr>
                <w:rFonts w:hint="default"/>
              </w:rPr>
            </w:pPr>
            <w:r>
              <w:rPr>
                <w:rFonts w:hint="default"/>
              </w:rPr>
              <w:t>≤</w:t>
            </w:r>
            <w:r>
              <w:rPr>
                <w:rFonts w:hint="default"/>
                <w:lang w:val="en-US" w:eastAsia="zh-CN"/>
              </w:rPr>
              <w:t>100</w:t>
            </w:r>
          </w:p>
        </w:tc>
        <w:tc>
          <w:tcPr>
            <w:tcW w:w="1144" w:type="dxa"/>
            <w:tcBorders>
              <w:tl2br w:val="nil"/>
              <w:tr2bl w:val="nil"/>
            </w:tcBorders>
            <w:noWrap w:val="0"/>
            <w:vAlign w:val="center"/>
          </w:tcPr>
          <w:p>
            <w:pPr>
              <w:pStyle w:val="120"/>
              <w:bidi w:val="0"/>
              <w:rPr>
                <w:rFonts w:hint="default"/>
              </w:rPr>
            </w:pPr>
            <w:r>
              <w:rPr>
                <w:rFonts w:hint="default"/>
              </w:rPr>
              <w:t>3/0</w:t>
            </w:r>
          </w:p>
        </w:tc>
        <w:tc>
          <w:tcPr>
            <w:tcW w:w="664" w:type="dxa"/>
            <w:tcBorders>
              <w:tl2br w:val="nil"/>
              <w:tr2bl w:val="nil"/>
            </w:tcBorders>
            <w:noWrap w:val="0"/>
            <w:vAlign w:val="center"/>
          </w:tcPr>
          <w:p>
            <w:pPr>
              <w:pStyle w:val="120"/>
              <w:bidi w:val="0"/>
              <w:rPr>
                <w:rFonts w:hint="default"/>
              </w:rPr>
            </w:pPr>
            <w:r>
              <w:rPr>
                <w:rFonts w:hint="default"/>
              </w:rPr>
              <w:t>0</w:t>
            </w:r>
          </w:p>
        </w:tc>
        <w:tc>
          <w:tcPr>
            <w:tcW w:w="1019" w:type="dxa"/>
            <w:tcBorders>
              <w:tl2br w:val="nil"/>
              <w:tr2bl w:val="nil"/>
            </w:tcBorders>
            <w:noWrap w:val="0"/>
            <w:vAlign w:val="center"/>
          </w:tcPr>
          <w:p>
            <w:pPr>
              <w:pStyle w:val="120"/>
              <w:bidi w:val="0"/>
              <w:rPr>
                <w:rFonts w:hint="default"/>
              </w:rPr>
            </w:pPr>
            <w:r>
              <w:rPr>
                <w:rFonts w:hint="default"/>
              </w:rPr>
              <w:t>0</w:t>
            </w:r>
          </w:p>
        </w:tc>
        <w:tc>
          <w:tcPr>
            <w:tcW w:w="779" w:type="dxa"/>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石油类</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0.01L</w:t>
            </w:r>
          </w:p>
        </w:tc>
        <w:tc>
          <w:tcPr>
            <w:tcW w:w="1127" w:type="dxa"/>
            <w:tcBorders>
              <w:tl2br w:val="nil"/>
              <w:tr2bl w:val="nil"/>
            </w:tcBorders>
            <w:noWrap w:val="0"/>
            <w:vAlign w:val="center"/>
          </w:tcPr>
          <w:p>
            <w:pPr>
              <w:pStyle w:val="120"/>
              <w:bidi w:val="0"/>
              <w:rPr>
                <w:rFonts w:hint="default"/>
              </w:rPr>
            </w:pPr>
            <w:r>
              <w:rPr>
                <w:rFonts w:hint="default"/>
                <w:lang w:val="en-US" w:eastAsia="zh-CN"/>
              </w:rPr>
              <w:t>/</w:t>
            </w:r>
          </w:p>
        </w:tc>
        <w:tc>
          <w:tcPr>
            <w:tcW w:w="686"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0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12"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7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tcBorders>
              <w:tl2br w:val="nil"/>
              <w:tr2bl w:val="nil"/>
            </w:tcBorders>
            <w:noWrap w:val="0"/>
            <w:vAlign w:val="center"/>
          </w:tcPr>
          <w:p>
            <w:pPr>
              <w:pStyle w:val="120"/>
              <w:bidi w:val="0"/>
              <w:rPr>
                <w:rFonts w:hint="default"/>
              </w:rPr>
            </w:pPr>
          </w:p>
        </w:tc>
        <w:tc>
          <w:tcPr>
            <w:tcW w:w="1907" w:type="dxa"/>
            <w:tcBorders>
              <w:tl2br w:val="nil"/>
              <w:tr2bl w:val="nil"/>
            </w:tcBorders>
            <w:noWrap w:val="0"/>
            <w:vAlign w:val="center"/>
          </w:tcPr>
          <w:p>
            <w:pPr>
              <w:pStyle w:val="120"/>
              <w:bidi w:val="0"/>
              <w:rPr>
                <w:rFonts w:hint="default"/>
              </w:rPr>
            </w:pPr>
            <w:r>
              <w:rPr>
                <w:rFonts w:hint="default"/>
                <w:lang w:val="en-US" w:eastAsia="zh-CN"/>
              </w:rPr>
              <w:t>地下水位</w:t>
            </w:r>
            <w:r>
              <w:rPr>
                <w:rFonts w:hint="eastAsia"/>
                <w:lang w:eastAsia="zh-CN"/>
              </w:rPr>
              <w:t>（</w:t>
            </w:r>
            <w:r>
              <w:rPr>
                <w:rFonts w:hint="eastAsia"/>
                <w:lang w:val="en-US" w:eastAsia="zh-CN"/>
              </w:rPr>
              <w:t>m</w:t>
            </w:r>
            <w:r>
              <w:rPr>
                <w:rFonts w:hint="eastAsia"/>
                <w:lang w:eastAsia="zh-CN"/>
              </w:rPr>
              <w:t>）</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9</w:t>
            </w:r>
          </w:p>
        </w:tc>
        <w:tc>
          <w:tcPr>
            <w:tcW w:w="1127" w:type="dxa"/>
            <w:tcBorders>
              <w:tl2br w:val="nil"/>
              <w:tr2bl w:val="nil"/>
            </w:tcBorders>
            <w:noWrap w:val="0"/>
            <w:vAlign w:val="center"/>
          </w:tcPr>
          <w:p>
            <w:pPr>
              <w:pStyle w:val="120"/>
              <w:bidi w:val="0"/>
              <w:rPr>
                <w:rFonts w:hint="default"/>
              </w:rPr>
            </w:pPr>
            <w:r>
              <w:rPr>
                <w:rFonts w:hint="default"/>
                <w:lang w:val="en-US" w:eastAsia="zh-CN"/>
              </w:rPr>
              <w:t>/</w:t>
            </w:r>
          </w:p>
        </w:tc>
        <w:tc>
          <w:tcPr>
            <w:tcW w:w="686"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0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12"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7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tcBorders>
              <w:tl2br w:val="nil"/>
              <w:tr2bl w:val="nil"/>
            </w:tcBorders>
            <w:noWrap w:val="0"/>
            <w:vAlign w:val="center"/>
          </w:tcPr>
          <w:p>
            <w:pPr>
              <w:pStyle w:val="120"/>
              <w:bidi w:val="0"/>
              <w:rPr>
                <w:rFonts w:hint="default"/>
                <w:lang w:val="en-US" w:eastAsia="zh-CN"/>
              </w:rPr>
            </w:pPr>
            <w:r>
              <w:rPr>
                <w:rFonts w:hint="default"/>
                <w:lang w:val="en-US" w:eastAsia="zh-CN"/>
              </w:rPr>
              <w:t>D4</w:t>
            </w:r>
          </w:p>
        </w:tc>
        <w:tc>
          <w:tcPr>
            <w:tcW w:w="1907" w:type="dxa"/>
            <w:tcBorders>
              <w:tl2br w:val="nil"/>
              <w:tr2bl w:val="nil"/>
            </w:tcBorders>
            <w:noWrap w:val="0"/>
            <w:vAlign w:val="center"/>
          </w:tcPr>
          <w:p>
            <w:pPr>
              <w:pStyle w:val="120"/>
              <w:bidi w:val="0"/>
              <w:rPr>
                <w:rFonts w:hint="default"/>
              </w:rPr>
            </w:pPr>
            <w:r>
              <w:rPr>
                <w:rFonts w:hint="default"/>
                <w:lang w:val="en-US" w:eastAsia="zh-CN"/>
              </w:rPr>
              <w:t>地下水位</w:t>
            </w:r>
            <w:r>
              <w:rPr>
                <w:rFonts w:hint="eastAsia"/>
                <w:lang w:eastAsia="zh-CN"/>
              </w:rPr>
              <w:t>（</w:t>
            </w:r>
            <w:r>
              <w:rPr>
                <w:rFonts w:hint="eastAsia"/>
                <w:lang w:val="en-US" w:eastAsia="zh-CN"/>
              </w:rPr>
              <w:t>m</w:t>
            </w:r>
            <w:r>
              <w:rPr>
                <w:rFonts w:hint="eastAsia"/>
                <w:lang w:eastAsia="zh-CN"/>
              </w:rPr>
              <w:t>）</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13</w:t>
            </w:r>
          </w:p>
        </w:tc>
        <w:tc>
          <w:tcPr>
            <w:tcW w:w="1127" w:type="dxa"/>
            <w:tcBorders>
              <w:tl2br w:val="nil"/>
              <w:tr2bl w:val="nil"/>
            </w:tcBorders>
            <w:noWrap w:val="0"/>
            <w:vAlign w:val="center"/>
          </w:tcPr>
          <w:p>
            <w:pPr>
              <w:pStyle w:val="120"/>
              <w:bidi w:val="0"/>
              <w:rPr>
                <w:rFonts w:hint="default"/>
              </w:rPr>
            </w:pPr>
            <w:r>
              <w:rPr>
                <w:rFonts w:hint="default"/>
                <w:lang w:val="en-US" w:eastAsia="zh-CN"/>
              </w:rPr>
              <w:t>/</w:t>
            </w:r>
          </w:p>
        </w:tc>
        <w:tc>
          <w:tcPr>
            <w:tcW w:w="686"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0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12"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7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tcBorders>
              <w:tl2br w:val="nil"/>
              <w:tr2bl w:val="nil"/>
            </w:tcBorders>
            <w:noWrap w:val="0"/>
            <w:vAlign w:val="center"/>
          </w:tcPr>
          <w:p>
            <w:pPr>
              <w:pStyle w:val="120"/>
              <w:bidi w:val="0"/>
              <w:rPr>
                <w:rFonts w:hint="default"/>
                <w:lang w:val="en-US" w:eastAsia="zh-CN"/>
              </w:rPr>
            </w:pPr>
            <w:r>
              <w:rPr>
                <w:rFonts w:hint="default"/>
                <w:lang w:val="en-US" w:eastAsia="zh-CN"/>
              </w:rPr>
              <w:t>D5</w:t>
            </w:r>
          </w:p>
        </w:tc>
        <w:tc>
          <w:tcPr>
            <w:tcW w:w="1907" w:type="dxa"/>
            <w:tcBorders>
              <w:tl2br w:val="nil"/>
              <w:tr2bl w:val="nil"/>
            </w:tcBorders>
            <w:noWrap w:val="0"/>
            <w:vAlign w:val="center"/>
          </w:tcPr>
          <w:p>
            <w:pPr>
              <w:pStyle w:val="120"/>
              <w:bidi w:val="0"/>
              <w:rPr>
                <w:rFonts w:hint="default"/>
              </w:rPr>
            </w:pPr>
            <w:r>
              <w:rPr>
                <w:rFonts w:hint="default"/>
                <w:lang w:val="en-US" w:eastAsia="zh-CN"/>
              </w:rPr>
              <w:t>地下水位</w:t>
            </w:r>
            <w:r>
              <w:rPr>
                <w:rFonts w:hint="eastAsia"/>
                <w:lang w:eastAsia="zh-CN"/>
              </w:rPr>
              <w:t>（</w:t>
            </w:r>
            <w:r>
              <w:rPr>
                <w:rFonts w:hint="eastAsia"/>
                <w:lang w:val="en-US" w:eastAsia="zh-CN"/>
              </w:rPr>
              <w:t>m</w:t>
            </w:r>
            <w:r>
              <w:rPr>
                <w:rFonts w:hint="eastAsia"/>
                <w:lang w:eastAsia="zh-CN"/>
              </w:rPr>
              <w:t>）</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18</w:t>
            </w:r>
          </w:p>
        </w:tc>
        <w:tc>
          <w:tcPr>
            <w:tcW w:w="1127" w:type="dxa"/>
            <w:tcBorders>
              <w:tl2br w:val="nil"/>
              <w:tr2bl w:val="nil"/>
            </w:tcBorders>
            <w:noWrap w:val="0"/>
            <w:vAlign w:val="center"/>
          </w:tcPr>
          <w:p>
            <w:pPr>
              <w:pStyle w:val="120"/>
              <w:bidi w:val="0"/>
              <w:rPr>
                <w:rFonts w:hint="default"/>
              </w:rPr>
            </w:pPr>
            <w:r>
              <w:rPr>
                <w:rFonts w:hint="default"/>
                <w:lang w:val="en-US" w:eastAsia="zh-CN"/>
              </w:rPr>
              <w:t>/</w:t>
            </w:r>
          </w:p>
        </w:tc>
        <w:tc>
          <w:tcPr>
            <w:tcW w:w="686"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0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12"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7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tcBorders>
              <w:tl2br w:val="nil"/>
              <w:tr2bl w:val="nil"/>
            </w:tcBorders>
            <w:noWrap w:val="0"/>
            <w:vAlign w:val="center"/>
          </w:tcPr>
          <w:p>
            <w:pPr>
              <w:pStyle w:val="120"/>
              <w:bidi w:val="0"/>
              <w:rPr>
                <w:rFonts w:hint="default"/>
                <w:lang w:val="en-US" w:eastAsia="zh-CN"/>
              </w:rPr>
            </w:pPr>
            <w:r>
              <w:rPr>
                <w:rFonts w:hint="default"/>
                <w:lang w:val="en-US" w:eastAsia="zh-CN"/>
              </w:rPr>
              <w:t>D6</w:t>
            </w:r>
          </w:p>
        </w:tc>
        <w:tc>
          <w:tcPr>
            <w:tcW w:w="1907" w:type="dxa"/>
            <w:tcBorders>
              <w:tl2br w:val="nil"/>
              <w:tr2bl w:val="nil"/>
            </w:tcBorders>
            <w:noWrap w:val="0"/>
            <w:vAlign w:val="center"/>
          </w:tcPr>
          <w:p>
            <w:pPr>
              <w:pStyle w:val="120"/>
              <w:bidi w:val="0"/>
              <w:rPr>
                <w:rFonts w:hint="default"/>
              </w:rPr>
            </w:pPr>
            <w:r>
              <w:rPr>
                <w:rFonts w:hint="default"/>
                <w:lang w:val="en-US" w:eastAsia="zh-CN"/>
              </w:rPr>
              <w:t>地下水位</w:t>
            </w:r>
            <w:r>
              <w:rPr>
                <w:rFonts w:hint="eastAsia"/>
                <w:lang w:eastAsia="zh-CN"/>
              </w:rPr>
              <w:t>（</w:t>
            </w:r>
            <w:r>
              <w:rPr>
                <w:rFonts w:hint="eastAsia"/>
                <w:lang w:val="en-US" w:eastAsia="zh-CN"/>
              </w:rPr>
              <w:t>m</w:t>
            </w:r>
            <w:r>
              <w:rPr>
                <w:rFonts w:hint="eastAsia"/>
                <w:lang w:eastAsia="zh-CN"/>
              </w:rPr>
              <w:t>）</w:t>
            </w:r>
          </w:p>
        </w:tc>
        <w:tc>
          <w:tcPr>
            <w:tcW w:w="1186" w:type="dxa"/>
            <w:tcBorders>
              <w:tl2br w:val="nil"/>
              <w:tr2bl w:val="nil"/>
            </w:tcBorders>
            <w:noWrap w:val="0"/>
            <w:vAlign w:val="center"/>
          </w:tcPr>
          <w:p>
            <w:pPr>
              <w:pStyle w:val="120"/>
              <w:bidi w:val="0"/>
              <w:rPr>
                <w:rFonts w:hint="default"/>
                <w:lang w:val="en-US" w:eastAsia="zh-CN"/>
              </w:rPr>
            </w:pPr>
            <w:r>
              <w:rPr>
                <w:rFonts w:hint="default"/>
                <w:lang w:val="en-US" w:eastAsia="zh-CN"/>
              </w:rPr>
              <w:t>10</w:t>
            </w:r>
          </w:p>
        </w:tc>
        <w:tc>
          <w:tcPr>
            <w:tcW w:w="1127" w:type="dxa"/>
            <w:tcBorders>
              <w:tl2br w:val="nil"/>
              <w:tr2bl w:val="nil"/>
            </w:tcBorders>
            <w:noWrap w:val="0"/>
            <w:vAlign w:val="center"/>
          </w:tcPr>
          <w:p>
            <w:pPr>
              <w:pStyle w:val="120"/>
              <w:bidi w:val="0"/>
              <w:rPr>
                <w:rFonts w:hint="default"/>
              </w:rPr>
            </w:pPr>
            <w:r>
              <w:rPr>
                <w:rFonts w:hint="default"/>
                <w:lang w:val="en-US" w:eastAsia="zh-CN"/>
              </w:rPr>
              <w:t>/</w:t>
            </w:r>
          </w:p>
        </w:tc>
        <w:tc>
          <w:tcPr>
            <w:tcW w:w="686"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0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12"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7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bl>
    <w:p>
      <w:pPr>
        <w:wordWrap w:val="0"/>
        <w:ind w:firstLine="480"/>
        <w:jc w:val="both"/>
        <w:rPr>
          <w:rFonts w:hint="eastAsia"/>
          <w:color w:val="auto"/>
          <w:kern w:val="0"/>
          <w:u w:val="none"/>
        </w:rPr>
      </w:pPr>
      <w:r>
        <w:rPr>
          <w:rFonts w:hint="eastAsia"/>
          <w:color w:val="auto"/>
          <w:kern w:val="0"/>
          <w:u w:val="none"/>
        </w:rPr>
        <w:t>由表3.4</w:t>
      </w:r>
      <w:r>
        <w:rPr>
          <w:color w:val="auto"/>
          <w:kern w:val="0"/>
          <w:u w:val="none"/>
        </w:rPr>
        <w:t>-</w:t>
      </w:r>
      <w:r>
        <w:rPr>
          <w:rFonts w:hint="eastAsia"/>
          <w:color w:val="auto"/>
          <w:kern w:val="0"/>
          <w:u w:val="none"/>
          <w:lang w:val="en-US" w:eastAsia="zh-CN"/>
        </w:rPr>
        <w:t>10</w:t>
      </w:r>
      <w:r>
        <w:rPr>
          <w:rFonts w:hint="eastAsia"/>
          <w:color w:val="auto"/>
          <w:kern w:val="0"/>
          <w:u w:val="none"/>
        </w:rPr>
        <w:t>可知：</w:t>
      </w:r>
      <w:r>
        <w:rPr>
          <w:rFonts w:hint="eastAsia"/>
          <w:color w:val="auto"/>
          <w:kern w:val="0"/>
          <w:u w:val="none"/>
          <w:lang w:eastAsia="zh-CN"/>
        </w:rPr>
        <w:t>引用</w:t>
      </w:r>
      <w:r>
        <w:rPr>
          <w:rFonts w:hint="eastAsia"/>
          <w:color w:val="auto"/>
          <w:kern w:val="0"/>
          <w:u w:val="none"/>
        </w:rPr>
        <w:t>地下水监测点的污染物无超标现象，满足</w:t>
      </w:r>
      <w:r>
        <w:rPr>
          <w:color w:val="auto"/>
          <w:kern w:val="0"/>
          <w:u w:val="none"/>
        </w:rPr>
        <w:t>《地下水质量标准》（</w:t>
      </w:r>
      <w:r>
        <w:rPr>
          <w:rFonts w:eastAsia="Times New Roman"/>
          <w:color w:val="auto"/>
          <w:kern w:val="0"/>
          <w:u w:val="none"/>
        </w:rPr>
        <w:t>GB/T14848-</w:t>
      </w:r>
      <w:r>
        <w:rPr>
          <w:rFonts w:hint="eastAsia"/>
          <w:color w:val="auto"/>
          <w:kern w:val="0"/>
          <w:u w:val="none"/>
        </w:rPr>
        <w:t>2017</w:t>
      </w:r>
      <w:r>
        <w:rPr>
          <w:color w:val="auto"/>
          <w:kern w:val="0"/>
          <w:u w:val="none"/>
        </w:rPr>
        <w:t>）</w:t>
      </w:r>
      <w:r>
        <w:rPr>
          <w:rFonts w:hint="eastAsia" w:cs="宋体"/>
          <w:color w:val="auto"/>
          <w:kern w:val="0"/>
          <w:u w:val="none"/>
        </w:rPr>
        <w:t>Ⅲ</w:t>
      </w:r>
      <w:r>
        <w:rPr>
          <w:color w:val="auto"/>
          <w:kern w:val="0"/>
          <w:u w:val="none"/>
        </w:rPr>
        <w:t>类标准</w:t>
      </w:r>
      <w:r>
        <w:rPr>
          <w:rFonts w:hint="eastAsia"/>
          <w:color w:val="auto"/>
          <w:kern w:val="0"/>
          <w:u w:val="none"/>
        </w:rPr>
        <w:t>，区域</w:t>
      </w:r>
      <w:r>
        <w:rPr>
          <w:rFonts w:hint="eastAsia"/>
          <w:color w:val="auto"/>
          <w:kern w:val="0"/>
          <w:u w:val="none"/>
          <w:lang w:eastAsia="zh-CN"/>
        </w:rPr>
        <w:t>地下水</w:t>
      </w:r>
      <w:r>
        <w:rPr>
          <w:rFonts w:hint="eastAsia"/>
          <w:color w:val="auto"/>
          <w:kern w:val="0"/>
          <w:u w:val="none"/>
        </w:rPr>
        <w:t>质量现状良好。</w:t>
      </w:r>
    </w:p>
    <w:p>
      <w:pPr>
        <w:pStyle w:val="69"/>
        <w:bidi w:val="0"/>
        <w:rPr>
          <w:rFonts w:hint="eastAsia"/>
          <w:color w:val="auto"/>
          <w:lang w:val="en-US" w:eastAsia="zh-CN"/>
        </w:rPr>
      </w:pPr>
      <w:r>
        <w:rPr>
          <w:rFonts w:hint="eastAsia"/>
          <w:color w:val="auto"/>
          <w:lang w:val="en-US" w:eastAsia="zh-CN"/>
        </w:rPr>
        <w:t>3.4.3.2地下水环境质量补充监测</w:t>
      </w:r>
    </w:p>
    <w:p>
      <w:pPr>
        <w:rPr>
          <w:rFonts w:hint="eastAsia"/>
          <w:color w:val="auto"/>
          <w:kern w:val="0"/>
          <w:u w:val="none"/>
          <w:lang w:eastAsia="zh-CN"/>
        </w:rPr>
      </w:pPr>
      <w:r>
        <w:rPr>
          <w:rFonts w:hint="eastAsia"/>
          <w:color w:val="auto"/>
          <w:kern w:val="0"/>
          <w:u w:val="none"/>
          <w:lang w:eastAsia="zh-CN"/>
        </w:rPr>
        <w:t>由于《</w:t>
      </w:r>
      <w:r>
        <w:rPr>
          <w:rFonts w:hint="default"/>
          <w:color w:val="auto"/>
          <w:szCs w:val="22"/>
          <w:u w:val="none"/>
          <w:lang w:val="en-US" w:eastAsia="zh-CN"/>
        </w:rPr>
        <w:t>湘西废旧汽车拆解利用建设项目</w:t>
      </w:r>
      <w:r>
        <w:rPr>
          <w:rFonts w:hint="eastAsia"/>
          <w:color w:val="auto"/>
          <w:szCs w:val="22"/>
          <w:u w:val="none"/>
          <w:lang w:val="en-US" w:eastAsia="zh-CN"/>
        </w:rPr>
        <w:t>环境影响报告表</w:t>
      </w:r>
      <w:r>
        <w:rPr>
          <w:color w:val="auto"/>
          <w:szCs w:val="22"/>
          <w:u w:val="none"/>
        </w:rPr>
        <w:t>》中的地下水环境质量现状监测数据</w:t>
      </w:r>
      <w:r>
        <w:rPr>
          <w:rFonts w:hint="eastAsia"/>
          <w:color w:val="auto"/>
          <w:kern w:val="0"/>
          <w:u w:val="none"/>
          <w:lang w:eastAsia="zh-CN"/>
        </w:rPr>
        <w:t>数量无法满足本项目地下水环境质量评价要求，因此本项目</w:t>
      </w:r>
      <w:r>
        <w:rPr>
          <w:rFonts w:hint="eastAsia"/>
          <w:color w:val="auto"/>
          <w:kern w:val="0"/>
          <w:u w:val="none"/>
        </w:rPr>
        <w:t>委托湖南昌旭环保科技有限公司监测</w:t>
      </w:r>
      <w:r>
        <w:rPr>
          <w:rFonts w:hint="eastAsia"/>
          <w:color w:val="auto"/>
          <w:kern w:val="0"/>
          <w:u w:val="none"/>
          <w:lang w:eastAsia="zh-CN"/>
        </w:rPr>
        <w:t>补充了两个地下水水质监测，两个地下水水位监测。</w:t>
      </w:r>
    </w:p>
    <w:p>
      <w:pPr>
        <w:pStyle w:val="31"/>
        <w:rPr>
          <w:rFonts w:hint="default" w:eastAsia="宋体"/>
          <w:color w:val="auto"/>
          <w:lang w:val="en-US" w:eastAsia="zh-CN"/>
        </w:rPr>
      </w:pPr>
      <w:r>
        <w:rPr>
          <w:rFonts w:hint="eastAsia"/>
          <w:color w:val="auto"/>
          <w:szCs w:val="22"/>
          <w:u w:val="none"/>
          <w:lang w:eastAsia="zh-CN"/>
        </w:rPr>
        <w:t>（</w:t>
      </w:r>
      <w:r>
        <w:rPr>
          <w:rFonts w:hint="eastAsia"/>
          <w:color w:val="auto"/>
          <w:szCs w:val="22"/>
          <w:u w:val="none"/>
          <w:lang w:val="en-US" w:eastAsia="zh-CN"/>
        </w:rPr>
        <w:t>1</w:t>
      </w:r>
      <w:r>
        <w:rPr>
          <w:rFonts w:hint="eastAsia"/>
          <w:color w:val="auto"/>
          <w:szCs w:val="22"/>
          <w:u w:val="none"/>
          <w:lang w:eastAsia="zh-CN"/>
        </w:rPr>
        <w:t>）监测点位</w:t>
      </w:r>
    </w:p>
    <w:p>
      <w:pPr>
        <w:ind w:firstLine="480"/>
        <w:rPr>
          <w:rFonts w:hint="eastAsia"/>
          <w:color w:val="auto"/>
          <w:kern w:val="0"/>
          <w:u w:val="none"/>
        </w:rPr>
      </w:pPr>
      <w:r>
        <w:rPr>
          <w:rFonts w:hint="eastAsia"/>
          <w:color w:val="auto"/>
          <w:kern w:val="0"/>
          <w:u w:val="none"/>
        </w:rPr>
        <w:t>项目</w:t>
      </w:r>
      <w:r>
        <w:rPr>
          <w:rFonts w:hint="eastAsia"/>
          <w:color w:val="auto"/>
          <w:kern w:val="0"/>
          <w:u w:val="none"/>
          <w:lang w:eastAsia="zh-CN"/>
        </w:rPr>
        <w:t>补充</w:t>
      </w:r>
      <w:r>
        <w:rPr>
          <w:rFonts w:hint="eastAsia"/>
          <w:color w:val="auto"/>
          <w:kern w:val="0"/>
          <w:u w:val="none"/>
        </w:rPr>
        <w:t>监测布点情况详见下表3.4-</w:t>
      </w:r>
      <w:r>
        <w:rPr>
          <w:rFonts w:hint="eastAsia"/>
          <w:color w:val="auto"/>
          <w:kern w:val="0"/>
          <w:u w:val="none"/>
          <w:lang w:val="en-US" w:eastAsia="zh-CN"/>
        </w:rPr>
        <w:t>11</w:t>
      </w:r>
      <w:r>
        <w:rPr>
          <w:rFonts w:hint="eastAsia"/>
          <w:color w:val="auto"/>
          <w:kern w:val="0"/>
          <w:u w:val="none"/>
        </w:rPr>
        <w:t>，项目监测布点图见附图</w:t>
      </w:r>
      <w:r>
        <w:rPr>
          <w:rFonts w:hint="eastAsia"/>
          <w:color w:val="auto"/>
          <w:kern w:val="0"/>
          <w:u w:val="none"/>
          <w:lang w:val="en-US" w:eastAsia="zh-CN"/>
        </w:rPr>
        <w:t>2</w:t>
      </w:r>
      <w:r>
        <w:rPr>
          <w:rFonts w:hint="eastAsia"/>
          <w:color w:val="auto"/>
          <w:kern w:val="0"/>
          <w:u w:val="none"/>
        </w:rPr>
        <w:t>：监测布点图。</w:t>
      </w:r>
    </w:p>
    <w:p>
      <w:pPr>
        <w:ind w:firstLine="198" w:firstLineChars="94"/>
        <w:jc w:val="center"/>
        <w:rPr>
          <w:rFonts w:hint="eastAsia"/>
          <w:color w:val="auto"/>
          <w:kern w:val="0"/>
          <w:u w:val="none"/>
        </w:rPr>
      </w:pPr>
      <w:r>
        <w:rPr>
          <w:rFonts w:hint="eastAsia"/>
          <w:b/>
          <w:color w:val="auto"/>
          <w:kern w:val="0"/>
          <w:sz w:val="21"/>
          <w:szCs w:val="21"/>
          <w:u w:val="none"/>
        </w:rPr>
        <w:t>表3.4-</w:t>
      </w:r>
      <w:r>
        <w:rPr>
          <w:rFonts w:hint="eastAsia"/>
          <w:b/>
          <w:color w:val="auto"/>
          <w:kern w:val="0"/>
          <w:sz w:val="21"/>
          <w:szCs w:val="21"/>
          <w:u w:val="none"/>
          <w:lang w:val="en-US" w:eastAsia="zh-CN"/>
        </w:rPr>
        <w:t>11地下水</w:t>
      </w:r>
      <w:r>
        <w:rPr>
          <w:rFonts w:hint="eastAsia"/>
          <w:b/>
          <w:color w:val="auto"/>
          <w:kern w:val="0"/>
          <w:sz w:val="21"/>
          <w:szCs w:val="21"/>
          <w:u w:val="none"/>
        </w:rPr>
        <w:t>监测布点情况一览表</w:t>
      </w:r>
    </w:p>
    <w:tbl>
      <w:tblPr>
        <w:tblStyle w:val="36"/>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9"/>
        <w:gridCol w:w="1379"/>
        <w:gridCol w:w="1559"/>
        <w:gridCol w:w="3707"/>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exact"/>
          <w:jc w:val="center"/>
        </w:trPr>
        <w:tc>
          <w:tcPr>
            <w:tcW w:w="257" w:type="pct"/>
            <w:noWrap w:val="0"/>
            <w:vAlign w:val="center"/>
          </w:tcPr>
          <w:p>
            <w:pPr>
              <w:pStyle w:val="120"/>
              <w:bidi w:val="0"/>
              <w:rPr>
                <w:rFonts w:hint="default"/>
                <w:lang w:val="en-US" w:eastAsia="zh-CN"/>
              </w:rPr>
            </w:pPr>
            <w:r>
              <w:rPr>
                <w:rFonts w:hint="default"/>
                <w:lang w:val="en-US" w:eastAsia="zh-CN"/>
              </w:rPr>
              <w:t>编号</w:t>
            </w:r>
          </w:p>
        </w:tc>
        <w:tc>
          <w:tcPr>
            <w:tcW w:w="825" w:type="pct"/>
            <w:noWrap w:val="0"/>
            <w:vAlign w:val="center"/>
          </w:tcPr>
          <w:p>
            <w:pPr>
              <w:pStyle w:val="120"/>
              <w:bidi w:val="0"/>
              <w:rPr>
                <w:rFonts w:hint="default"/>
                <w:lang w:val="en-US" w:eastAsia="zh-CN"/>
              </w:rPr>
            </w:pPr>
            <w:r>
              <w:rPr>
                <w:rFonts w:hint="default"/>
                <w:lang w:val="en-US" w:eastAsia="zh-CN"/>
              </w:rPr>
              <w:t>监测点名称</w:t>
            </w:r>
          </w:p>
        </w:tc>
        <w:tc>
          <w:tcPr>
            <w:tcW w:w="933" w:type="pct"/>
            <w:noWrap w:val="0"/>
            <w:vAlign w:val="center"/>
          </w:tcPr>
          <w:p>
            <w:pPr>
              <w:pStyle w:val="120"/>
              <w:bidi w:val="0"/>
              <w:rPr>
                <w:rFonts w:hint="default"/>
                <w:lang w:val="en-US" w:eastAsia="zh-CN"/>
              </w:rPr>
            </w:pPr>
            <w:r>
              <w:rPr>
                <w:rFonts w:hint="default"/>
                <w:lang w:val="en-US" w:eastAsia="zh-CN"/>
              </w:rPr>
              <w:t>与</w:t>
            </w:r>
            <w:r>
              <w:rPr>
                <w:rFonts w:hint="eastAsia"/>
                <w:lang w:val="en-US" w:eastAsia="zh-CN"/>
              </w:rPr>
              <w:t>本</w:t>
            </w:r>
            <w:r>
              <w:rPr>
                <w:rFonts w:hint="default"/>
                <w:lang w:val="en-US" w:eastAsia="zh-CN"/>
              </w:rPr>
              <w:t>项目方位关系</w:t>
            </w:r>
          </w:p>
        </w:tc>
        <w:tc>
          <w:tcPr>
            <w:tcW w:w="2218" w:type="pct"/>
            <w:noWrap w:val="0"/>
            <w:vAlign w:val="center"/>
          </w:tcPr>
          <w:p>
            <w:pPr>
              <w:pStyle w:val="120"/>
              <w:bidi w:val="0"/>
              <w:rPr>
                <w:rFonts w:hint="default"/>
                <w:lang w:val="en-US" w:eastAsia="zh-CN"/>
              </w:rPr>
            </w:pPr>
            <w:r>
              <w:rPr>
                <w:rFonts w:hint="default"/>
                <w:lang w:val="en-US" w:eastAsia="zh-CN"/>
              </w:rPr>
              <w:t>监测因子</w:t>
            </w:r>
          </w:p>
        </w:tc>
        <w:tc>
          <w:tcPr>
            <w:tcW w:w="765" w:type="pct"/>
            <w:noWrap w:val="0"/>
            <w:vAlign w:val="center"/>
          </w:tcPr>
          <w:p>
            <w:pPr>
              <w:pStyle w:val="120"/>
              <w:bidi w:val="0"/>
              <w:rPr>
                <w:rFonts w:hint="default"/>
                <w:lang w:val="en-US" w:eastAsia="zh-CN"/>
              </w:rPr>
            </w:pPr>
            <w:r>
              <w:rPr>
                <w:rFonts w:hint="default"/>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257" w:type="pct"/>
            <w:noWrap w:val="0"/>
            <w:vAlign w:val="center"/>
          </w:tcPr>
          <w:p>
            <w:pPr>
              <w:pStyle w:val="120"/>
              <w:bidi w:val="0"/>
              <w:rPr>
                <w:rFonts w:hint="default"/>
                <w:lang w:val="en-US" w:eastAsia="zh-CN"/>
              </w:rPr>
            </w:pPr>
            <w:r>
              <w:rPr>
                <w:rFonts w:hint="default"/>
                <w:lang w:val="en-US" w:eastAsia="zh-CN"/>
              </w:rPr>
              <w:t>D</w:t>
            </w:r>
            <w:r>
              <w:rPr>
                <w:rFonts w:hint="eastAsia"/>
                <w:lang w:val="en-US" w:eastAsia="zh-CN"/>
              </w:rPr>
              <w:t>7</w:t>
            </w:r>
          </w:p>
        </w:tc>
        <w:tc>
          <w:tcPr>
            <w:tcW w:w="825" w:type="pct"/>
            <w:noWrap w:val="0"/>
            <w:vAlign w:val="center"/>
          </w:tcPr>
          <w:p>
            <w:pPr>
              <w:pStyle w:val="120"/>
              <w:bidi w:val="0"/>
              <w:rPr>
                <w:rFonts w:hint="default"/>
                <w:lang w:val="en-US" w:eastAsia="zh-CN"/>
              </w:rPr>
            </w:pPr>
            <w:r>
              <w:rPr>
                <w:rFonts w:hint="default"/>
                <w:lang w:val="en-US" w:eastAsia="zh-CN"/>
              </w:rPr>
              <w:t>岔哪村地下水井</w:t>
            </w:r>
            <w:r>
              <w:rPr>
                <w:rFonts w:hint="eastAsia"/>
                <w:lang w:val="en-US" w:eastAsia="zh-CN"/>
              </w:rPr>
              <w:t>2</w:t>
            </w:r>
          </w:p>
        </w:tc>
        <w:tc>
          <w:tcPr>
            <w:tcW w:w="933" w:type="pct"/>
            <w:noWrap w:val="0"/>
            <w:vAlign w:val="center"/>
          </w:tcPr>
          <w:p>
            <w:pPr>
              <w:pStyle w:val="120"/>
              <w:bidi w:val="0"/>
              <w:rPr>
                <w:rFonts w:hint="default"/>
                <w:lang w:val="en-US" w:eastAsia="zh-CN"/>
              </w:rPr>
            </w:pPr>
            <w:r>
              <w:rPr>
                <w:rFonts w:hint="eastAsia"/>
                <w:lang w:val="en-US" w:eastAsia="zh-CN"/>
              </w:rPr>
              <w:t>EN</w:t>
            </w:r>
            <w:r>
              <w:rPr>
                <w:rFonts w:hint="default"/>
                <w:lang w:val="en-US" w:eastAsia="zh-CN"/>
              </w:rPr>
              <w:t>，</w:t>
            </w:r>
            <w:r>
              <w:rPr>
                <w:rFonts w:hint="eastAsia"/>
                <w:lang w:val="en-US" w:eastAsia="zh-CN"/>
              </w:rPr>
              <w:t>1130</w:t>
            </w:r>
            <w:r>
              <w:rPr>
                <w:rFonts w:hint="default"/>
                <w:lang w:val="en-US" w:eastAsia="zh-CN"/>
              </w:rPr>
              <w:t>m</w:t>
            </w:r>
          </w:p>
        </w:tc>
        <w:tc>
          <w:tcPr>
            <w:tcW w:w="2218" w:type="pct"/>
            <w:vMerge w:val="restart"/>
            <w:noWrap w:val="0"/>
            <w:vAlign w:val="center"/>
          </w:tcPr>
          <w:p>
            <w:pPr>
              <w:pStyle w:val="120"/>
              <w:bidi w:val="0"/>
              <w:rPr>
                <w:rFonts w:hint="default"/>
                <w:lang w:val="en-US" w:eastAsia="zh-CN"/>
              </w:rPr>
            </w:pPr>
            <w:r>
              <w:rPr>
                <w:rFonts w:hint="default"/>
                <w:lang w:val="en-US" w:eastAsia="zh-CN"/>
              </w:rPr>
              <w:t>pH、氨氮、耗氧量、硝酸盐、硫酸盐、氯化物、镉、铬（六价）、铅、砷、镍、铜、锌</w:t>
            </w:r>
            <w:r>
              <w:rPr>
                <w:rFonts w:hint="eastAsia"/>
                <w:lang w:val="en-US" w:eastAsia="zh-CN"/>
              </w:rPr>
              <w:t>、</w:t>
            </w:r>
            <w:r>
              <w:rPr>
                <w:rFonts w:hint="default"/>
                <w:lang w:val="en-US" w:eastAsia="zh-CN"/>
              </w:rPr>
              <w:t>地下水位</w:t>
            </w:r>
          </w:p>
        </w:tc>
        <w:tc>
          <w:tcPr>
            <w:tcW w:w="765" w:type="pct"/>
            <w:vMerge w:val="restart"/>
            <w:noWrap w:val="0"/>
            <w:vAlign w:val="center"/>
          </w:tcPr>
          <w:p>
            <w:pPr>
              <w:pStyle w:val="120"/>
              <w:bidi w:val="0"/>
              <w:rPr>
                <w:rFonts w:hint="default"/>
              </w:rPr>
            </w:pPr>
            <w:r>
              <w:rPr>
                <w:rFonts w:hint="default"/>
              </w:rPr>
              <w:t>20</w:t>
            </w:r>
            <w:r>
              <w:rPr>
                <w:rFonts w:hint="eastAsia"/>
                <w:lang w:val="en-US" w:eastAsia="zh-CN"/>
              </w:rPr>
              <w:t>22</w:t>
            </w:r>
            <w:r>
              <w:rPr>
                <w:rFonts w:hint="default"/>
              </w:rPr>
              <w:t>年</w:t>
            </w:r>
            <w:r>
              <w:rPr>
                <w:rFonts w:hint="eastAsia"/>
                <w:lang w:val="en-US" w:eastAsia="zh-CN"/>
              </w:rPr>
              <w:t>03</w:t>
            </w:r>
            <w:r>
              <w:rPr>
                <w:rFonts w:hint="default"/>
              </w:rPr>
              <w:t>月</w:t>
            </w:r>
            <w:r>
              <w:rPr>
                <w:rFonts w:hint="eastAsia"/>
                <w:lang w:val="en-US" w:eastAsia="zh-CN"/>
              </w:rPr>
              <w:t>25</w:t>
            </w:r>
            <w:r>
              <w:rPr>
                <w:rFonts w:hint="default"/>
              </w:rPr>
              <w:t>日~2020年</w:t>
            </w:r>
            <w:r>
              <w:rPr>
                <w:rFonts w:hint="eastAsia"/>
                <w:lang w:val="en-US" w:eastAsia="zh-CN"/>
              </w:rPr>
              <w:t>03</w:t>
            </w:r>
            <w:r>
              <w:rPr>
                <w:rFonts w:hint="default"/>
              </w:rPr>
              <w:t>月</w:t>
            </w:r>
            <w:r>
              <w:rPr>
                <w:rFonts w:hint="eastAsia"/>
                <w:lang w:val="en-US" w:eastAsia="zh-CN"/>
              </w:rPr>
              <w:t>27</w:t>
            </w:r>
            <w:r>
              <w:rPr>
                <w:rFonts w:hint="default"/>
              </w:rPr>
              <w:t>日</w:t>
            </w:r>
          </w:p>
          <w:p>
            <w:pPr>
              <w:pStyle w:val="120"/>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257" w:type="pct"/>
            <w:noWrap w:val="0"/>
            <w:vAlign w:val="center"/>
          </w:tcPr>
          <w:p>
            <w:pPr>
              <w:pStyle w:val="120"/>
              <w:bidi w:val="0"/>
              <w:rPr>
                <w:rFonts w:hint="default"/>
                <w:lang w:val="en-US" w:eastAsia="zh-CN"/>
              </w:rPr>
            </w:pPr>
            <w:r>
              <w:rPr>
                <w:rFonts w:hint="default"/>
                <w:lang w:val="en-US" w:eastAsia="zh-CN"/>
              </w:rPr>
              <w:t>D</w:t>
            </w:r>
            <w:r>
              <w:rPr>
                <w:rFonts w:hint="eastAsia"/>
                <w:lang w:val="en-US" w:eastAsia="zh-CN"/>
              </w:rPr>
              <w:t>8</w:t>
            </w:r>
          </w:p>
        </w:tc>
        <w:tc>
          <w:tcPr>
            <w:tcW w:w="825" w:type="pct"/>
            <w:noWrap w:val="0"/>
            <w:vAlign w:val="center"/>
          </w:tcPr>
          <w:p>
            <w:pPr>
              <w:pStyle w:val="120"/>
              <w:bidi w:val="0"/>
              <w:rPr>
                <w:rFonts w:hint="default"/>
                <w:lang w:val="en-US" w:eastAsia="zh-CN"/>
              </w:rPr>
            </w:pPr>
            <w:r>
              <w:rPr>
                <w:rFonts w:hint="eastAsia"/>
                <w:lang w:val="en-US" w:eastAsia="zh-CN"/>
              </w:rPr>
              <w:t>园区</w:t>
            </w:r>
            <w:r>
              <w:rPr>
                <w:rFonts w:hint="default"/>
                <w:lang w:val="en-US" w:eastAsia="zh-CN"/>
              </w:rPr>
              <w:t>地下水井</w:t>
            </w:r>
          </w:p>
        </w:tc>
        <w:tc>
          <w:tcPr>
            <w:tcW w:w="933" w:type="pct"/>
            <w:noWrap w:val="0"/>
            <w:vAlign w:val="center"/>
          </w:tcPr>
          <w:p>
            <w:pPr>
              <w:pStyle w:val="120"/>
              <w:bidi w:val="0"/>
              <w:rPr>
                <w:rFonts w:hint="default"/>
                <w:lang w:val="en-US" w:eastAsia="zh-CN"/>
              </w:rPr>
            </w:pPr>
            <w:r>
              <w:rPr>
                <w:rFonts w:hint="eastAsia"/>
                <w:lang w:val="en-US" w:eastAsia="zh-CN"/>
              </w:rPr>
              <w:t>ES</w:t>
            </w:r>
            <w:r>
              <w:rPr>
                <w:rFonts w:hint="default"/>
                <w:lang w:val="en-US" w:eastAsia="zh-CN"/>
              </w:rPr>
              <w:t>，</w:t>
            </w:r>
            <w:r>
              <w:rPr>
                <w:rFonts w:hint="eastAsia"/>
                <w:lang w:val="en-US" w:eastAsia="zh-CN"/>
              </w:rPr>
              <w:t>1280</w:t>
            </w:r>
            <w:r>
              <w:rPr>
                <w:rFonts w:hint="default"/>
                <w:lang w:val="en-US" w:eastAsia="zh-CN"/>
              </w:rPr>
              <w:t>m</w:t>
            </w:r>
          </w:p>
        </w:tc>
        <w:tc>
          <w:tcPr>
            <w:tcW w:w="2218" w:type="pct"/>
            <w:vMerge w:val="continue"/>
            <w:noWrap w:val="0"/>
            <w:vAlign w:val="center"/>
          </w:tcPr>
          <w:p>
            <w:pPr>
              <w:pStyle w:val="120"/>
              <w:bidi w:val="0"/>
              <w:rPr>
                <w:rFonts w:hint="default"/>
                <w:lang w:val="en-US" w:eastAsia="zh-CN"/>
              </w:rPr>
            </w:pPr>
          </w:p>
        </w:tc>
        <w:tc>
          <w:tcPr>
            <w:tcW w:w="765" w:type="pct"/>
            <w:vMerge w:val="continue"/>
            <w:noWrap w:val="0"/>
            <w:vAlign w:val="center"/>
          </w:tcPr>
          <w:p>
            <w:pPr>
              <w:pStyle w:val="1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257" w:type="pct"/>
            <w:noWrap w:val="0"/>
            <w:vAlign w:val="center"/>
          </w:tcPr>
          <w:p>
            <w:pPr>
              <w:pStyle w:val="120"/>
              <w:bidi w:val="0"/>
              <w:rPr>
                <w:rFonts w:hint="default"/>
                <w:lang w:val="en-US" w:eastAsia="zh-CN"/>
              </w:rPr>
            </w:pPr>
            <w:r>
              <w:rPr>
                <w:rFonts w:hint="default"/>
                <w:lang w:val="en-US" w:eastAsia="zh-CN"/>
              </w:rPr>
              <w:t>D</w:t>
            </w:r>
            <w:r>
              <w:rPr>
                <w:rFonts w:hint="eastAsia"/>
                <w:lang w:val="en-US" w:eastAsia="zh-CN"/>
              </w:rPr>
              <w:t>9</w:t>
            </w:r>
          </w:p>
        </w:tc>
        <w:tc>
          <w:tcPr>
            <w:tcW w:w="825" w:type="pct"/>
            <w:noWrap w:val="0"/>
            <w:vAlign w:val="center"/>
          </w:tcPr>
          <w:p>
            <w:pPr>
              <w:pStyle w:val="120"/>
              <w:bidi w:val="0"/>
              <w:rPr>
                <w:rFonts w:hint="default"/>
                <w:lang w:val="en-US" w:eastAsia="zh-CN"/>
              </w:rPr>
            </w:pPr>
            <w:r>
              <w:rPr>
                <w:rFonts w:hint="default"/>
                <w:lang w:val="en-US" w:eastAsia="zh-CN"/>
              </w:rPr>
              <w:t>岔哪公租房小区地下水井</w:t>
            </w:r>
            <w:r>
              <w:rPr>
                <w:rFonts w:hint="eastAsia"/>
                <w:lang w:val="en-US" w:eastAsia="zh-CN"/>
              </w:rPr>
              <w:t>1</w:t>
            </w:r>
          </w:p>
        </w:tc>
        <w:tc>
          <w:tcPr>
            <w:tcW w:w="933" w:type="pct"/>
            <w:noWrap w:val="0"/>
            <w:vAlign w:val="center"/>
          </w:tcPr>
          <w:p>
            <w:pPr>
              <w:pStyle w:val="120"/>
              <w:bidi w:val="0"/>
              <w:rPr>
                <w:rFonts w:hint="default"/>
                <w:lang w:val="en-US" w:eastAsia="zh-CN"/>
              </w:rPr>
            </w:pPr>
            <w:r>
              <w:rPr>
                <w:rFonts w:hint="eastAsia"/>
                <w:lang w:val="en-US" w:eastAsia="zh-CN"/>
              </w:rPr>
              <w:t>EN</w:t>
            </w:r>
            <w:r>
              <w:rPr>
                <w:rFonts w:hint="default"/>
                <w:lang w:val="en-US" w:eastAsia="zh-CN"/>
              </w:rPr>
              <w:t>，600m</w:t>
            </w:r>
          </w:p>
        </w:tc>
        <w:tc>
          <w:tcPr>
            <w:tcW w:w="2218" w:type="pct"/>
            <w:noWrap w:val="0"/>
            <w:vAlign w:val="center"/>
          </w:tcPr>
          <w:p>
            <w:pPr>
              <w:pStyle w:val="120"/>
              <w:bidi w:val="0"/>
              <w:rPr>
                <w:rFonts w:hint="default"/>
                <w:lang w:val="en-US" w:eastAsia="zh-CN"/>
              </w:rPr>
            </w:pPr>
            <w:r>
              <w:rPr>
                <w:rFonts w:hint="default"/>
                <w:lang w:val="en-US" w:eastAsia="zh-CN"/>
              </w:rPr>
              <w:t>地下水位</w:t>
            </w:r>
          </w:p>
        </w:tc>
        <w:tc>
          <w:tcPr>
            <w:tcW w:w="765" w:type="pct"/>
            <w:vMerge w:val="continue"/>
            <w:noWrap w:val="0"/>
            <w:vAlign w:val="center"/>
          </w:tcPr>
          <w:p>
            <w:pPr>
              <w:pStyle w:val="1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exact"/>
          <w:jc w:val="center"/>
        </w:trPr>
        <w:tc>
          <w:tcPr>
            <w:tcW w:w="257" w:type="pct"/>
            <w:noWrap w:val="0"/>
            <w:vAlign w:val="center"/>
          </w:tcPr>
          <w:p>
            <w:pPr>
              <w:pStyle w:val="120"/>
              <w:bidi w:val="0"/>
              <w:rPr>
                <w:rFonts w:hint="default"/>
                <w:lang w:val="en-US" w:eastAsia="zh-CN"/>
              </w:rPr>
            </w:pPr>
            <w:r>
              <w:rPr>
                <w:rFonts w:hint="default"/>
                <w:lang w:val="en-US" w:eastAsia="zh-CN"/>
              </w:rPr>
              <w:t>D</w:t>
            </w:r>
            <w:r>
              <w:rPr>
                <w:rFonts w:hint="eastAsia"/>
                <w:lang w:val="en-US" w:eastAsia="zh-CN"/>
              </w:rPr>
              <w:t>10</w:t>
            </w:r>
          </w:p>
        </w:tc>
        <w:tc>
          <w:tcPr>
            <w:tcW w:w="825" w:type="pct"/>
            <w:noWrap w:val="0"/>
            <w:vAlign w:val="center"/>
          </w:tcPr>
          <w:p>
            <w:pPr>
              <w:pStyle w:val="120"/>
              <w:bidi w:val="0"/>
              <w:rPr>
                <w:rFonts w:hint="default"/>
                <w:lang w:val="en-US" w:eastAsia="zh-CN"/>
              </w:rPr>
            </w:pPr>
            <w:r>
              <w:rPr>
                <w:rFonts w:hint="default"/>
                <w:lang w:val="en-US" w:eastAsia="zh-CN"/>
              </w:rPr>
              <w:t>岔哪公租房小区地下水井</w:t>
            </w:r>
            <w:r>
              <w:rPr>
                <w:rFonts w:hint="eastAsia"/>
                <w:lang w:val="en-US" w:eastAsia="zh-CN"/>
              </w:rPr>
              <w:t>2</w:t>
            </w:r>
          </w:p>
        </w:tc>
        <w:tc>
          <w:tcPr>
            <w:tcW w:w="933" w:type="pct"/>
            <w:noWrap w:val="0"/>
            <w:vAlign w:val="center"/>
          </w:tcPr>
          <w:p>
            <w:pPr>
              <w:pStyle w:val="120"/>
              <w:bidi w:val="0"/>
              <w:rPr>
                <w:rFonts w:hint="default"/>
                <w:lang w:val="en-US" w:eastAsia="zh-CN"/>
              </w:rPr>
            </w:pPr>
            <w:r>
              <w:rPr>
                <w:rFonts w:hint="eastAsia"/>
                <w:lang w:val="en-US" w:eastAsia="zh-CN"/>
              </w:rPr>
              <w:t>EN</w:t>
            </w:r>
            <w:r>
              <w:rPr>
                <w:rFonts w:hint="default"/>
                <w:lang w:val="en-US" w:eastAsia="zh-CN"/>
              </w:rPr>
              <w:t>，1077m</w:t>
            </w:r>
          </w:p>
        </w:tc>
        <w:tc>
          <w:tcPr>
            <w:tcW w:w="2218" w:type="pct"/>
            <w:noWrap w:val="0"/>
            <w:vAlign w:val="center"/>
          </w:tcPr>
          <w:p>
            <w:pPr>
              <w:pStyle w:val="120"/>
              <w:bidi w:val="0"/>
              <w:rPr>
                <w:rFonts w:hint="default"/>
                <w:lang w:val="en-US" w:eastAsia="zh-CN"/>
              </w:rPr>
            </w:pPr>
            <w:r>
              <w:rPr>
                <w:rFonts w:hint="default"/>
                <w:lang w:val="en-US" w:eastAsia="zh-CN"/>
              </w:rPr>
              <w:t>地下水位</w:t>
            </w:r>
          </w:p>
        </w:tc>
        <w:tc>
          <w:tcPr>
            <w:tcW w:w="765" w:type="pct"/>
            <w:vMerge w:val="continue"/>
            <w:noWrap w:val="0"/>
            <w:vAlign w:val="center"/>
          </w:tcPr>
          <w:p>
            <w:pPr>
              <w:pStyle w:val="120"/>
              <w:bidi w:val="0"/>
              <w:rPr>
                <w:rFonts w:hint="default"/>
                <w:lang w:val="en-US" w:eastAsia="zh-CN"/>
              </w:rPr>
            </w:pPr>
          </w:p>
        </w:tc>
      </w:tr>
    </w:tbl>
    <w:p>
      <w:pPr>
        <w:ind w:firstLine="480"/>
        <w:rPr>
          <w:rFonts w:hint="eastAsia"/>
          <w:color w:val="auto"/>
          <w:kern w:val="0"/>
          <w:u w:val="none"/>
        </w:rPr>
      </w:pPr>
      <w:r>
        <w:rPr>
          <w:rFonts w:hint="eastAsia"/>
          <w:color w:val="auto"/>
          <w:kern w:val="0"/>
          <w:u w:val="none"/>
        </w:rPr>
        <w:t>（</w:t>
      </w:r>
      <w:r>
        <w:rPr>
          <w:color w:val="auto"/>
          <w:kern w:val="0"/>
          <w:u w:val="none"/>
        </w:rPr>
        <w:t>2</w:t>
      </w:r>
      <w:r>
        <w:rPr>
          <w:rFonts w:hint="eastAsia"/>
          <w:color w:val="auto"/>
          <w:kern w:val="0"/>
          <w:u w:val="none"/>
        </w:rPr>
        <w:t>）监测、分析方法</w:t>
      </w:r>
    </w:p>
    <w:p>
      <w:pPr>
        <w:ind w:firstLine="480"/>
        <w:rPr>
          <w:rFonts w:hint="eastAsia"/>
          <w:color w:val="auto"/>
          <w:kern w:val="0"/>
          <w:u w:val="none"/>
        </w:rPr>
      </w:pPr>
      <w:r>
        <w:rPr>
          <w:rFonts w:hint="eastAsia"/>
          <w:color w:val="auto"/>
          <w:kern w:val="0"/>
          <w:u w:val="none"/>
        </w:rPr>
        <w:t>执行</w:t>
      </w:r>
      <w:r>
        <w:rPr>
          <w:color w:val="auto"/>
          <w:kern w:val="0"/>
          <w:u w:val="none"/>
        </w:rPr>
        <w:t>《地下水质量标准》（</w:t>
      </w:r>
      <w:r>
        <w:rPr>
          <w:rFonts w:eastAsia="Times New Roman"/>
          <w:color w:val="auto"/>
          <w:kern w:val="0"/>
          <w:u w:val="none"/>
        </w:rPr>
        <w:t>GB/T14848-</w:t>
      </w:r>
      <w:r>
        <w:rPr>
          <w:rFonts w:hint="eastAsia"/>
          <w:color w:val="auto"/>
          <w:kern w:val="0"/>
          <w:u w:val="none"/>
        </w:rPr>
        <w:t>2017</w:t>
      </w:r>
      <w:r>
        <w:rPr>
          <w:color w:val="auto"/>
          <w:kern w:val="0"/>
          <w:u w:val="none"/>
        </w:rPr>
        <w:t>）</w:t>
      </w:r>
      <w:r>
        <w:rPr>
          <w:rFonts w:hint="eastAsia" w:cs="宋体"/>
          <w:color w:val="auto"/>
          <w:kern w:val="0"/>
          <w:u w:val="none"/>
        </w:rPr>
        <w:t>Ⅲ</w:t>
      </w:r>
      <w:r>
        <w:rPr>
          <w:color w:val="auto"/>
          <w:kern w:val="0"/>
          <w:u w:val="none"/>
        </w:rPr>
        <w:t>类标准</w:t>
      </w:r>
    </w:p>
    <w:p>
      <w:pPr>
        <w:ind w:firstLine="480"/>
        <w:rPr>
          <w:rFonts w:hint="eastAsia"/>
          <w:color w:val="auto"/>
          <w:kern w:val="0"/>
          <w:u w:val="none"/>
        </w:rPr>
      </w:pPr>
      <w:r>
        <w:rPr>
          <w:rFonts w:hint="eastAsia"/>
          <w:color w:val="auto"/>
          <w:kern w:val="0"/>
          <w:u w:val="none"/>
        </w:rPr>
        <w:t>（</w:t>
      </w:r>
      <w:r>
        <w:rPr>
          <w:rFonts w:hint="eastAsia"/>
          <w:color w:val="auto"/>
          <w:kern w:val="0"/>
          <w:u w:val="none"/>
          <w:lang w:val="en-US" w:eastAsia="zh-CN"/>
        </w:rPr>
        <w:t>3</w:t>
      </w:r>
      <w:r>
        <w:rPr>
          <w:rFonts w:hint="eastAsia"/>
          <w:color w:val="auto"/>
          <w:kern w:val="0"/>
          <w:u w:val="none"/>
        </w:rPr>
        <w:t>）监测数据结果</w:t>
      </w:r>
    </w:p>
    <w:p>
      <w:pPr>
        <w:ind w:firstLine="480"/>
        <w:rPr>
          <w:rFonts w:hint="eastAsia"/>
          <w:color w:val="auto"/>
          <w:kern w:val="0"/>
          <w:u w:val="none"/>
        </w:rPr>
      </w:pPr>
      <w:r>
        <w:rPr>
          <w:rFonts w:hint="eastAsia"/>
          <w:color w:val="auto"/>
          <w:kern w:val="0"/>
          <w:u w:val="none"/>
        </w:rPr>
        <w:t>监测数据结果见表3.4</w:t>
      </w:r>
      <w:r>
        <w:rPr>
          <w:color w:val="auto"/>
          <w:kern w:val="0"/>
          <w:u w:val="none"/>
        </w:rPr>
        <w:t>-</w:t>
      </w:r>
      <w:r>
        <w:rPr>
          <w:rFonts w:hint="eastAsia"/>
          <w:color w:val="auto"/>
          <w:kern w:val="0"/>
          <w:u w:val="none"/>
          <w:lang w:val="en-US" w:eastAsia="zh-CN"/>
        </w:rPr>
        <w:t>12</w:t>
      </w:r>
      <w:r>
        <w:rPr>
          <w:rFonts w:hint="eastAsia"/>
          <w:color w:val="auto"/>
          <w:kern w:val="0"/>
          <w:u w:val="none"/>
        </w:rPr>
        <w:t>。</w:t>
      </w:r>
    </w:p>
    <w:p>
      <w:pPr>
        <w:ind w:firstLine="422"/>
        <w:jc w:val="center"/>
        <w:rPr>
          <w:b/>
          <w:color w:val="auto"/>
          <w:kern w:val="0"/>
          <w:sz w:val="21"/>
          <w:szCs w:val="21"/>
          <w:u w:val="none"/>
        </w:rPr>
      </w:pPr>
      <w:r>
        <w:rPr>
          <w:rFonts w:hint="eastAsia"/>
          <w:b/>
          <w:color w:val="auto"/>
          <w:kern w:val="0"/>
          <w:sz w:val="21"/>
          <w:szCs w:val="21"/>
          <w:u w:val="none"/>
        </w:rPr>
        <w:t>表3.4</w:t>
      </w:r>
      <w:r>
        <w:rPr>
          <w:b/>
          <w:color w:val="auto"/>
          <w:kern w:val="0"/>
          <w:sz w:val="21"/>
          <w:szCs w:val="21"/>
          <w:u w:val="none"/>
        </w:rPr>
        <w:t>-</w:t>
      </w:r>
      <w:r>
        <w:rPr>
          <w:rFonts w:hint="eastAsia"/>
          <w:b/>
          <w:color w:val="auto"/>
          <w:kern w:val="0"/>
          <w:sz w:val="21"/>
          <w:szCs w:val="21"/>
          <w:u w:val="none"/>
          <w:lang w:val="en-US" w:eastAsia="zh-CN"/>
        </w:rPr>
        <w:t>12</w:t>
      </w:r>
      <w:r>
        <w:rPr>
          <w:b/>
          <w:color w:val="auto"/>
          <w:kern w:val="0"/>
          <w:sz w:val="21"/>
          <w:szCs w:val="21"/>
          <w:u w:val="none"/>
        </w:rPr>
        <w:t xml:space="preserve"> </w:t>
      </w:r>
      <w:r>
        <w:rPr>
          <w:rFonts w:hint="eastAsia"/>
          <w:b/>
          <w:color w:val="auto"/>
          <w:kern w:val="0"/>
          <w:sz w:val="21"/>
          <w:szCs w:val="21"/>
          <w:u w:val="none"/>
        </w:rPr>
        <w:t>地下水环境监测及评价结果统计表单位:mg/L(PH除外)</w:t>
      </w:r>
    </w:p>
    <w:tbl>
      <w:tblPr>
        <w:tblStyle w:val="36"/>
        <w:tblW w:w="4997"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24"/>
        <w:gridCol w:w="1796"/>
        <w:gridCol w:w="1275"/>
        <w:gridCol w:w="1269"/>
        <w:gridCol w:w="1133"/>
        <w:gridCol w:w="650"/>
        <w:gridCol w:w="1006"/>
        <w:gridCol w:w="76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tcBorders>
              <w:tl2br w:val="nil"/>
              <w:tr2bl w:val="nil"/>
            </w:tcBorders>
            <w:noWrap w:val="0"/>
            <w:vAlign w:val="center"/>
          </w:tcPr>
          <w:p>
            <w:pPr>
              <w:pStyle w:val="120"/>
              <w:bidi w:val="0"/>
              <w:rPr>
                <w:rFonts w:hint="default"/>
              </w:rPr>
            </w:pPr>
            <w:r>
              <w:rPr>
                <w:rFonts w:hint="default"/>
              </w:rPr>
              <w:t>断面</w:t>
            </w:r>
          </w:p>
        </w:tc>
        <w:tc>
          <w:tcPr>
            <w:tcW w:w="1062" w:type="pct"/>
            <w:tcBorders>
              <w:tl2br w:val="nil"/>
              <w:tr2bl w:val="nil"/>
            </w:tcBorders>
            <w:noWrap w:val="0"/>
            <w:vAlign w:val="center"/>
          </w:tcPr>
          <w:p>
            <w:pPr>
              <w:pStyle w:val="120"/>
              <w:bidi w:val="0"/>
              <w:rPr>
                <w:rFonts w:hint="default"/>
              </w:rPr>
            </w:pPr>
            <w:r>
              <w:rPr>
                <w:rFonts w:hint="default"/>
              </w:rPr>
              <w:t>项目</w:t>
            </w:r>
          </w:p>
        </w:tc>
        <w:tc>
          <w:tcPr>
            <w:tcW w:w="686" w:type="pct"/>
            <w:tcBorders>
              <w:tl2br w:val="nil"/>
              <w:tr2bl w:val="nil"/>
            </w:tcBorders>
            <w:noWrap w:val="0"/>
            <w:vAlign w:val="center"/>
          </w:tcPr>
          <w:p>
            <w:pPr>
              <w:pStyle w:val="120"/>
              <w:bidi w:val="0"/>
              <w:rPr>
                <w:rFonts w:hint="default"/>
              </w:rPr>
            </w:pPr>
            <w:r>
              <w:rPr>
                <w:rFonts w:hint="default"/>
              </w:rPr>
              <w:t>浓度范围</w:t>
            </w:r>
          </w:p>
        </w:tc>
        <w:tc>
          <w:tcPr>
            <w:tcW w:w="753" w:type="pct"/>
            <w:tcBorders>
              <w:tl2br w:val="nil"/>
              <w:tr2bl w:val="nil"/>
            </w:tcBorders>
            <w:noWrap w:val="0"/>
            <w:vAlign w:val="center"/>
          </w:tcPr>
          <w:p>
            <w:pPr>
              <w:pStyle w:val="120"/>
              <w:bidi w:val="0"/>
              <w:rPr>
                <w:rFonts w:hint="default"/>
              </w:rPr>
            </w:pPr>
            <w:r>
              <w:rPr>
                <w:rFonts w:hint="default"/>
              </w:rPr>
              <w:t>评价标准</w:t>
            </w:r>
          </w:p>
        </w:tc>
        <w:tc>
          <w:tcPr>
            <w:tcW w:w="673" w:type="pct"/>
            <w:tcBorders>
              <w:tl2br w:val="nil"/>
              <w:tr2bl w:val="nil"/>
            </w:tcBorders>
            <w:noWrap w:val="0"/>
            <w:vAlign w:val="center"/>
          </w:tcPr>
          <w:p>
            <w:pPr>
              <w:pStyle w:val="120"/>
              <w:bidi w:val="0"/>
              <w:rPr>
                <w:rFonts w:hint="default"/>
              </w:rPr>
            </w:pPr>
            <w:r>
              <w:rPr>
                <w:rFonts w:hint="default"/>
              </w:rPr>
              <w:t>样品数/超标样品数</w:t>
            </w:r>
          </w:p>
        </w:tc>
        <w:tc>
          <w:tcPr>
            <w:tcW w:w="390" w:type="pct"/>
            <w:tcBorders>
              <w:tl2br w:val="nil"/>
              <w:tr2bl w:val="nil"/>
            </w:tcBorders>
            <w:noWrap w:val="0"/>
            <w:vAlign w:val="center"/>
          </w:tcPr>
          <w:p>
            <w:pPr>
              <w:pStyle w:val="120"/>
              <w:bidi w:val="0"/>
              <w:rPr>
                <w:rFonts w:hint="default"/>
              </w:rPr>
            </w:pPr>
            <w:r>
              <w:rPr>
                <w:rFonts w:hint="default"/>
              </w:rPr>
              <w:t>超标率</w:t>
            </w:r>
          </w:p>
        </w:tc>
        <w:tc>
          <w:tcPr>
            <w:tcW w:w="599" w:type="pct"/>
            <w:tcBorders>
              <w:tl2br w:val="nil"/>
              <w:tr2bl w:val="nil"/>
            </w:tcBorders>
            <w:noWrap w:val="0"/>
            <w:vAlign w:val="center"/>
          </w:tcPr>
          <w:p>
            <w:pPr>
              <w:pStyle w:val="120"/>
              <w:bidi w:val="0"/>
              <w:rPr>
                <w:rFonts w:hint="default"/>
              </w:rPr>
            </w:pPr>
            <w:r>
              <w:rPr>
                <w:rFonts w:hint="default"/>
              </w:rPr>
              <w:t>最大超标倍数</w:t>
            </w:r>
          </w:p>
        </w:tc>
        <w:tc>
          <w:tcPr>
            <w:tcW w:w="457" w:type="pct"/>
            <w:tcBorders>
              <w:tl2br w:val="nil"/>
              <w:tr2bl w:val="nil"/>
            </w:tcBorders>
            <w:noWrap w:val="0"/>
            <w:vAlign w:val="center"/>
          </w:tcPr>
          <w:p>
            <w:pPr>
              <w:pStyle w:val="120"/>
              <w:bidi w:val="0"/>
              <w:rPr>
                <w:rFonts w:hint="default"/>
              </w:rPr>
            </w:pPr>
            <w:r>
              <w:rPr>
                <w:rFonts w:hint="default"/>
              </w:rPr>
              <w:t>达标情况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restart"/>
            <w:tcBorders>
              <w:tl2br w:val="nil"/>
              <w:tr2bl w:val="nil"/>
            </w:tcBorders>
            <w:noWrap w:val="0"/>
            <w:vAlign w:val="center"/>
          </w:tcPr>
          <w:p>
            <w:pPr>
              <w:pStyle w:val="120"/>
              <w:bidi w:val="0"/>
              <w:rPr>
                <w:rFonts w:hint="eastAsia"/>
                <w:lang w:eastAsia="zh-CN"/>
              </w:rPr>
            </w:pPr>
            <w:r>
              <w:rPr>
                <w:rFonts w:hint="default"/>
              </w:rPr>
              <w:t>D</w:t>
            </w:r>
            <w:r>
              <w:rPr>
                <w:rFonts w:hint="eastAsia"/>
                <w:lang w:val="en-US" w:eastAsia="zh-CN"/>
              </w:rPr>
              <w:t>7</w:t>
            </w:r>
          </w:p>
        </w:tc>
        <w:tc>
          <w:tcPr>
            <w:tcW w:w="1062" w:type="pct"/>
            <w:tcBorders>
              <w:tl2br w:val="nil"/>
              <w:tr2bl w:val="nil"/>
            </w:tcBorders>
            <w:noWrap w:val="0"/>
            <w:vAlign w:val="center"/>
          </w:tcPr>
          <w:p>
            <w:pPr>
              <w:pStyle w:val="120"/>
              <w:bidi w:val="0"/>
              <w:rPr>
                <w:rFonts w:hint="default"/>
              </w:rPr>
            </w:pPr>
            <w:r>
              <w:rPr>
                <w:rFonts w:hint="default"/>
              </w:rPr>
              <w:t>pH</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7.2~7.3</w:t>
            </w:r>
          </w:p>
        </w:tc>
        <w:tc>
          <w:tcPr>
            <w:tcW w:w="753" w:type="pct"/>
            <w:tcBorders>
              <w:tl2br w:val="nil"/>
              <w:tr2bl w:val="nil"/>
            </w:tcBorders>
            <w:noWrap w:val="0"/>
            <w:vAlign w:val="center"/>
          </w:tcPr>
          <w:p>
            <w:pPr>
              <w:pStyle w:val="120"/>
              <w:bidi w:val="0"/>
              <w:rPr>
                <w:rFonts w:hint="default"/>
              </w:rPr>
            </w:pPr>
            <w:r>
              <w:rPr>
                <w:rFonts w:hint="default"/>
                <w:lang w:val="en-US" w:eastAsia="zh-CN"/>
              </w:rPr>
              <w:t>6.5~8.5</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氨氮</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0.073~0.076</w:t>
            </w:r>
          </w:p>
        </w:tc>
        <w:tc>
          <w:tcPr>
            <w:tcW w:w="753" w:type="pct"/>
            <w:tcBorders>
              <w:tl2br w:val="nil"/>
              <w:tr2bl w:val="nil"/>
            </w:tcBorders>
            <w:noWrap w:val="0"/>
            <w:vAlign w:val="center"/>
          </w:tcPr>
          <w:p>
            <w:pPr>
              <w:pStyle w:val="120"/>
              <w:bidi w:val="0"/>
              <w:rPr>
                <w:rFonts w:hint="default"/>
              </w:rPr>
            </w:pPr>
            <w:r>
              <w:rPr>
                <w:rFonts w:hint="default"/>
                <w:lang w:val="en-US" w:eastAsia="zh-CN"/>
              </w:rPr>
              <w:t>≤0.1</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lang w:val="en-US" w:eastAsia="zh-CN"/>
              </w:rPr>
            </w:pPr>
            <w:r>
              <w:rPr>
                <w:rFonts w:hint="eastAsia"/>
                <w:lang w:val="en-US" w:eastAsia="zh-CN"/>
              </w:rPr>
              <w:t>耗氧量</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2.65~2.68</w:t>
            </w:r>
          </w:p>
        </w:tc>
        <w:tc>
          <w:tcPr>
            <w:tcW w:w="753" w:type="pct"/>
            <w:tcBorders>
              <w:tl2br w:val="nil"/>
              <w:tr2bl w:val="nil"/>
            </w:tcBorders>
            <w:noWrap w:val="0"/>
            <w:vAlign w:val="center"/>
          </w:tcPr>
          <w:p>
            <w:pPr>
              <w:pStyle w:val="120"/>
              <w:bidi w:val="0"/>
              <w:rPr>
                <w:rFonts w:hint="default"/>
                <w:lang w:val="en-US" w:eastAsia="zh-CN"/>
              </w:rPr>
            </w:pPr>
            <w:r>
              <w:rPr>
                <w:rFonts w:hint="default"/>
              </w:rPr>
              <w:t>≤</w:t>
            </w:r>
            <w:r>
              <w:rPr>
                <w:rFonts w:hint="default"/>
                <w:lang w:val="en-US" w:eastAsia="zh-CN"/>
              </w:rPr>
              <w:t>20.0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硝酸盐</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0.15L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20.0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lang w:val="en-US" w:eastAsia="zh-CN"/>
              </w:rPr>
            </w:pPr>
            <w:r>
              <w:rPr>
                <w:rFonts w:hint="default"/>
                <w:lang w:val="en-US" w:eastAsia="zh-CN"/>
              </w:rPr>
              <w:t>硫酸盐</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12.1~12.2</w:t>
            </w:r>
          </w:p>
        </w:tc>
        <w:tc>
          <w:tcPr>
            <w:tcW w:w="753" w:type="pct"/>
            <w:tcBorders>
              <w:tl2br w:val="nil"/>
              <w:tr2bl w:val="nil"/>
            </w:tcBorders>
            <w:noWrap w:val="0"/>
            <w:vAlign w:val="center"/>
          </w:tcPr>
          <w:p>
            <w:pPr>
              <w:pStyle w:val="120"/>
              <w:bidi w:val="0"/>
              <w:rPr>
                <w:rFonts w:hint="default"/>
              </w:rPr>
            </w:pPr>
            <w:r>
              <w:rPr>
                <w:rFonts w:hint="default"/>
              </w:rPr>
              <w:t>≤250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氯化物</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0.484~0.487</w:t>
            </w:r>
          </w:p>
        </w:tc>
        <w:tc>
          <w:tcPr>
            <w:tcW w:w="753" w:type="pct"/>
            <w:tcBorders>
              <w:tl2br w:val="nil"/>
              <w:tr2bl w:val="nil"/>
            </w:tcBorders>
            <w:noWrap w:val="0"/>
            <w:vAlign w:val="center"/>
          </w:tcPr>
          <w:p>
            <w:pPr>
              <w:pStyle w:val="120"/>
              <w:bidi w:val="0"/>
              <w:rPr>
                <w:rFonts w:hint="default"/>
              </w:rPr>
            </w:pPr>
            <w:r>
              <w:rPr>
                <w:rFonts w:hint="default"/>
              </w:rPr>
              <w:t>≤250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lang w:val="en-US" w:eastAsia="zh-CN"/>
              </w:rPr>
            </w:pPr>
            <w:r>
              <w:rPr>
                <w:rFonts w:hint="default"/>
                <w:lang w:val="en-US" w:eastAsia="zh-CN"/>
              </w:rPr>
              <w:t>镉</w:t>
            </w:r>
          </w:p>
        </w:tc>
        <w:tc>
          <w:tcPr>
            <w:tcW w:w="686" w:type="pct"/>
            <w:tcBorders>
              <w:tl2br w:val="nil"/>
              <w:tr2bl w:val="nil"/>
            </w:tcBorders>
            <w:noWrap w:val="0"/>
            <w:vAlign w:val="center"/>
          </w:tcPr>
          <w:p>
            <w:pPr>
              <w:pStyle w:val="120"/>
              <w:bidi w:val="0"/>
              <w:rPr>
                <w:rFonts w:hint="eastAsia"/>
                <w:lang w:val="en-US" w:eastAsia="zh-CN"/>
              </w:rPr>
            </w:pPr>
            <w:r>
              <w:rPr>
                <w:rFonts w:hint="default"/>
                <w:lang w:val="en-US" w:eastAsia="zh-CN"/>
              </w:rPr>
              <w:t>0.0005L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0.005</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lang w:val="en-US" w:eastAsia="zh-CN"/>
              </w:rPr>
            </w:pPr>
            <w:r>
              <w:rPr>
                <w:rFonts w:hint="default"/>
                <w:lang w:val="en-US" w:eastAsia="zh-CN"/>
              </w:rPr>
              <w:t>六价铬</w:t>
            </w:r>
          </w:p>
        </w:tc>
        <w:tc>
          <w:tcPr>
            <w:tcW w:w="686" w:type="pct"/>
            <w:tcBorders>
              <w:tl2br w:val="nil"/>
              <w:tr2bl w:val="nil"/>
            </w:tcBorders>
            <w:noWrap w:val="0"/>
            <w:vAlign w:val="center"/>
          </w:tcPr>
          <w:p>
            <w:pPr>
              <w:pStyle w:val="120"/>
              <w:bidi w:val="0"/>
              <w:rPr>
                <w:rFonts w:hint="default"/>
                <w:lang w:val="en-US" w:eastAsia="zh-CN"/>
              </w:rPr>
            </w:pPr>
            <w:r>
              <w:rPr>
                <w:rFonts w:hint="default"/>
                <w:lang w:val="en-US" w:eastAsia="zh-CN"/>
              </w:rPr>
              <w:t>0.004L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0.05</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lang w:val="en-US" w:eastAsia="zh-CN"/>
              </w:rPr>
            </w:pPr>
            <w:r>
              <w:rPr>
                <w:rFonts w:hint="default"/>
                <w:lang w:val="en-US" w:eastAsia="zh-CN"/>
              </w:rPr>
              <w:t>铅</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0.010</w:t>
            </w:r>
            <w:r>
              <w:rPr>
                <w:rFonts w:hint="default"/>
                <w:lang w:val="en-US" w:eastAsia="zh-CN"/>
              </w:rPr>
              <w:t>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0.01</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lang w:val="en-US" w:eastAsia="zh-CN"/>
              </w:rPr>
            </w:pPr>
            <w:r>
              <w:rPr>
                <w:rFonts w:hint="default"/>
                <w:lang w:val="en-US" w:eastAsia="zh-CN"/>
              </w:rPr>
              <w:t>砷</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0.0003</w:t>
            </w:r>
            <w:r>
              <w:rPr>
                <w:rFonts w:hint="default"/>
                <w:lang w:val="en-US" w:eastAsia="zh-CN"/>
              </w:rPr>
              <w:t>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0.01</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lang w:val="en-US" w:eastAsia="zh-CN"/>
              </w:rPr>
            </w:pPr>
            <w:r>
              <w:rPr>
                <w:rFonts w:hint="eastAsia"/>
                <w:lang w:val="en-US" w:eastAsia="zh-CN"/>
              </w:rPr>
              <w:t>镍</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0.0005L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w:t>
            </w:r>
            <w:r>
              <w:rPr>
                <w:rFonts w:hint="eastAsia"/>
                <w:lang w:val="en-US" w:eastAsia="zh-CN"/>
              </w:rPr>
              <w:t>2</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lang w:val="en-US" w:eastAsia="zh-CN"/>
              </w:rPr>
            </w:pPr>
            <w:r>
              <w:rPr>
                <w:rFonts w:hint="eastAsia"/>
                <w:lang w:val="en-US" w:eastAsia="zh-CN"/>
              </w:rPr>
              <w:t>铜</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0.001~0.003</w:t>
            </w:r>
          </w:p>
        </w:tc>
        <w:tc>
          <w:tcPr>
            <w:tcW w:w="753" w:type="pct"/>
            <w:tcBorders>
              <w:tl2br w:val="nil"/>
              <w:tr2bl w:val="nil"/>
            </w:tcBorders>
            <w:noWrap w:val="0"/>
            <w:vAlign w:val="center"/>
          </w:tcPr>
          <w:p>
            <w:pPr>
              <w:pStyle w:val="120"/>
              <w:bidi w:val="0"/>
              <w:rPr>
                <w:rFonts w:hint="default"/>
                <w:lang w:val="en-US" w:eastAsia="zh-CN"/>
              </w:rPr>
            </w:pPr>
            <w:r>
              <w:rPr>
                <w:rFonts w:hint="default"/>
              </w:rPr>
              <w:t>≤</w:t>
            </w:r>
            <w:r>
              <w:rPr>
                <w:rFonts w:hint="eastAsia"/>
                <w:lang w:val="en-US" w:eastAsia="zh-CN"/>
              </w:rPr>
              <w:t>1.00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eastAsia"/>
                <w:lang w:val="en-US" w:eastAsia="zh-CN"/>
              </w:rPr>
            </w:pPr>
            <w:r>
              <w:rPr>
                <w:rFonts w:hint="eastAsia"/>
                <w:lang w:val="en-US" w:eastAsia="zh-CN"/>
              </w:rPr>
              <w:t>锌</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0.05L</w:t>
            </w:r>
          </w:p>
        </w:tc>
        <w:tc>
          <w:tcPr>
            <w:tcW w:w="753" w:type="pct"/>
            <w:tcBorders>
              <w:tl2br w:val="nil"/>
              <w:tr2bl w:val="nil"/>
            </w:tcBorders>
            <w:noWrap w:val="0"/>
            <w:vAlign w:val="center"/>
          </w:tcPr>
          <w:p>
            <w:pPr>
              <w:pStyle w:val="120"/>
              <w:bidi w:val="0"/>
              <w:rPr>
                <w:rFonts w:hint="default"/>
                <w:lang w:val="en-US" w:eastAsia="zh-CN"/>
              </w:rPr>
            </w:pPr>
            <w:r>
              <w:rPr>
                <w:rFonts w:hint="default"/>
              </w:rPr>
              <w:t>≤</w:t>
            </w:r>
            <w:r>
              <w:rPr>
                <w:rFonts w:hint="eastAsia"/>
                <w:lang w:val="en-US" w:eastAsia="zh-CN"/>
              </w:rPr>
              <w:t>1.00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地下水位</w:t>
            </w:r>
            <w:r>
              <w:rPr>
                <w:rFonts w:hint="eastAsia"/>
                <w:lang w:val="en-US" w:eastAsia="zh-CN"/>
              </w:rPr>
              <w:t>（m）</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321.5</w:t>
            </w:r>
          </w:p>
        </w:tc>
        <w:tc>
          <w:tcPr>
            <w:tcW w:w="75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67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39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599"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57"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restart"/>
            <w:tcBorders>
              <w:tl2br w:val="nil"/>
              <w:tr2bl w:val="nil"/>
            </w:tcBorders>
            <w:noWrap w:val="0"/>
            <w:vAlign w:val="center"/>
          </w:tcPr>
          <w:p>
            <w:pPr>
              <w:pStyle w:val="120"/>
              <w:bidi w:val="0"/>
              <w:rPr>
                <w:rFonts w:hint="eastAsia"/>
                <w:lang w:eastAsia="zh-CN"/>
              </w:rPr>
            </w:pPr>
            <w:r>
              <w:rPr>
                <w:rFonts w:hint="default"/>
              </w:rPr>
              <w:t>D</w:t>
            </w:r>
            <w:r>
              <w:rPr>
                <w:rFonts w:hint="eastAsia"/>
                <w:lang w:val="en-US" w:eastAsia="zh-CN"/>
              </w:rPr>
              <w:t>8</w:t>
            </w:r>
          </w:p>
        </w:tc>
        <w:tc>
          <w:tcPr>
            <w:tcW w:w="1062" w:type="pct"/>
            <w:tcBorders>
              <w:tl2br w:val="nil"/>
              <w:tr2bl w:val="nil"/>
            </w:tcBorders>
            <w:noWrap w:val="0"/>
            <w:vAlign w:val="center"/>
          </w:tcPr>
          <w:p>
            <w:pPr>
              <w:pStyle w:val="120"/>
              <w:bidi w:val="0"/>
              <w:rPr>
                <w:rFonts w:hint="default"/>
              </w:rPr>
            </w:pPr>
            <w:r>
              <w:rPr>
                <w:rFonts w:hint="default"/>
              </w:rPr>
              <w:t>pH</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6.9~7.0</w:t>
            </w:r>
          </w:p>
        </w:tc>
        <w:tc>
          <w:tcPr>
            <w:tcW w:w="753" w:type="pct"/>
            <w:tcBorders>
              <w:tl2br w:val="nil"/>
              <w:tr2bl w:val="nil"/>
            </w:tcBorders>
            <w:noWrap w:val="0"/>
            <w:vAlign w:val="center"/>
          </w:tcPr>
          <w:p>
            <w:pPr>
              <w:pStyle w:val="120"/>
              <w:bidi w:val="0"/>
              <w:rPr>
                <w:rFonts w:hint="default"/>
              </w:rPr>
            </w:pPr>
            <w:r>
              <w:rPr>
                <w:rFonts w:hint="default"/>
                <w:lang w:val="en-US" w:eastAsia="zh-CN"/>
              </w:rPr>
              <w:t>6.5~8.5</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氨氮</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0.099~0.112</w:t>
            </w:r>
          </w:p>
        </w:tc>
        <w:tc>
          <w:tcPr>
            <w:tcW w:w="753" w:type="pct"/>
            <w:tcBorders>
              <w:tl2br w:val="nil"/>
              <w:tr2bl w:val="nil"/>
            </w:tcBorders>
            <w:noWrap w:val="0"/>
            <w:vAlign w:val="center"/>
          </w:tcPr>
          <w:p>
            <w:pPr>
              <w:pStyle w:val="120"/>
              <w:bidi w:val="0"/>
              <w:rPr>
                <w:rFonts w:hint="default"/>
              </w:rPr>
            </w:pPr>
            <w:r>
              <w:rPr>
                <w:rFonts w:hint="default"/>
                <w:lang w:val="en-US" w:eastAsia="zh-CN"/>
              </w:rPr>
              <w:t>≤0.1</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eastAsia"/>
                <w:lang w:val="en-US" w:eastAsia="zh-CN"/>
              </w:rPr>
              <w:t>耗氧量</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2.90~2.93</w:t>
            </w:r>
          </w:p>
        </w:tc>
        <w:tc>
          <w:tcPr>
            <w:tcW w:w="753" w:type="pct"/>
            <w:tcBorders>
              <w:tl2br w:val="nil"/>
              <w:tr2bl w:val="nil"/>
            </w:tcBorders>
            <w:noWrap w:val="0"/>
            <w:vAlign w:val="center"/>
          </w:tcPr>
          <w:p>
            <w:pPr>
              <w:pStyle w:val="120"/>
              <w:bidi w:val="0"/>
              <w:rPr>
                <w:rFonts w:hint="default"/>
              </w:rPr>
            </w:pPr>
            <w:r>
              <w:rPr>
                <w:rFonts w:hint="default"/>
              </w:rPr>
              <w:t>≤450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硝酸盐</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0.15L</w:t>
            </w:r>
          </w:p>
        </w:tc>
        <w:tc>
          <w:tcPr>
            <w:tcW w:w="753" w:type="pct"/>
            <w:tcBorders>
              <w:tl2br w:val="nil"/>
              <w:tr2bl w:val="nil"/>
            </w:tcBorders>
            <w:noWrap w:val="0"/>
            <w:vAlign w:val="center"/>
          </w:tcPr>
          <w:p>
            <w:pPr>
              <w:pStyle w:val="120"/>
              <w:bidi w:val="0"/>
              <w:rPr>
                <w:rFonts w:hint="default"/>
              </w:rPr>
            </w:pPr>
            <w:r>
              <w:rPr>
                <w:rFonts w:hint="default"/>
              </w:rPr>
              <w:t>≤1000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硫酸盐</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11.8</w:t>
            </w:r>
          </w:p>
        </w:tc>
        <w:tc>
          <w:tcPr>
            <w:tcW w:w="753" w:type="pct"/>
            <w:tcBorders>
              <w:tl2br w:val="nil"/>
              <w:tr2bl w:val="nil"/>
            </w:tcBorders>
            <w:noWrap w:val="0"/>
            <w:vAlign w:val="center"/>
          </w:tcPr>
          <w:p>
            <w:pPr>
              <w:pStyle w:val="120"/>
              <w:bidi w:val="0"/>
              <w:rPr>
                <w:rFonts w:hint="default"/>
              </w:rPr>
            </w:pPr>
            <w:r>
              <w:rPr>
                <w:rFonts w:hint="default"/>
              </w:rPr>
              <w:t>≤250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氯化物</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0.471~0.472</w:t>
            </w:r>
          </w:p>
        </w:tc>
        <w:tc>
          <w:tcPr>
            <w:tcW w:w="753" w:type="pct"/>
            <w:tcBorders>
              <w:tl2br w:val="nil"/>
              <w:tr2bl w:val="nil"/>
            </w:tcBorders>
            <w:noWrap w:val="0"/>
            <w:vAlign w:val="center"/>
          </w:tcPr>
          <w:p>
            <w:pPr>
              <w:pStyle w:val="120"/>
              <w:bidi w:val="0"/>
              <w:rPr>
                <w:rFonts w:hint="default"/>
              </w:rPr>
            </w:pPr>
            <w:r>
              <w:rPr>
                <w:rFonts w:hint="default"/>
              </w:rPr>
              <w:t>≤250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镉</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0.0005</w:t>
            </w:r>
            <w:r>
              <w:rPr>
                <w:rFonts w:hint="default"/>
                <w:lang w:val="en-US" w:eastAsia="zh-CN"/>
              </w:rPr>
              <w:t>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0.002</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六价铬</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0.004L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3.0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铅</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0.010L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20.0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砷</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0.0003</w:t>
            </w:r>
            <w:r>
              <w:rPr>
                <w:rFonts w:hint="default"/>
                <w:lang w:val="en-US" w:eastAsia="zh-CN"/>
              </w:rPr>
              <w:t>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1.0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eastAsia"/>
                <w:lang w:val="en-US" w:eastAsia="zh-CN"/>
              </w:rPr>
              <w:t>镍</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0.0001</w:t>
            </w:r>
            <w:r>
              <w:rPr>
                <w:rFonts w:hint="default"/>
                <w:lang w:val="en-US" w:eastAsia="zh-CN"/>
              </w:rPr>
              <w:t>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1.0</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eastAsia"/>
                <w:lang w:val="en-US" w:eastAsia="zh-CN"/>
              </w:rPr>
              <w:t>铜</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0.002~0.004</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0.05</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eastAsia"/>
                <w:lang w:val="en-US" w:eastAsia="zh-CN"/>
              </w:rPr>
              <w:t>锌</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0.05</w:t>
            </w:r>
            <w:r>
              <w:rPr>
                <w:rFonts w:hint="default"/>
                <w:lang w:val="en-US" w:eastAsia="zh-CN"/>
              </w:rPr>
              <w:t>L</w:t>
            </w:r>
          </w:p>
        </w:tc>
        <w:tc>
          <w:tcPr>
            <w:tcW w:w="753" w:type="pct"/>
            <w:tcBorders>
              <w:tl2br w:val="nil"/>
              <w:tr2bl w:val="nil"/>
            </w:tcBorders>
            <w:noWrap w:val="0"/>
            <w:vAlign w:val="center"/>
          </w:tcPr>
          <w:p>
            <w:pPr>
              <w:pStyle w:val="120"/>
              <w:bidi w:val="0"/>
              <w:rPr>
                <w:rFonts w:hint="default"/>
              </w:rPr>
            </w:pPr>
            <w:r>
              <w:rPr>
                <w:rFonts w:hint="default"/>
              </w:rPr>
              <w:t>≤</w:t>
            </w:r>
            <w:r>
              <w:rPr>
                <w:rFonts w:hint="default"/>
                <w:lang w:val="en-US" w:eastAsia="zh-CN"/>
              </w:rPr>
              <w:t>0.05</w:t>
            </w:r>
          </w:p>
        </w:tc>
        <w:tc>
          <w:tcPr>
            <w:tcW w:w="673" w:type="pct"/>
            <w:tcBorders>
              <w:tl2br w:val="nil"/>
              <w:tr2bl w:val="nil"/>
            </w:tcBorders>
            <w:noWrap w:val="0"/>
            <w:vAlign w:val="center"/>
          </w:tcPr>
          <w:p>
            <w:pPr>
              <w:pStyle w:val="120"/>
              <w:bidi w:val="0"/>
              <w:rPr>
                <w:rFonts w:hint="default"/>
              </w:rPr>
            </w:pPr>
            <w:r>
              <w:rPr>
                <w:rFonts w:hint="default"/>
              </w:rPr>
              <w:t>3/0</w:t>
            </w:r>
          </w:p>
        </w:tc>
        <w:tc>
          <w:tcPr>
            <w:tcW w:w="390" w:type="pct"/>
            <w:tcBorders>
              <w:tl2br w:val="nil"/>
              <w:tr2bl w:val="nil"/>
            </w:tcBorders>
            <w:noWrap w:val="0"/>
            <w:vAlign w:val="center"/>
          </w:tcPr>
          <w:p>
            <w:pPr>
              <w:pStyle w:val="120"/>
              <w:bidi w:val="0"/>
              <w:rPr>
                <w:rFonts w:hint="default"/>
              </w:rPr>
            </w:pPr>
            <w:r>
              <w:rPr>
                <w:rFonts w:hint="default"/>
              </w:rPr>
              <w:t>0</w:t>
            </w:r>
          </w:p>
        </w:tc>
        <w:tc>
          <w:tcPr>
            <w:tcW w:w="599" w:type="pct"/>
            <w:tcBorders>
              <w:tl2br w:val="nil"/>
              <w:tr2bl w:val="nil"/>
            </w:tcBorders>
            <w:noWrap w:val="0"/>
            <w:vAlign w:val="center"/>
          </w:tcPr>
          <w:p>
            <w:pPr>
              <w:pStyle w:val="120"/>
              <w:bidi w:val="0"/>
              <w:rPr>
                <w:rFonts w:hint="default"/>
              </w:rPr>
            </w:pPr>
            <w:r>
              <w:rPr>
                <w:rFonts w:hint="default"/>
              </w:rPr>
              <w:t>0</w:t>
            </w:r>
          </w:p>
        </w:tc>
        <w:tc>
          <w:tcPr>
            <w:tcW w:w="457" w:type="pct"/>
            <w:tcBorders>
              <w:tl2br w:val="nil"/>
              <w:tr2bl w:val="nil"/>
            </w:tcBorders>
            <w:noWrap w:val="0"/>
            <w:vAlign w:val="center"/>
          </w:tcPr>
          <w:p>
            <w:pPr>
              <w:pStyle w:val="120"/>
              <w:bidi w:val="0"/>
              <w:rPr>
                <w:rFonts w:hint="default"/>
              </w:rPr>
            </w:pPr>
            <w:r>
              <w:rPr>
                <w:rFonts w:hint="default"/>
              </w:rPr>
              <w:t>达标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vMerge w:val="continue"/>
            <w:tcBorders>
              <w:tl2br w:val="nil"/>
              <w:tr2bl w:val="nil"/>
            </w:tcBorders>
            <w:noWrap w:val="0"/>
            <w:vAlign w:val="center"/>
          </w:tcPr>
          <w:p>
            <w:pPr>
              <w:pStyle w:val="120"/>
              <w:bidi w:val="0"/>
              <w:rPr>
                <w:rFonts w:hint="default"/>
              </w:rPr>
            </w:pPr>
          </w:p>
        </w:tc>
        <w:tc>
          <w:tcPr>
            <w:tcW w:w="1062" w:type="pct"/>
            <w:tcBorders>
              <w:tl2br w:val="nil"/>
              <w:tr2bl w:val="nil"/>
            </w:tcBorders>
            <w:noWrap w:val="0"/>
            <w:vAlign w:val="center"/>
          </w:tcPr>
          <w:p>
            <w:pPr>
              <w:pStyle w:val="120"/>
              <w:bidi w:val="0"/>
              <w:rPr>
                <w:rFonts w:hint="default"/>
              </w:rPr>
            </w:pPr>
            <w:r>
              <w:rPr>
                <w:rFonts w:hint="default"/>
                <w:lang w:val="en-US" w:eastAsia="zh-CN"/>
              </w:rPr>
              <w:t>地下水位</w:t>
            </w:r>
            <w:r>
              <w:rPr>
                <w:rFonts w:hint="eastAsia"/>
                <w:lang w:val="en-US" w:eastAsia="zh-CN"/>
              </w:rPr>
              <w:t>（m）</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266.12</w:t>
            </w:r>
          </w:p>
        </w:tc>
        <w:tc>
          <w:tcPr>
            <w:tcW w:w="753" w:type="pct"/>
            <w:tcBorders>
              <w:tl2br w:val="nil"/>
              <w:tr2bl w:val="nil"/>
            </w:tcBorders>
            <w:noWrap w:val="0"/>
            <w:vAlign w:val="center"/>
          </w:tcPr>
          <w:p>
            <w:pPr>
              <w:pStyle w:val="120"/>
              <w:bidi w:val="0"/>
              <w:rPr>
                <w:rFonts w:hint="eastAsia"/>
                <w:lang w:val="en-US" w:eastAsia="zh-CN"/>
              </w:rPr>
            </w:pPr>
            <w:r>
              <w:rPr>
                <w:rFonts w:hint="eastAsia"/>
                <w:lang w:val="en-US" w:eastAsia="zh-CN"/>
              </w:rPr>
              <w:t>/</w:t>
            </w:r>
          </w:p>
        </w:tc>
        <w:tc>
          <w:tcPr>
            <w:tcW w:w="673" w:type="pct"/>
            <w:tcBorders>
              <w:tl2br w:val="nil"/>
              <w:tr2bl w:val="nil"/>
            </w:tcBorders>
            <w:noWrap w:val="0"/>
            <w:vAlign w:val="center"/>
          </w:tcPr>
          <w:p>
            <w:pPr>
              <w:pStyle w:val="120"/>
              <w:bidi w:val="0"/>
              <w:rPr>
                <w:rFonts w:hint="eastAsia"/>
                <w:lang w:val="en-US" w:eastAsia="zh-CN"/>
              </w:rPr>
            </w:pPr>
            <w:r>
              <w:rPr>
                <w:rFonts w:hint="eastAsia"/>
                <w:lang w:val="en-US" w:eastAsia="zh-CN"/>
              </w:rPr>
              <w:t>/</w:t>
            </w:r>
          </w:p>
        </w:tc>
        <w:tc>
          <w:tcPr>
            <w:tcW w:w="390" w:type="pct"/>
            <w:tcBorders>
              <w:tl2br w:val="nil"/>
              <w:tr2bl w:val="nil"/>
            </w:tcBorders>
            <w:noWrap w:val="0"/>
            <w:vAlign w:val="center"/>
          </w:tcPr>
          <w:p>
            <w:pPr>
              <w:pStyle w:val="120"/>
              <w:bidi w:val="0"/>
              <w:rPr>
                <w:rFonts w:hint="eastAsia"/>
                <w:lang w:val="en-US" w:eastAsia="zh-CN"/>
              </w:rPr>
            </w:pPr>
            <w:r>
              <w:rPr>
                <w:rFonts w:hint="eastAsia"/>
                <w:lang w:val="en-US" w:eastAsia="zh-CN"/>
              </w:rPr>
              <w:t>/</w:t>
            </w:r>
          </w:p>
        </w:tc>
        <w:tc>
          <w:tcPr>
            <w:tcW w:w="599" w:type="pct"/>
            <w:tcBorders>
              <w:tl2br w:val="nil"/>
              <w:tr2bl w:val="nil"/>
            </w:tcBorders>
            <w:noWrap w:val="0"/>
            <w:vAlign w:val="center"/>
          </w:tcPr>
          <w:p>
            <w:pPr>
              <w:pStyle w:val="120"/>
              <w:bidi w:val="0"/>
              <w:rPr>
                <w:rFonts w:hint="eastAsia"/>
                <w:lang w:val="en-US" w:eastAsia="zh-CN"/>
              </w:rPr>
            </w:pPr>
            <w:r>
              <w:rPr>
                <w:rFonts w:hint="eastAsia"/>
                <w:lang w:val="en-US" w:eastAsia="zh-CN"/>
              </w:rPr>
              <w:t>/</w:t>
            </w:r>
          </w:p>
        </w:tc>
        <w:tc>
          <w:tcPr>
            <w:tcW w:w="457" w:type="pct"/>
            <w:tcBorders>
              <w:tl2br w:val="nil"/>
              <w:tr2bl w:val="nil"/>
            </w:tcBorders>
            <w:noWrap w:val="0"/>
            <w:vAlign w:val="center"/>
          </w:tcPr>
          <w:p>
            <w:pPr>
              <w:pStyle w:val="120"/>
              <w:bidi w:val="0"/>
              <w:rPr>
                <w:rFonts w:hint="eastAsia"/>
                <w:lang w:val="en-US"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tcBorders>
              <w:tl2br w:val="nil"/>
              <w:tr2bl w:val="nil"/>
            </w:tcBorders>
            <w:noWrap w:val="0"/>
            <w:vAlign w:val="center"/>
          </w:tcPr>
          <w:p>
            <w:pPr>
              <w:pStyle w:val="120"/>
              <w:bidi w:val="0"/>
              <w:rPr>
                <w:rFonts w:hint="default"/>
                <w:lang w:val="en-US" w:eastAsia="zh-CN"/>
              </w:rPr>
            </w:pPr>
            <w:r>
              <w:rPr>
                <w:rFonts w:hint="default"/>
                <w:lang w:val="en-US" w:eastAsia="zh-CN"/>
              </w:rPr>
              <w:t>D</w:t>
            </w:r>
            <w:r>
              <w:rPr>
                <w:rFonts w:hint="eastAsia"/>
                <w:lang w:val="en-US" w:eastAsia="zh-CN"/>
              </w:rPr>
              <w:t>9</w:t>
            </w:r>
          </w:p>
        </w:tc>
        <w:tc>
          <w:tcPr>
            <w:tcW w:w="1062" w:type="pct"/>
            <w:tcBorders>
              <w:tl2br w:val="nil"/>
              <w:tr2bl w:val="nil"/>
            </w:tcBorders>
            <w:noWrap w:val="0"/>
            <w:vAlign w:val="center"/>
          </w:tcPr>
          <w:p>
            <w:pPr>
              <w:pStyle w:val="120"/>
              <w:bidi w:val="0"/>
              <w:rPr>
                <w:rFonts w:hint="default"/>
              </w:rPr>
            </w:pPr>
            <w:r>
              <w:rPr>
                <w:rFonts w:hint="default"/>
                <w:lang w:val="en-US" w:eastAsia="zh-CN"/>
              </w:rPr>
              <w:t>地下水位</w:t>
            </w:r>
            <w:r>
              <w:rPr>
                <w:rFonts w:hint="eastAsia"/>
                <w:lang w:val="en-US" w:eastAsia="zh-CN"/>
              </w:rPr>
              <w:t>（m）</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329.9</w:t>
            </w:r>
          </w:p>
        </w:tc>
        <w:tc>
          <w:tcPr>
            <w:tcW w:w="753" w:type="pct"/>
            <w:tcBorders>
              <w:tl2br w:val="nil"/>
              <w:tr2bl w:val="nil"/>
            </w:tcBorders>
            <w:noWrap w:val="0"/>
            <w:vAlign w:val="center"/>
          </w:tcPr>
          <w:p>
            <w:pPr>
              <w:pStyle w:val="120"/>
              <w:bidi w:val="0"/>
              <w:rPr>
                <w:rFonts w:hint="default"/>
              </w:rPr>
            </w:pPr>
            <w:r>
              <w:rPr>
                <w:rFonts w:hint="default"/>
                <w:lang w:val="en-US" w:eastAsia="zh-CN"/>
              </w:rPr>
              <w:t>/</w:t>
            </w:r>
          </w:p>
        </w:tc>
        <w:tc>
          <w:tcPr>
            <w:tcW w:w="67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39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599"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57"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5" w:type="pct"/>
            <w:tcBorders>
              <w:tl2br w:val="nil"/>
              <w:tr2bl w:val="nil"/>
            </w:tcBorders>
            <w:noWrap w:val="0"/>
            <w:vAlign w:val="center"/>
          </w:tcPr>
          <w:p>
            <w:pPr>
              <w:pStyle w:val="120"/>
              <w:bidi w:val="0"/>
              <w:rPr>
                <w:rFonts w:hint="default"/>
                <w:lang w:val="en-US" w:eastAsia="zh-CN"/>
              </w:rPr>
            </w:pPr>
            <w:r>
              <w:rPr>
                <w:rFonts w:hint="default"/>
                <w:lang w:val="en-US" w:eastAsia="zh-CN"/>
              </w:rPr>
              <w:t>D</w:t>
            </w:r>
            <w:r>
              <w:rPr>
                <w:rFonts w:hint="eastAsia"/>
                <w:lang w:val="en-US" w:eastAsia="zh-CN"/>
              </w:rPr>
              <w:t>10</w:t>
            </w:r>
          </w:p>
        </w:tc>
        <w:tc>
          <w:tcPr>
            <w:tcW w:w="1062" w:type="pct"/>
            <w:tcBorders>
              <w:tl2br w:val="nil"/>
              <w:tr2bl w:val="nil"/>
            </w:tcBorders>
            <w:noWrap w:val="0"/>
            <w:vAlign w:val="center"/>
          </w:tcPr>
          <w:p>
            <w:pPr>
              <w:pStyle w:val="120"/>
              <w:bidi w:val="0"/>
              <w:rPr>
                <w:rFonts w:hint="default"/>
              </w:rPr>
            </w:pPr>
            <w:r>
              <w:rPr>
                <w:rFonts w:hint="default"/>
                <w:lang w:val="en-US" w:eastAsia="zh-CN"/>
              </w:rPr>
              <w:t>地下水位</w:t>
            </w:r>
            <w:r>
              <w:rPr>
                <w:rFonts w:hint="eastAsia"/>
                <w:lang w:val="en-US" w:eastAsia="zh-CN"/>
              </w:rPr>
              <w:t>（m）</w:t>
            </w:r>
          </w:p>
        </w:tc>
        <w:tc>
          <w:tcPr>
            <w:tcW w:w="686" w:type="pct"/>
            <w:tcBorders>
              <w:tl2br w:val="nil"/>
              <w:tr2bl w:val="nil"/>
            </w:tcBorders>
            <w:noWrap w:val="0"/>
            <w:vAlign w:val="center"/>
          </w:tcPr>
          <w:p>
            <w:pPr>
              <w:pStyle w:val="120"/>
              <w:bidi w:val="0"/>
              <w:rPr>
                <w:rFonts w:hint="default"/>
                <w:lang w:val="en-US" w:eastAsia="zh-CN"/>
              </w:rPr>
            </w:pPr>
            <w:r>
              <w:rPr>
                <w:rFonts w:hint="eastAsia"/>
                <w:lang w:val="en-US" w:eastAsia="zh-CN"/>
              </w:rPr>
              <w:t>291.7</w:t>
            </w:r>
          </w:p>
        </w:tc>
        <w:tc>
          <w:tcPr>
            <w:tcW w:w="753" w:type="pct"/>
            <w:tcBorders>
              <w:tl2br w:val="nil"/>
              <w:tr2bl w:val="nil"/>
            </w:tcBorders>
            <w:noWrap w:val="0"/>
            <w:vAlign w:val="center"/>
          </w:tcPr>
          <w:p>
            <w:pPr>
              <w:pStyle w:val="120"/>
              <w:bidi w:val="0"/>
              <w:rPr>
                <w:rFonts w:hint="default"/>
              </w:rPr>
            </w:pPr>
            <w:r>
              <w:rPr>
                <w:rFonts w:hint="default"/>
                <w:lang w:val="en-US" w:eastAsia="zh-CN"/>
              </w:rPr>
              <w:t>/</w:t>
            </w:r>
          </w:p>
        </w:tc>
        <w:tc>
          <w:tcPr>
            <w:tcW w:w="673"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390"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599"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c>
          <w:tcPr>
            <w:tcW w:w="457" w:type="pct"/>
            <w:tcBorders>
              <w:tl2br w:val="nil"/>
              <w:tr2bl w:val="nil"/>
            </w:tcBorders>
            <w:noWrap w:val="0"/>
            <w:vAlign w:val="center"/>
          </w:tcPr>
          <w:p>
            <w:pPr>
              <w:pStyle w:val="120"/>
              <w:bidi w:val="0"/>
              <w:rPr>
                <w:rFonts w:hint="default"/>
                <w:lang w:val="en-US" w:eastAsia="zh-CN"/>
              </w:rPr>
            </w:pPr>
            <w:r>
              <w:rPr>
                <w:rFonts w:hint="default"/>
                <w:lang w:val="en-US" w:eastAsia="zh-CN"/>
              </w:rPr>
              <w:t>/</w:t>
            </w:r>
          </w:p>
        </w:tc>
      </w:tr>
    </w:tbl>
    <w:p>
      <w:pPr>
        <w:pStyle w:val="31"/>
        <w:rPr>
          <w:rFonts w:hint="eastAsia"/>
          <w:color w:val="auto"/>
          <w:lang w:val="en-US" w:eastAsia="zh-CN"/>
        </w:rPr>
      </w:pPr>
      <w:r>
        <w:rPr>
          <w:rFonts w:hint="eastAsia"/>
          <w:color w:val="auto"/>
          <w:kern w:val="0"/>
          <w:u w:val="none"/>
        </w:rPr>
        <w:t>由表3.4</w:t>
      </w:r>
      <w:r>
        <w:rPr>
          <w:color w:val="auto"/>
          <w:kern w:val="0"/>
          <w:u w:val="none"/>
        </w:rPr>
        <w:t>-</w:t>
      </w:r>
      <w:r>
        <w:rPr>
          <w:rFonts w:hint="eastAsia"/>
          <w:color w:val="auto"/>
          <w:kern w:val="0"/>
          <w:u w:val="none"/>
          <w:lang w:val="en-US" w:eastAsia="zh-CN"/>
        </w:rPr>
        <w:t>10</w:t>
      </w:r>
      <w:r>
        <w:rPr>
          <w:rFonts w:hint="eastAsia"/>
          <w:color w:val="auto"/>
          <w:kern w:val="0"/>
          <w:u w:val="none"/>
        </w:rPr>
        <w:t>可知：本项目地下水监测点的污染物无超标现象，满足</w:t>
      </w:r>
      <w:r>
        <w:rPr>
          <w:color w:val="auto"/>
          <w:kern w:val="0"/>
          <w:u w:val="none"/>
        </w:rPr>
        <w:t>《地下水质量标准》（</w:t>
      </w:r>
      <w:r>
        <w:rPr>
          <w:rFonts w:eastAsia="Times New Roman"/>
          <w:color w:val="auto"/>
          <w:kern w:val="0"/>
          <w:u w:val="none"/>
        </w:rPr>
        <w:t>GB/T14848-</w:t>
      </w:r>
      <w:r>
        <w:rPr>
          <w:rFonts w:hint="eastAsia"/>
          <w:color w:val="auto"/>
          <w:kern w:val="0"/>
          <w:u w:val="none"/>
        </w:rPr>
        <w:t>2017</w:t>
      </w:r>
      <w:r>
        <w:rPr>
          <w:color w:val="auto"/>
          <w:kern w:val="0"/>
          <w:u w:val="none"/>
        </w:rPr>
        <w:t>）</w:t>
      </w:r>
      <w:r>
        <w:rPr>
          <w:rFonts w:hint="eastAsia" w:cs="宋体"/>
          <w:color w:val="auto"/>
          <w:kern w:val="0"/>
          <w:u w:val="none"/>
        </w:rPr>
        <w:t>Ⅲ</w:t>
      </w:r>
      <w:r>
        <w:rPr>
          <w:color w:val="auto"/>
          <w:kern w:val="0"/>
          <w:u w:val="none"/>
        </w:rPr>
        <w:t>类标准</w:t>
      </w:r>
      <w:r>
        <w:rPr>
          <w:rFonts w:hint="eastAsia"/>
          <w:color w:val="auto"/>
          <w:kern w:val="0"/>
          <w:u w:val="none"/>
        </w:rPr>
        <w:t>，区域</w:t>
      </w:r>
      <w:r>
        <w:rPr>
          <w:rFonts w:hint="eastAsia"/>
          <w:color w:val="auto"/>
          <w:kern w:val="0"/>
          <w:u w:val="none"/>
          <w:lang w:eastAsia="zh-CN"/>
        </w:rPr>
        <w:t>地下水</w:t>
      </w:r>
      <w:r>
        <w:rPr>
          <w:rFonts w:hint="eastAsia"/>
          <w:color w:val="auto"/>
          <w:kern w:val="0"/>
          <w:u w:val="none"/>
        </w:rPr>
        <w:t>质量现状良好。</w:t>
      </w:r>
    </w:p>
    <w:p>
      <w:pPr>
        <w:pStyle w:val="69"/>
        <w:bidi w:val="0"/>
        <w:rPr>
          <w:rFonts w:hint="eastAsia"/>
          <w:color w:val="auto"/>
          <w:u w:val="single"/>
          <w:lang w:val="en-US" w:eastAsia="zh-CN"/>
        </w:rPr>
      </w:pPr>
      <w:r>
        <w:rPr>
          <w:rFonts w:hint="eastAsia"/>
          <w:color w:val="auto"/>
          <w:u w:val="single"/>
          <w:lang w:val="en-US" w:eastAsia="zh-CN"/>
        </w:rPr>
        <w:t>3.4.3.3地下水环境质量补充监测</w:t>
      </w:r>
    </w:p>
    <w:p>
      <w:pPr>
        <w:bidi w:val="0"/>
        <w:jc w:val="both"/>
        <w:rPr>
          <w:rFonts w:hint="eastAsia" w:eastAsia="宋体"/>
          <w:u w:val="single"/>
          <w:lang w:eastAsia="zh-CN"/>
        </w:rPr>
      </w:pPr>
      <w:r>
        <w:rPr>
          <w:rFonts w:hint="eastAsia"/>
          <w:u w:val="single"/>
          <w:lang w:eastAsia="zh-CN"/>
        </w:rPr>
        <w:t>根据《环境影响评价技术导则 地下水环境》（</w:t>
      </w:r>
      <w:r>
        <w:rPr>
          <w:rFonts w:hint="eastAsia"/>
          <w:u w:val="single"/>
          <w:lang w:val="en-US" w:eastAsia="zh-CN"/>
        </w:rPr>
        <w:t>HJ610-2016</w:t>
      </w:r>
      <w:r>
        <w:rPr>
          <w:rFonts w:hint="eastAsia"/>
          <w:u w:val="single"/>
          <w:lang w:eastAsia="zh-CN"/>
        </w:rPr>
        <w:t>）</w:t>
      </w:r>
      <w:r>
        <w:rPr>
          <w:rFonts w:hint="eastAsia"/>
          <w:u w:val="single"/>
          <w:lang w:val="en-US" w:eastAsia="zh-CN"/>
        </w:rPr>
        <w:t>中地下水水质现状监测因子要求还应</w:t>
      </w:r>
      <w:r>
        <w:rPr>
          <w:rFonts w:hint="eastAsia"/>
          <w:u w:val="single"/>
          <w:lang w:eastAsia="zh-CN"/>
        </w:rPr>
        <w:t>检测分析地下水中 K</w:t>
      </w:r>
      <w:r>
        <w:rPr>
          <w:rFonts w:hint="eastAsia"/>
          <w:u w:val="single"/>
          <w:vertAlign w:val="superscript"/>
          <w:lang w:eastAsia="zh-CN"/>
        </w:rPr>
        <w:t>+</w:t>
      </w:r>
      <w:r>
        <w:rPr>
          <w:rFonts w:hint="eastAsia"/>
          <w:u w:val="single"/>
          <w:lang w:eastAsia="zh-CN"/>
        </w:rPr>
        <w:t>、Na</w:t>
      </w:r>
      <w:r>
        <w:rPr>
          <w:rFonts w:hint="eastAsia"/>
          <w:u w:val="single"/>
          <w:vertAlign w:val="superscript"/>
          <w:lang w:eastAsia="zh-CN"/>
        </w:rPr>
        <w:t>+</w:t>
      </w:r>
      <w:r>
        <w:rPr>
          <w:rFonts w:hint="eastAsia"/>
          <w:u w:val="single"/>
          <w:lang w:eastAsia="zh-CN"/>
        </w:rPr>
        <w:t>、Ca</w:t>
      </w:r>
      <w:r>
        <w:rPr>
          <w:rFonts w:hint="eastAsia"/>
          <w:u w:val="single"/>
          <w:vertAlign w:val="superscript"/>
          <w:lang w:eastAsia="zh-CN"/>
        </w:rPr>
        <w:t>2+</w:t>
      </w:r>
      <w:r>
        <w:rPr>
          <w:rFonts w:hint="eastAsia"/>
          <w:u w:val="single"/>
          <w:lang w:eastAsia="zh-CN"/>
        </w:rPr>
        <w:t>、Mg</w:t>
      </w:r>
      <w:r>
        <w:rPr>
          <w:rFonts w:hint="eastAsia"/>
          <w:u w:val="single"/>
          <w:vertAlign w:val="superscript"/>
          <w:lang w:eastAsia="zh-CN"/>
        </w:rPr>
        <w:t>2+</w:t>
      </w:r>
      <w:r>
        <w:rPr>
          <w:rFonts w:hint="eastAsia"/>
          <w:u w:val="single"/>
          <w:lang w:eastAsia="zh-CN"/>
        </w:rPr>
        <w:t>、CO</w:t>
      </w:r>
      <w:r>
        <w:rPr>
          <w:rFonts w:hint="eastAsia"/>
          <w:u w:val="single"/>
          <w:vertAlign w:val="subscript"/>
          <w:lang w:eastAsia="zh-CN"/>
        </w:rPr>
        <w:t>3</w:t>
      </w:r>
      <w:r>
        <w:rPr>
          <w:rFonts w:hint="eastAsia"/>
          <w:u w:val="single"/>
          <w:vertAlign w:val="superscript"/>
          <w:lang w:eastAsia="zh-CN"/>
        </w:rPr>
        <w:t>2-</w:t>
      </w:r>
      <w:r>
        <w:rPr>
          <w:rFonts w:hint="eastAsia"/>
          <w:u w:val="single"/>
          <w:lang w:eastAsia="zh-CN"/>
        </w:rPr>
        <w:t>、HCO</w:t>
      </w:r>
      <w:r>
        <w:rPr>
          <w:rFonts w:hint="eastAsia"/>
          <w:u w:val="single"/>
          <w:vertAlign w:val="superscript"/>
          <w:lang w:eastAsia="zh-CN"/>
        </w:rPr>
        <w:t>3-</w:t>
      </w:r>
      <w:r>
        <w:rPr>
          <w:rFonts w:hint="eastAsia"/>
          <w:u w:val="single"/>
          <w:lang w:eastAsia="zh-CN"/>
        </w:rPr>
        <w:t>、Cl</w:t>
      </w:r>
      <w:r>
        <w:rPr>
          <w:rFonts w:hint="eastAsia"/>
          <w:u w:val="single"/>
          <w:vertAlign w:val="superscript"/>
          <w:lang w:eastAsia="zh-CN"/>
        </w:rPr>
        <w:t>-</w:t>
      </w:r>
      <w:r>
        <w:rPr>
          <w:rFonts w:hint="eastAsia"/>
          <w:u w:val="single"/>
          <w:lang w:eastAsia="zh-CN"/>
        </w:rPr>
        <w:t>、SO</w:t>
      </w:r>
      <w:r>
        <w:rPr>
          <w:rFonts w:hint="eastAsia"/>
          <w:u w:val="single"/>
          <w:vertAlign w:val="subscript"/>
          <w:lang w:eastAsia="zh-CN"/>
        </w:rPr>
        <w:t>4</w:t>
      </w:r>
      <w:r>
        <w:rPr>
          <w:rFonts w:hint="eastAsia"/>
          <w:u w:val="single"/>
          <w:vertAlign w:val="superscript"/>
          <w:lang w:eastAsia="zh-CN"/>
        </w:rPr>
        <w:t>2-</w:t>
      </w:r>
      <w:r>
        <w:rPr>
          <w:rFonts w:hint="eastAsia"/>
          <w:u w:val="single"/>
          <w:lang w:eastAsia="zh-CN"/>
        </w:rPr>
        <w:t>的浓度，故委托</w:t>
      </w:r>
      <w:r>
        <w:rPr>
          <w:rFonts w:hint="eastAsia"/>
          <w:color w:val="auto"/>
          <w:kern w:val="0"/>
          <w:u w:val="single"/>
        </w:rPr>
        <w:t>委托湖南昌旭环保科技有限公司</w:t>
      </w:r>
      <w:r>
        <w:rPr>
          <w:rFonts w:hint="eastAsia"/>
          <w:color w:val="auto"/>
          <w:kern w:val="0"/>
          <w:u w:val="single"/>
          <w:lang w:eastAsia="zh-CN"/>
        </w:rPr>
        <w:t>进行了补测。监测内容及结果如下。</w:t>
      </w:r>
    </w:p>
    <w:p>
      <w:pPr>
        <w:pStyle w:val="31"/>
        <w:rPr>
          <w:rFonts w:hint="default" w:eastAsia="宋体"/>
          <w:color w:val="auto"/>
          <w:u w:val="single"/>
          <w:lang w:val="en-US" w:eastAsia="zh-CN"/>
        </w:rPr>
      </w:pPr>
      <w:r>
        <w:rPr>
          <w:rFonts w:hint="eastAsia"/>
          <w:color w:val="auto"/>
          <w:szCs w:val="22"/>
          <w:u w:val="single"/>
          <w:lang w:eastAsia="zh-CN"/>
        </w:rPr>
        <w:t>（</w:t>
      </w:r>
      <w:r>
        <w:rPr>
          <w:rFonts w:hint="eastAsia"/>
          <w:color w:val="auto"/>
          <w:szCs w:val="22"/>
          <w:u w:val="single"/>
          <w:lang w:val="en-US" w:eastAsia="zh-CN"/>
        </w:rPr>
        <w:t>1</w:t>
      </w:r>
      <w:r>
        <w:rPr>
          <w:rFonts w:hint="eastAsia"/>
          <w:color w:val="auto"/>
          <w:szCs w:val="22"/>
          <w:u w:val="single"/>
          <w:lang w:eastAsia="zh-CN"/>
        </w:rPr>
        <w:t>）监测点位</w:t>
      </w:r>
    </w:p>
    <w:p>
      <w:pPr>
        <w:ind w:firstLine="480"/>
        <w:rPr>
          <w:rFonts w:hint="eastAsia"/>
          <w:color w:val="auto"/>
          <w:kern w:val="0"/>
          <w:u w:val="single"/>
        </w:rPr>
      </w:pPr>
      <w:r>
        <w:rPr>
          <w:rFonts w:hint="eastAsia"/>
          <w:color w:val="auto"/>
          <w:kern w:val="0"/>
          <w:u w:val="single"/>
        </w:rPr>
        <w:t>项目</w:t>
      </w:r>
      <w:r>
        <w:rPr>
          <w:rFonts w:hint="eastAsia"/>
          <w:color w:val="auto"/>
          <w:kern w:val="0"/>
          <w:u w:val="single"/>
          <w:lang w:eastAsia="zh-CN"/>
        </w:rPr>
        <w:t>补充</w:t>
      </w:r>
      <w:r>
        <w:rPr>
          <w:rFonts w:hint="eastAsia"/>
          <w:color w:val="auto"/>
          <w:kern w:val="0"/>
          <w:u w:val="single"/>
        </w:rPr>
        <w:t>监测布点情况详见下表3.4-</w:t>
      </w:r>
      <w:r>
        <w:rPr>
          <w:rFonts w:hint="eastAsia"/>
          <w:color w:val="auto"/>
          <w:kern w:val="0"/>
          <w:u w:val="single"/>
          <w:lang w:val="en-US" w:eastAsia="zh-CN"/>
        </w:rPr>
        <w:t>13</w:t>
      </w:r>
      <w:r>
        <w:rPr>
          <w:rFonts w:hint="eastAsia"/>
          <w:color w:val="auto"/>
          <w:kern w:val="0"/>
          <w:u w:val="single"/>
        </w:rPr>
        <w:t>，项目监测布点图见附图</w:t>
      </w:r>
      <w:r>
        <w:rPr>
          <w:rFonts w:hint="eastAsia"/>
          <w:color w:val="auto"/>
          <w:kern w:val="0"/>
          <w:u w:val="single"/>
          <w:lang w:val="en-US" w:eastAsia="zh-CN"/>
        </w:rPr>
        <w:t>23</w:t>
      </w:r>
      <w:r>
        <w:rPr>
          <w:rFonts w:hint="eastAsia"/>
          <w:color w:val="auto"/>
          <w:kern w:val="0"/>
          <w:u w:val="single"/>
        </w:rPr>
        <w:t>：</w:t>
      </w:r>
      <w:r>
        <w:rPr>
          <w:rFonts w:hint="eastAsia"/>
          <w:color w:val="auto"/>
          <w:kern w:val="0"/>
          <w:u w:val="single"/>
          <w:lang w:eastAsia="zh-CN"/>
        </w:rPr>
        <w:t>地下水补测点位图</w:t>
      </w:r>
      <w:r>
        <w:rPr>
          <w:rFonts w:hint="eastAsia"/>
          <w:color w:val="auto"/>
          <w:kern w:val="0"/>
          <w:u w:val="single"/>
        </w:rPr>
        <w:t>。</w:t>
      </w:r>
    </w:p>
    <w:p>
      <w:pPr>
        <w:ind w:firstLine="198" w:firstLineChars="94"/>
        <w:jc w:val="center"/>
        <w:rPr>
          <w:rFonts w:hint="eastAsia"/>
          <w:color w:val="auto"/>
          <w:kern w:val="0"/>
          <w:u w:val="single"/>
        </w:rPr>
      </w:pPr>
      <w:r>
        <w:rPr>
          <w:rFonts w:hint="eastAsia"/>
          <w:b/>
          <w:color w:val="auto"/>
          <w:kern w:val="0"/>
          <w:sz w:val="21"/>
          <w:szCs w:val="21"/>
          <w:u w:val="single"/>
        </w:rPr>
        <w:t>表3.4-</w:t>
      </w:r>
      <w:r>
        <w:rPr>
          <w:rFonts w:hint="eastAsia"/>
          <w:b/>
          <w:color w:val="auto"/>
          <w:kern w:val="0"/>
          <w:sz w:val="21"/>
          <w:szCs w:val="21"/>
          <w:u w:val="single"/>
          <w:lang w:val="en-US" w:eastAsia="zh-CN"/>
        </w:rPr>
        <w:t>13地下水</w:t>
      </w:r>
      <w:r>
        <w:rPr>
          <w:rFonts w:hint="eastAsia"/>
          <w:b/>
          <w:color w:val="auto"/>
          <w:kern w:val="0"/>
          <w:sz w:val="21"/>
          <w:szCs w:val="21"/>
          <w:u w:val="single"/>
        </w:rPr>
        <w:t>监测布点情况一览表</w:t>
      </w:r>
    </w:p>
    <w:tbl>
      <w:tblPr>
        <w:tblStyle w:val="36"/>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7"/>
        <w:gridCol w:w="1382"/>
        <w:gridCol w:w="1563"/>
        <w:gridCol w:w="3718"/>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exact"/>
          <w:jc w:val="center"/>
        </w:trPr>
        <w:tc>
          <w:tcPr>
            <w:tcW w:w="255" w:type="pct"/>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编号</w:t>
            </w:r>
          </w:p>
        </w:tc>
        <w:tc>
          <w:tcPr>
            <w:tcW w:w="825" w:type="pct"/>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监测点名称</w:t>
            </w:r>
          </w:p>
        </w:tc>
        <w:tc>
          <w:tcPr>
            <w:tcW w:w="933" w:type="pct"/>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与</w:t>
            </w:r>
            <w:r>
              <w:rPr>
                <w:rFonts w:hint="eastAsia" w:ascii="Times New Roman" w:hAnsi="Times New Roman" w:cs="Times New Roman"/>
                <w:b/>
                <w:bCs/>
                <w:color w:val="auto"/>
                <w:u w:val="single"/>
                <w:lang w:val="en-US" w:eastAsia="zh-CN"/>
              </w:rPr>
              <w:t>本</w:t>
            </w:r>
            <w:r>
              <w:rPr>
                <w:rFonts w:hint="default" w:ascii="Times New Roman" w:hAnsi="Times New Roman" w:cs="Times New Roman"/>
                <w:b/>
                <w:bCs/>
                <w:color w:val="auto"/>
                <w:u w:val="single"/>
                <w:lang w:val="en-US" w:eastAsia="zh-CN"/>
              </w:rPr>
              <w:t>项目方位关系</w:t>
            </w:r>
          </w:p>
        </w:tc>
        <w:tc>
          <w:tcPr>
            <w:tcW w:w="2219" w:type="pct"/>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监测因子</w:t>
            </w:r>
          </w:p>
        </w:tc>
        <w:tc>
          <w:tcPr>
            <w:tcW w:w="765" w:type="pct"/>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255" w:type="pct"/>
            <w:noWrap w:val="0"/>
            <w:vAlign w:val="center"/>
          </w:tcPr>
          <w:p>
            <w:pPr>
              <w:pStyle w:val="73"/>
              <w:bidi w:val="0"/>
              <w:ind w:firstLine="0" w:firstLineChars="0"/>
              <w:rPr>
                <w:rFonts w:hint="default" w:ascii="Times New Roman" w:hAnsi="Times New Roman" w:cs="Times New Roman"/>
                <w:color w:val="auto"/>
                <w:u w:val="single"/>
                <w:lang w:val="en-US" w:eastAsia="zh-CN"/>
              </w:rPr>
            </w:pPr>
            <w:r>
              <w:rPr>
                <w:u w:val="single"/>
              </w:rPr>
              <w:t>D1</w:t>
            </w:r>
          </w:p>
        </w:tc>
        <w:tc>
          <w:tcPr>
            <w:tcW w:w="825" w:type="pct"/>
            <w:noWrap w:val="0"/>
            <w:vAlign w:val="center"/>
          </w:tcPr>
          <w:p>
            <w:pPr>
              <w:pStyle w:val="73"/>
              <w:bidi w:val="0"/>
              <w:ind w:firstLine="0" w:firstLineChars="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岔</w:t>
            </w:r>
            <w:r>
              <w:rPr>
                <w:rFonts w:hint="eastAsia" w:ascii="Times New Roman" w:hAnsi="Times New Roman" w:cs="Times New Roman"/>
                <w:color w:val="auto"/>
                <w:u w:val="single"/>
                <w:lang w:val="en-US" w:eastAsia="zh-CN"/>
              </w:rPr>
              <w:t>哪</w:t>
            </w:r>
            <w:r>
              <w:rPr>
                <w:rFonts w:hint="default" w:ascii="Times New Roman" w:hAnsi="Times New Roman" w:cs="Times New Roman"/>
                <w:color w:val="auto"/>
                <w:u w:val="single"/>
                <w:lang w:val="en-US" w:eastAsia="zh-CN"/>
              </w:rPr>
              <w:t>村地下水井</w:t>
            </w:r>
            <w:r>
              <w:rPr>
                <w:rFonts w:hint="eastAsia" w:ascii="Times New Roman" w:hAnsi="Times New Roman" w:cs="Times New Roman"/>
                <w:color w:val="auto"/>
                <w:u w:val="single"/>
                <w:lang w:val="en-US" w:eastAsia="zh-CN"/>
              </w:rPr>
              <w:t>1</w:t>
            </w:r>
          </w:p>
        </w:tc>
        <w:tc>
          <w:tcPr>
            <w:tcW w:w="933" w:type="pct"/>
            <w:noWrap w:val="0"/>
            <w:vAlign w:val="center"/>
          </w:tcPr>
          <w:p>
            <w:pPr>
              <w:pStyle w:val="90"/>
              <w:keepNext w:val="0"/>
              <w:keepLines w:val="0"/>
              <w:pageBreakBefore w:val="0"/>
              <w:widowControl/>
              <w:kinsoku/>
              <w:wordWrap/>
              <w:overflowPunct/>
              <w:topLinePunct w:val="0"/>
              <w:autoSpaceDE/>
              <w:autoSpaceDN/>
              <w:bidi w:val="0"/>
              <w:adjustRightInd/>
              <w:snapToGrid/>
              <w:ind w:firstLine="0" w:firstLineChars="0"/>
              <w:textAlignment w:val="center"/>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NW，570m</w:t>
            </w:r>
          </w:p>
        </w:tc>
        <w:tc>
          <w:tcPr>
            <w:tcW w:w="2219" w:type="pct"/>
            <w:vMerge w:val="restart"/>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color w:val="auto"/>
                <w:u w:val="single"/>
                <w:lang w:val="en-US" w:eastAsia="zh-CN"/>
              </w:rPr>
            </w:pPr>
            <w:r>
              <w:rPr>
                <w:rFonts w:hint="eastAsia"/>
                <w:sz w:val="21"/>
                <w:szCs w:val="21"/>
                <w:u w:val="single"/>
                <w:lang w:val="en-US" w:eastAsia="zh-CN"/>
              </w:rPr>
              <w:t>K</w:t>
            </w:r>
            <w:r>
              <w:rPr>
                <w:rFonts w:hint="eastAsia"/>
                <w:sz w:val="21"/>
                <w:szCs w:val="21"/>
                <w:u w:val="single"/>
                <w:vertAlign w:val="superscript"/>
                <w:lang w:val="en-US" w:eastAsia="zh-CN"/>
              </w:rPr>
              <w:t>+</w:t>
            </w:r>
            <w:r>
              <w:rPr>
                <w:rFonts w:hint="eastAsia"/>
                <w:sz w:val="21"/>
                <w:szCs w:val="21"/>
                <w:u w:val="single"/>
                <w:vertAlign w:val="baseline"/>
                <w:lang w:val="en-US" w:eastAsia="zh-CN"/>
              </w:rPr>
              <w:t>、</w:t>
            </w:r>
            <w:r>
              <w:rPr>
                <w:rFonts w:hint="eastAsia"/>
                <w:sz w:val="21"/>
                <w:szCs w:val="21"/>
                <w:u w:val="single"/>
                <w:lang w:val="en-US" w:eastAsia="zh-CN"/>
              </w:rPr>
              <w:t>Na</w:t>
            </w:r>
            <w:r>
              <w:rPr>
                <w:rFonts w:hint="eastAsia"/>
                <w:sz w:val="21"/>
                <w:szCs w:val="21"/>
                <w:u w:val="single"/>
                <w:vertAlign w:val="superscript"/>
                <w:lang w:val="en-US" w:eastAsia="zh-CN"/>
              </w:rPr>
              <w:t>+</w:t>
            </w:r>
            <w:r>
              <w:rPr>
                <w:rFonts w:hint="eastAsia"/>
                <w:sz w:val="21"/>
                <w:szCs w:val="21"/>
                <w:u w:val="single"/>
                <w:vertAlign w:val="baseline"/>
                <w:lang w:val="en-US" w:eastAsia="zh-CN"/>
              </w:rPr>
              <w:t>、</w:t>
            </w:r>
            <w:r>
              <w:rPr>
                <w:rFonts w:hint="eastAsia"/>
                <w:sz w:val="21"/>
                <w:szCs w:val="21"/>
                <w:u w:val="single"/>
                <w:lang w:val="en-US" w:eastAsia="zh-CN"/>
              </w:rPr>
              <w:t>Ca</w:t>
            </w:r>
            <w:r>
              <w:rPr>
                <w:rFonts w:hint="eastAsia"/>
                <w:sz w:val="21"/>
                <w:szCs w:val="21"/>
                <w:u w:val="single"/>
                <w:vertAlign w:val="superscript"/>
                <w:lang w:val="en-US" w:eastAsia="zh-CN"/>
              </w:rPr>
              <w:t>2+</w:t>
            </w:r>
            <w:r>
              <w:rPr>
                <w:rFonts w:hint="eastAsia"/>
                <w:sz w:val="21"/>
                <w:szCs w:val="21"/>
                <w:u w:val="single"/>
                <w:vertAlign w:val="baseline"/>
                <w:lang w:val="en-US" w:eastAsia="zh-CN"/>
              </w:rPr>
              <w:t>、</w:t>
            </w:r>
            <w:r>
              <w:rPr>
                <w:rFonts w:hint="eastAsia"/>
                <w:sz w:val="21"/>
                <w:szCs w:val="21"/>
                <w:u w:val="single"/>
                <w:lang w:val="en-US" w:eastAsia="zh-CN"/>
              </w:rPr>
              <w:t>Mg</w:t>
            </w:r>
            <w:r>
              <w:rPr>
                <w:rFonts w:hint="eastAsia"/>
                <w:sz w:val="21"/>
                <w:szCs w:val="21"/>
                <w:u w:val="single"/>
                <w:vertAlign w:val="superscript"/>
                <w:lang w:val="en-US" w:eastAsia="zh-CN"/>
              </w:rPr>
              <w:t>2+</w:t>
            </w:r>
            <w:r>
              <w:rPr>
                <w:rFonts w:hint="eastAsia"/>
                <w:sz w:val="21"/>
                <w:szCs w:val="21"/>
                <w:u w:val="single"/>
                <w:vertAlign w:val="baseline"/>
                <w:lang w:val="en-US" w:eastAsia="zh-CN"/>
              </w:rPr>
              <w:t>、</w:t>
            </w:r>
            <w:r>
              <w:rPr>
                <w:rFonts w:hint="eastAsia"/>
                <w:sz w:val="21"/>
                <w:szCs w:val="21"/>
                <w:u w:val="single"/>
                <w:lang w:val="en-US" w:eastAsia="zh-CN"/>
              </w:rPr>
              <w:t>CO</w:t>
            </w:r>
            <w:r>
              <w:rPr>
                <w:rFonts w:hint="eastAsia"/>
                <w:sz w:val="21"/>
                <w:szCs w:val="21"/>
                <w:u w:val="single"/>
                <w:vertAlign w:val="subscript"/>
                <w:lang w:val="en-US" w:eastAsia="zh-CN"/>
              </w:rPr>
              <w:t>3</w:t>
            </w:r>
            <w:r>
              <w:rPr>
                <w:rFonts w:hint="eastAsia"/>
                <w:sz w:val="21"/>
                <w:szCs w:val="21"/>
                <w:u w:val="single"/>
                <w:vertAlign w:val="superscript"/>
                <w:lang w:val="en-US" w:eastAsia="zh-CN"/>
              </w:rPr>
              <w:t>2—</w:t>
            </w:r>
            <w:r>
              <w:rPr>
                <w:rFonts w:hint="eastAsia"/>
                <w:sz w:val="21"/>
                <w:szCs w:val="21"/>
                <w:u w:val="single"/>
                <w:vertAlign w:val="baseline"/>
                <w:lang w:val="en-US" w:eastAsia="zh-CN"/>
              </w:rPr>
              <w:t>、</w:t>
            </w:r>
            <w:r>
              <w:rPr>
                <w:rFonts w:hint="eastAsia"/>
                <w:sz w:val="21"/>
                <w:szCs w:val="21"/>
                <w:u w:val="single"/>
                <w:lang w:val="en-US" w:eastAsia="zh-CN"/>
              </w:rPr>
              <w:t>HCO</w:t>
            </w:r>
            <w:r>
              <w:rPr>
                <w:rFonts w:hint="eastAsia"/>
                <w:sz w:val="21"/>
                <w:szCs w:val="21"/>
                <w:u w:val="single"/>
                <w:vertAlign w:val="subscript"/>
                <w:lang w:val="en-US" w:eastAsia="zh-CN"/>
              </w:rPr>
              <w:t>3</w:t>
            </w:r>
            <w:r>
              <w:rPr>
                <w:rFonts w:hint="eastAsia"/>
                <w:sz w:val="21"/>
                <w:szCs w:val="21"/>
                <w:u w:val="single"/>
                <w:vertAlign w:val="superscript"/>
                <w:lang w:val="en-US" w:eastAsia="zh-CN"/>
              </w:rPr>
              <w:t>—</w:t>
            </w:r>
            <w:r>
              <w:rPr>
                <w:rFonts w:hint="eastAsia"/>
                <w:sz w:val="21"/>
                <w:szCs w:val="21"/>
                <w:u w:val="single"/>
                <w:vertAlign w:val="baseline"/>
                <w:lang w:val="en-US" w:eastAsia="zh-CN"/>
              </w:rPr>
              <w:t>、</w:t>
            </w:r>
            <w:r>
              <w:rPr>
                <w:rFonts w:hint="eastAsia"/>
                <w:sz w:val="21"/>
                <w:szCs w:val="21"/>
                <w:u w:val="single"/>
                <w:lang w:val="en-US" w:eastAsia="zh-CN"/>
              </w:rPr>
              <w:t>Cl</w:t>
            </w:r>
            <w:r>
              <w:rPr>
                <w:rFonts w:hint="eastAsia"/>
                <w:sz w:val="21"/>
                <w:szCs w:val="21"/>
                <w:u w:val="single"/>
                <w:vertAlign w:val="superscript"/>
                <w:lang w:val="en-US" w:eastAsia="zh-CN"/>
              </w:rPr>
              <w:t>—</w:t>
            </w:r>
            <w:r>
              <w:rPr>
                <w:rFonts w:hint="eastAsia"/>
                <w:sz w:val="21"/>
                <w:szCs w:val="21"/>
                <w:u w:val="single"/>
                <w:vertAlign w:val="baseline"/>
                <w:lang w:val="en-US" w:eastAsia="zh-CN"/>
              </w:rPr>
              <w:t>、</w:t>
            </w:r>
            <w:r>
              <w:rPr>
                <w:rFonts w:hint="eastAsia"/>
                <w:sz w:val="21"/>
                <w:szCs w:val="21"/>
                <w:u w:val="single"/>
                <w:lang w:val="en-US" w:eastAsia="zh-CN"/>
              </w:rPr>
              <w:t>SO</w:t>
            </w:r>
            <w:r>
              <w:rPr>
                <w:rFonts w:hint="eastAsia"/>
                <w:sz w:val="21"/>
                <w:szCs w:val="21"/>
                <w:u w:val="single"/>
                <w:vertAlign w:val="subscript"/>
                <w:lang w:val="en-US" w:eastAsia="zh-CN"/>
              </w:rPr>
              <w:t>4</w:t>
            </w:r>
            <w:r>
              <w:rPr>
                <w:rFonts w:hint="eastAsia"/>
                <w:sz w:val="21"/>
                <w:szCs w:val="21"/>
                <w:u w:val="single"/>
                <w:vertAlign w:val="superscript"/>
                <w:lang w:val="en-US" w:eastAsia="zh-CN"/>
              </w:rPr>
              <w:t>2—</w:t>
            </w:r>
          </w:p>
        </w:tc>
        <w:tc>
          <w:tcPr>
            <w:tcW w:w="765" w:type="pct"/>
            <w:vMerge w:val="restart"/>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color w:val="auto"/>
                <w:u w:val="single"/>
              </w:rPr>
            </w:pPr>
            <w:r>
              <w:rPr>
                <w:rFonts w:hint="eastAsia" w:ascii="Times New Roman" w:hAnsi="Times New Roman"/>
                <w:b w:val="0"/>
                <w:color w:val="000000"/>
                <w:sz w:val="24"/>
                <w:u w:val="single"/>
                <w:lang w:val="en-US" w:eastAsia="zh-CN"/>
              </w:rPr>
              <w:t>2022.07.02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255" w:type="pct"/>
            <w:noWrap w:val="0"/>
            <w:vAlign w:val="center"/>
          </w:tcPr>
          <w:p>
            <w:pPr>
              <w:pStyle w:val="73"/>
              <w:bidi w:val="0"/>
              <w:ind w:firstLine="0" w:firstLineChars="0"/>
              <w:rPr>
                <w:rFonts w:hint="default" w:ascii="Times New Roman" w:hAnsi="Times New Roman" w:cs="Times New Roman"/>
                <w:color w:val="auto"/>
                <w:u w:val="single"/>
                <w:lang w:val="en-US" w:eastAsia="zh-CN"/>
              </w:rPr>
            </w:pPr>
            <w:r>
              <w:rPr>
                <w:rFonts w:hint="eastAsia"/>
                <w:u w:val="single"/>
                <w:lang w:val="en-US" w:eastAsia="zh-CN"/>
              </w:rPr>
              <w:t>D2</w:t>
            </w:r>
          </w:p>
        </w:tc>
        <w:tc>
          <w:tcPr>
            <w:tcW w:w="825" w:type="pct"/>
            <w:noWrap w:val="0"/>
            <w:vAlign w:val="center"/>
          </w:tcPr>
          <w:p>
            <w:pPr>
              <w:pStyle w:val="73"/>
              <w:bidi w:val="0"/>
              <w:ind w:firstLine="0" w:firstLineChars="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岔包地下水井</w:t>
            </w:r>
          </w:p>
        </w:tc>
        <w:tc>
          <w:tcPr>
            <w:tcW w:w="933" w:type="pct"/>
            <w:noWrap w:val="0"/>
            <w:vAlign w:val="center"/>
          </w:tcPr>
          <w:p>
            <w:pPr>
              <w:pStyle w:val="90"/>
              <w:keepNext w:val="0"/>
              <w:keepLines w:val="0"/>
              <w:pageBreakBefore w:val="0"/>
              <w:widowControl/>
              <w:kinsoku/>
              <w:wordWrap/>
              <w:overflowPunct/>
              <w:topLinePunct w:val="0"/>
              <w:autoSpaceDE/>
              <w:autoSpaceDN/>
              <w:bidi w:val="0"/>
              <w:adjustRightInd/>
              <w:snapToGrid/>
              <w:ind w:firstLine="0" w:firstLineChars="0"/>
              <w:textAlignment w:val="center"/>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SW，260m</w:t>
            </w:r>
          </w:p>
        </w:tc>
        <w:tc>
          <w:tcPr>
            <w:tcW w:w="2219" w:type="pct"/>
            <w:vMerge w:val="continue"/>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color w:val="auto"/>
                <w:u w:val="single"/>
                <w:lang w:val="en-US" w:eastAsia="zh-CN"/>
              </w:rPr>
            </w:pPr>
          </w:p>
        </w:tc>
        <w:tc>
          <w:tcPr>
            <w:tcW w:w="765" w:type="pct"/>
            <w:vMerge w:val="continue"/>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color w:val="auto"/>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255" w:type="pct"/>
            <w:noWrap w:val="0"/>
            <w:vAlign w:val="center"/>
          </w:tcPr>
          <w:p>
            <w:pPr>
              <w:pStyle w:val="73"/>
              <w:bidi w:val="0"/>
              <w:ind w:firstLine="0" w:firstLineChars="0"/>
              <w:rPr>
                <w:rFonts w:hint="default" w:ascii="Times New Roman" w:hAnsi="Times New Roman" w:cs="Times New Roman"/>
                <w:color w:val="auto"/>
                <w:u w:val="single"/>
                <w:lang w:val="en-US" w:eastAsia="zh-CN"/>
              </w:rPr>
            </w:pPr>
            <w:r>
              <w:rPr>
                <w:rFonts w:hint="eastAsia"/>
                <w:u w:val="single"/>
                <w:lang w:val="en-US" w:eastAsia="zh-CN"/>
              </w:rPr>
              <w:t>D3</w:t>
            </w:r>
          </w:p>
        </w:tc>
        <w:tc>
          <w:tcPr>
            <w:tcW w:w="825" w:type="pct"/>
            <w:noWrap w:val="0"/>
            <w:vAlign w:val="center"/>
          </w:tcPr>
          <w:p>
            <w:pPr>
              <w:pStyle w:val="73"/>
              <w:bidi w:val="0"/>
              <w:ind w:firstLine="0" w:firstLineChars="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石堤湖地下水井</w:t>
            </w:r>
          </w:p>
        </w:tc>
        <w:tc>
          <w:tcPr>
            <w:tcW w:w="933" w:type="pct"/>
            <w:noWrap w:val="0"/>
            <w:vAlign w:val="center"/>
          </w:tcPr>
          <w:p>
            <w:pPr>
              <w:pStyle w:val="90"/>
              <w:keepNext w:val="0"/>
              <w:keepLines w:val="0"/>
              <w:pageBreakBefore w:val="0"/>
              <w:widowControl/>
              <w:kinsoku/>
              <w:wordWrap/>
              <w:overflowPunct/>
              <w:topLinePunct w:val="0"/>
              <w:autoSpaceDE/>
              <w:autoSpaceDN/>
              <w:bidi w:val="0"/>
              <w:adjustRightInd/>
              <w:snapToGrid/>
              <w:ind w:firstLine="0" w:firstLineChars="0"/>
              <w:textAlignment w:val="center"/>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SW，600m</w:t>
            </w:r>
          </w:p>
        </w:tc>
        <w:tc>
          <w:tcPr>
            <w:tcW w:w="2219" w:type="pct"/>
            <w:vMerge w:val="continue"/>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color w:val="auto"/>
                <w:u w:val="single"/>
                <w:lang w:val="en-US" w:eastAsia="zh-CN"/>
              </w:rPr>
            </w:pPr>
          </w:p>
        </w:tc>
        <w:tc>
          <w:tcPr>
            <w:tcW w:w="765" w:type="pct"/>
            <w:vMerge w:val="continue"/>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color w:val="auto"/>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exact"/>
          <w:jc w:val="center"/>
        </w:trPr>
        <w:tc>
          <w:tcPr>
            <w:tcW w:w="255" w:type="pct"/>
            <w:noWrap w:val="0"/>
            <w:vAlign w:val="center"/>
          </w:tcPr>
          <w:p>
            <w:pPr>
              <w:pStyle w:val="73"/>
              <w:bidi w:val="0"/>
              <w:ind w:firstLine="0" w:firstLineChars="0"/>
              <w:rPr>
                <w:rFonts w:hint="default" w:ascii="Times New Roman" w:hAnsi="Times New Roman" w:cs="Times New Roman"/>
                <w:color w:val="auto"/>
                <w:u w:val="single"/>
                <w:lang w:val="en-US" w:eastAsia="zh-CN"/>
              </w:rPr>
            </w:pPr>
            <w:r>
              <w:rPr>
                <w:rFonts w:hint="eastAsia"/>
                <w:u w:val="single"/>
                <w:lang w:val="en-US" w:eastAsia="zh-CN"/>
              </w:rPr>
              <w:t>D7</w:t>
            </w:r>
          </w:p>
        </w:tc>
        <w:tc>
          <w:tcPr>
            <w:tcW w:w="825" w:type="pct"/>
            <w:noWrap w:val="0"/>
            <w:vAlign w:val="center"/>
          </w:tcPr>
          <w:p>
            <w:pPr>
              <w:pStyle w:val="90"/>
              <w:keepNext w:val="0"/>
              <w:keepLines w:val="0"/>
              <w:pageBreakBefore w:val="0"/>
              <w:widowControl/>
              <w:kinsoku/>
              <w:wordWrap/>
              <w:overflowPunct/>
              <w:topLinePunct w:val="0"/>
              <w:autoSpaceDE/>
              <w:autoSpaceDN/>
              <w:bidi w:val="0"/>
              <w:adjustRightInd/>
              <w:snapToGrid/>
              <w:ind w:firstLine="0" w:firstLineChars="0"/>
              <w:textAlignment w:val="center"/>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岔哪村地下水井</w:t>
            </w:r>
            <w:r>
              <w:rPr>
                <w:rFonts w:hint="eastAsia" w:ascii="Times New Roman" w:hAnsi="Times New Roman" w:cs="Times New Roman"/>
                <w:color w:val="auto"/>
                <w:u w:val="single"/>
                <w:lang w:val="en-US" w:eastAsia="zh-CN"/>
              </w:rPr>
              <w:t>2</w:t>
            </w:r>
          </w:p>
        </w:tc>
        <w:tc>
          <w:tcPr>
            <w:tcW w:w="933" w:type="pct"/>
            <w:noWrap w:val="0"/>
            <w:vAlign w:val="center"/>
          </w:tcPr>
          <w:p>
            <w:pPr>
              <w:pStyle w:val="73"/>
              <w:bidi w:val="0"/>
              <w:ind w:firstLine="0" w:firstLineChars="0"/>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EN</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1130</w:t>
            </w:r>
            <w:r>
              <w:rPr>
                <w:rFonts w:hint="default" w:ascii="Times New Roman" w:hAnsi="Times New Roman" w:cs="Times New Roman"/>
                <w:color w:val="auto"/>
                <w:u w:val="single"/>
                <w:lang w:val="en-US" w:eastAsia="zh-CN"/>
              </w:rPr>
              <w:t>m</w:t>
            </w:r>
          </w:p>
        </w:tc>
        <w:tc>
          <w:tcPr>
            <w:tcW w:w="2219" w:type="pct"/>
            <w:vMerge w:val="continue"/>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color w:val="auto"/>
                <w:u w:val="single"/>
                <w:lang w:val="en-US" w:eastAsia="zh-CN"/>
              </w:rPr>
            </w:pPr>
          </w:p>
        </w:tc>
        <w:tc>
          <w:tcPr>
            <w:tcW w:w="765" w:type="pct"/>
            <w:vMerge w:val="continue"/>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color w:val="auto"/>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exact"/>
          <w:jc w:val="center"/>
        </w:trPr>
        <w:tc>
          <w:tcPr>
            <w:tcW w:w="255" w:type="pct"/>
            <w:noWrap w:val="0"/>
            <w:vAlign w:val="center"/>
          </w:tcPr>
          <w:p>
            <w:pPr>
              <w:pStyle w:val="73"/>
              <w:bidi w:val="0"/>
              <w:ind w:firstLine="0" w:firstLineChars="0"/>
              <w:rPr>
                <w:rFonts w:hint="default" w:ascii="Times New Roman" w:hAnsi="Times New Roman" w:cs="Times New Roman"/>
                <w:color w:val="auto"/>
                <w:u w:val="single"/>
                <w:lang w:val="en-US" w:eastAsia="zh-CN"/>
              </w:rPr>
            </w:pPr>
            <w:r>
              <w:rPr>
                <w:rFonts w:hint="eastAsia"/>
                <w:u w:val="single"/>
                <w:lang w:val="en-US" w:eastAsia="zh-CN"/>
              </w:rPr>
              <w:t>D8</w:t>
            </w:r>
          </w:p>
        </w:tc>
        <w:tc>
          <w:tcPr>
            <w:tcW w:w="825" w:type="pct"/>
            <w:noWrap w:val="0"/>
            <w:vAlign w:val="center"/>
          </w:tcPr>
          <w:p>
            <w:pPr>
              <w:pStyle w:val="90"/>
              <w:keepNext w:val="0"/>
              <w:keepLines w:val="0"/>
              <w:pageBreakBefore w:val="0"/>
              <w:widowControl/>
              <w:kinsoku/>
              <w:wordWrap/>
              <w:overflowPunct/>
              <w:topLinePunct w:val="0"/>
              <w:autoSpaceDE/>
              <w:autoSpaceDN/>
              <w:bidi w:val="0"/>
              <w:adjustRightInd/>
              <w:snapToGrid/>
              <w:ind w:firstLine="0" w:firstLineChars="0"/>
              <w:textAlignment w:val="center"/>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园区</w:t>
            </w:r>
            <w:r>
              <w:rPr>
                <w:rFonts w:hint="default" w:ascii="Times New Roman" w:hAnsi="Times New Roman" w:cs="Times New Roman"/>
                <w:color w:val="auto"/>
                <w:u w:val="single"/>
                <w:lang w:val="en-US" w:eastAsia="zh-CN"/>
              </w:rPr>
              <w:t>地下水井</w:t>
            </w:r>
          </w:p>
        </w:tc>
        <w:tc>
          <w:tcPr>
            <w:tcW w:w="933" w:type="pct"/>
            <w:noWrap w:val="0"/>
            <w:vAlign w:val="center"/>
          </w:tcPr>
          <w:p>
            <w:pPr>
              <w:pStyle w:val="73"/>
              <w:bidi w:val="0"/>
              <w:ind w:firstLine="0" w:firstLineChars="0"/>
              <w:rPr>
                <w:rFonts w:hint="eastAsia"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ES</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1280</w:t>
            </w:r>
            <w:r>
              <w:rPr>
                <w:rFonts w:hint="default" w:ascii="Times New Roman" w:hAnsi="Times New Roman" w:cs="Times New Roman"/>
                <w:color w:val="auto"/>
                <w:u w:val="single"/>
                <w:lang w:val="en-US" w:eastAsia="zh-CN"/>
              </w:rPr>
              <w:t>m</w:t>
            </w:r>
          </w:p>
        </w:tc>
        <w:tc>
          <w:tcPr>
            <w:tcW w:w="2219" w:type="pct"/>
            <w:vMerge w:val="continue"/>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color w:val="auto"/>
                <w:u w:val="single"/>
                <w:lang w:val="en-US" w:eastAsia="zh-CN"/>
              </w:rPr>
            </w:pPr>
          </w:p>
        </w:tc>
        <w:tc>
          <w:tcPr>
            <w:tcW w:w="765" w:type="pct"/>
            <w:vMerge w:val="continue"/>
            <w:noWrap w:val="0"/>
            <w:vAlign w:val="center"/>
          </w:tcPr>
          <w:p>
            <w:pPr>
              <w:pStyle w:val="90"/>
              <w:keepNext w:val="0"/>
              <w:keepLines w:val="0"/>
              <w:pageBreakBefore w:val="0"/>
              <w:widowControl/>
              <w:kinsoku/>
              <w:wordWrap/>
              <w:overflowPunct/>
              <w:topLinePunct w:val="0"/>
              <w:autoSpaceDE/>
              <w:autoSpaceDN/>
              <w:bidi w:val="0"/>
              <w:adjustRightInd/>
              <w:snapToGrid/>
              <w:textAlignment w:val="center"/>
              <w:rPr>
                <w:rFonts w:hint="default" w:ascii="Times New Roman" w:hAnsi="Times New Roman" w:cs="Times New Roman"/>
                <w:color w:val="auto"/>
                <w:u w:val="single"/>
                <w:lang w:val="en-US" w:eastAsia="zh-CN"/>
              </w:rPr>
            </w:pPr>
          </w:p>
        </w:tc>
      </w:tr>
    </w:tbl>
    <w:p>
      <w:pPr>
        <w:ind w:firstLine="480"/>
        <w:rPr>
          <w:rFonts w:hint="eastAsia"/>
          <w:color w:val="auto"/>
          <w:kern w:val="0"/>
          <w:u w:val="single"/>
        </w:rPr>
      </w:pPr>
      <w:r>
        <w:rPr>
          <w:rFonts w:hint="eastAsia"/>
          <w:color w:val="auto"/>
          <w:kern w:val="0"/>
          <w:u w:val="single"/>
        </w:rPr>
        <w:t>（</w:t>
      </w:r>
      <w:r>
        <w:rPr>
          <w:color w:val="auto"/>
          <w:kern w:val="0"/>
          <w:u w:val="single"/>
        </w:rPr>
        <w:t>2</w:t>
      </w:r>
      <w:r>
        <w:rPr>
          <w:rFonts w:hint="eastAsia"/>
          <w:color w:val="auto"/>
          <w:kern w:val="0"/>
          <w:u w:val="single"/>
        </w:rPr>
        <w:t>）监测数据结果</w:t>
      </w:r>
    </w:p>
    <w:p>
      <w:pPr>
        <w:ind w:firstLine="480"/>
        <w:rPr>
          <w:rFonts w:hint="eastAsia"/>
          <w:color w:val="auto"/>
          <w:kern w:val="0"/>
          <w:u w:val="single"/>
        </w:rPr>
      </w:pPr>
      <w:r>
        <w:rPr>
          <w:rFonts w:hint="eastAsia"/>
          <w:color w:val="auto"/>
          <w:kern w:val="0"/>
          <w:u w:val="single"/>
        </w:rPr>
        <w:t>监测数据结果见表3.4</w:t>
      </w:r>
      <w:r>
        <w:rPr>
          <w:color w:val="auto"/>
          <w:kern w:val="0"/>
          <w:u w:val="single"/>
        </w:rPr>
        <w:t>-</w:t>
      </w:r>
      <w:r>
        <w:rPr>
          <w:rFonts w:hint="eastAsia"/>
          <w:color w:val="auto"/>
          <w:kern w:val="0"/>
          <w:u w:val="single"/>
          <w:lang w:val="en-US" w:eastAsia="zh-CN"/>
        </w:rPr>
        <w:t>14</w:t>
      </w:r>
      <w:r>
        <w:rPr>
          <w:rFonts w:hint="eastAsia"/>
          <w:color w:val="auto"/>
          <w:kern w:val="0"/>
          <w:u w:val="single"/>
        </w:rPr>
        <w:t>。</w:t>
      </w:r>
    </w:p>
    <w:p>
      <w:pPr>
        <w:ind w:firstLine="422"/>
        <w:jc w:val="center"/>
        <w:rPr>
          <w:b/>
          <w:color w:val="auto"/>
          <w:kern w:val="0"/>
          <w:sz w:val="21"/>
          <w:szCs w:val="21"/>
          <w:u w:val="single"/>
        </w:rPr>
      </w:pPr>
      <w:r>
        <w:rPr>
          <w:rFonts w:hint="eastAsia"/>
          <w:b/>
          <w:color w:val="auto"/>
          <w:kern w:val="0"/>
          <w:sz w:val="21"/>
          <w:szCs w:val="21"/>
          <w:u w:val="single"/>
        </w:rPr>
        <w:t>表3.4</w:t>
      </w:r>
      <w:r>
        <w:rPr>
          <w:b/>
          <w:color w:val="auto"/>
          <w:kern w:val="0"/>
          <w:sz w:val="21"/>
          <w:szCs w:val="21"/>
          <w:u w:val="single"/>
        </w:rPr>
        <w:t>-</w:t>
      </w:r>
      <w:r>
        <w:rPr>
          <w:rFonts w:hint="eastAsia"/>
          <w:b/>
          <w:color w:val="auto"/>
          <w:kern w:val="0"/>
          <w:sz w:val="21"/>
          <w:szCs w:val="21"/>
          <w:u w:val="single"/>
          <w:lang w:val="en-US" w:eastAsia="zh-CN"/>
        </w:rPr>
        <w:t>14</w:t>
      </w:r>
      <w:r>
        <w:rPr>
          <w:b/>
          <w:color w:val="auto"/>
          <w:kern w:val="0"/>
          <w:sz w:val="21"/>
          <w:szCs w:val="21"/>
          <w:u w:val="single"/>
        </w:rPr>
        <w:t xml:space="preserve"> </w:t>
      </w:r>
      <w:r>
        <w:rPr>
          <w:rFonts w:hint="eastAsia"/>
          <w:b/>
          <w:color w:val="auto"/>
          <w:kern w:val="0"/>
          <w:sz w:val="21"/>
          <w:szCs w:val="21"/>
          <w:u w:val="single"/>
        </w:rPr>
        <w:t>地下水环境监测及评价结果统计表单位:mg/L(PH除外)</w:t>
      </w:r>
    </w:p>
    <w:tbl>
      <w:tblPr>
        <w:tblStyle w:val="36"/>
        <w:tblW w:w="9259" w:type="dxa"/>
        <w:tblInd w:w="-31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68"/>
        <w:gridCol w:w="1698"/>
        <w:gridCol w:w="1530"/>
        <w:gridCol w:w="1470"/>
        <w:gridCol w:w="1495"/>
        <w:gridCol w:w="1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1368" w:type="dxa"/>
            <w:vMerge w:val="restart"/>
            <w:tcBorders>
              <w:tl2br w:val="nil"/>
              <w:tr2bl w:val="nil"/>
            </w:tcBorders>
            <w:noWrap w:val="0"/>
            <w:vAlign w:val="center"/>
          </w:tcPr>
          <w:p>
            <w:pPr>
              <w:pStyle w:val="120"/>
              <w:bidi w:val="0"/>
              <w:rPr>
                <w:u w:val="single"/>
              </w:rPr>
            </w:pPr>
            <w:r>
              <w:rPr>
                <w:u w:val="single"/>
              </w:rPr>
              <w:t>检测项目</w:t>
            </w:r>
          </w:p>
        </w:tc>
        <w:tc>
          <w:tcPr>
            <w:tcW w:w="7891" w:type="dxa"/>
            <w:gridSpan w:val="5"/>
            <w:tcBorders>
              <w:tl2br w:val="nil"/>
              <w:tr2bl w:val="nil"/>
            </w:tcBorders>
            <w:noWrap w:val="0"/>
            <w:vAlign w:val="center"/>
          </w:tcPr>
          <w:p>
            <w:pPr>
              <w:pStyle w:val="120"/>
              <w:bidi w:val="0"/>
              <w:rPr>
                <w:u w:val="single"/>
              </w:rPr>
            </w:pPr>
            <w:r>
              <w:rPr>
                <w:u w:val="single"/>
              </w:rPr>
              <w:t>检测结果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1368" w:type="dxa"/>
            <w:vMerge w:val="continue"/>
            <w:tcBorders>
              <w:tl2br w:val="nil"/>
              <w:tr2bl w:val="nil"/>
            </w:tcBorders>
            <w:noWrap w:val="0"/>
            <w:vAlign w:val="center"/>
          </w:tcPr>
          <w:p>
            <w:pPr>
              <w:pStyle w:val="120"/>
              <w:bidi w:val="0"/>
              <w:rPr>
                <w:u w:val="single"/>
              </w:rPr>
            </w:pP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岔哪村地下水井1D1</w:t>
            </w:r>
          </w:p>
        </w:tc>
        <w:tc>
          <w:tcPr>
            <w:tcW w:w="153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岔包地下水井D2</w:t>
            </w:r>
          </w:p>
        </w:tc>
        <w:tc>
          <w:tcPr>
            <w:tcW w:w="147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石堤湖地下水井D3</w:t>
            </w:r>
          </w:p>
        </w:tc>
        <w:tc>
          <w:tcPr>
            <w:tcW w:w="1495"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石堤湖地下水井D/7</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石堤湖地下水井D8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368" w:type="dxa"/>
            <w:tcBorders>
              <w:tl2br w:val="nil"/>
              <w:tr2bl w:val="nil"/>
            </w:tcBorders>
            <w:noWrap w:val="0"/>
            <w:vAlign w:val="center"/>
          </w:tcPr>
          <w:p>
            <w:pPr>
              <w:pStyle w:val="120"/>
              <w:bidi w:val="0"/>
              <w:rPr>
                <w:u w:val="single"/>
                <w:lang w:val="en-US" w:eastAsia="zh-CN"/>
              </w:rPr>
            </w:pPr>
            <w:r>
              <w:rPr>
                <w:rFonts w:hint="eastAsia"/>
                <w:u w:val="single"/>
                <w:lang w:val="en-US" w:eastAsia="zh-CN"/>
              </w:rPr>
              <w:t>钾离子</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0.338</w:t>
            </w:r>
          </w:p>
        </w:tc>
        <w:tc>
          <w:tcPr>
            <w:tcW w:w="153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0.301</w:t>
            </w:r>
          </w:p>
        </w:tc>
        <w:tc>
          <w:tcPr>
            <w:tcW w:w="147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0.02L</w:t>
            </w:r>
          </w:p>
        </w:tc>
        <w:tc>
          <w:tcPr>
            <w:tcW w:w="1495"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0.352</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0.326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36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钠离子</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0.482</w:t>
            </w:r>
          </w:p>
        </w:tc>
        <w:tc>
          <w:tcPr>
            <w:tcW w:w="153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0.430</w:t>
            </w:r>
          </w:p>
        </w:tc>
        <w:tc>
          <w:tcPr>
            <w:tcW w:w="147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0.358</w:t>
            </w:r>
          </w:p>
        </w:tc>
        <w:tc>
          <w:tcPr>
            <w:tcW w:w="1495"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0.504</w:t>
            </w:r>
          </w:p>
        </w:tc>
        <w:tc>
          <w:tcPr>
            <w:tcW w:w="1698" w:type="dxa"/>
            <w:tcBorders>
              <w:tl2br w:val="nil"/>
              <w:tr2bl w:val="nil"/>
            </w:tcBorders>
            <w:noWrap w:val="0"/>
            <w:vAlign w:val="center"/>
          </w:tcPr>
          <w:p>
            <w:pPr>
              <w:pStyle w:val="120"/>
              <w:bidi w:val="0"/>
              <w:rPr>
                <w:rFonts w:hint="eastAsia"/>
                <w:u w:val="single"/>
                <w:lang w:val="en-US" w:eastAsia="zh-CN"/>
              </w:rPr>
            </w:pPr>
            <w:r>
              <w:rPr>
                <w:rFonts w:hint="eastAsia"/>
                <w:u w:val="single"/>
                <w:lang w:val="en-US" w:eastAsia="zh-CN"/>
              </w:rPr>
              <w:t>0.460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368" w:type="dxa"/>
            <w:tcBorders>
              <w:tl2br w:val="nil"/>
              <w:tr2bl w:val="nil"/>
            </w:tcBorders>
            <w:noWrap w:val="0"/>
            <w:vAlign w:val="center"/>
          </w:tcPr>
          <w:p>
            <w:pPr>
              <w:pStyle w:val="120"/>
              <w:bidi w:val="0"/>
              <w:rPr>
                <w:rFonts w:hint="eastAsia"/>
                <w:u w:val="single"/>
                <w:lang w:val="en-US" w:eastAsia="zh-CN"/>
              </w:rPr>
            </w:pPr>
            <w:r>
              <w:rPr>
                <w:rFonts w:hint="eastAsia"/>
                <w:u w:val="single"/>
                <w:lang w:val="en-US" w:eastAsia="zh-CN"/>
              </w:rPr>
              <w:t>钙离子</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16.4</w:t>
            </w:r>
          </w:p>
        </w:tc>
        <w:tc>
          <w:tcPr>
            <w:tcW w:w="153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16.5</w:t>
            </w:r>
          </w:p>
        </w:tc>
        <w:tc>
          <w:tcPr>
            <w:tcW w:w="147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19.8</w:t>
            </w:r>
          </w:p>
        </w:tc>
        <w:tc>
          <w:tcPr>
            <w:tcW w:w="1495"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16.6</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16.2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368" w:type="dxa"/>
            <w:tcBorders>
              <w:tl2br w:val="nil"/>
              <w:tr2bl w:val="nil"/>
            </w:tcBorders>
            <w:noWrap w:val="0"/>
            <w:vAlign w:val="center"/>
          </w:tcPr>
          <w:p>
            <w:pPr>
              <w:pStyle w:val="120"/>
              <w:bidi w:val="0"/>
              <w:rPr>
                <w:rFonts w:hint="eastAsia"/>
                <w:u w:val="single"/>
                <w:lang w:val="en-US" w:eastAsia="zh-CN"/>
              </w:rPr>
            </w:pPr>
            <w:r>
              <w:rPr>
                <w:rFonts w:hint="eastAsia"/>
                <w:u w:val="single"/>
                <w:lang w:val="en-US" w:eastAsia="zh-CN"/>
              </w:rPr>
              <w:t>镁离子</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0.934</w:t>
            </w:r>
          </w:p>
        </w:tc>
        <w:tc>
          <w:tcPr>
            <w:tcW w:w="153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0.523</w:t>
            </w:r>
          </w:p>
        </w:tc>
        <w:tc>
          <w:tcPr>
            <w:tcW w:w="147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0.492</w:t>
            </w:r>
          </w:p>
        </w:tc>
        <w:tc>
          <w:tcPr>
            <w:tcW w:w="1495"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0.927</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0.581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368" w:type="dxa"/>
            <w:tcBorders>
              <w:tl2br w:val="nil"/>
              <w:tr2bl w:val="nil"/>
            </w:tcBorders>
            <w:noWrap w:val="0"/>
            <w:vAlign w:val="center"/>
          </w:tcPr>
          <w:p>
            <w:pPr>
              <w:pStyle w:val="120"/>
              <w:bidi w:val="0"/>
              <w:rPr>
                <w:rFonts w:hint="eastAsia"/>
                <w:u w:val="single"/>
                <w:lang w:val="en-US" w:eastAsia="zh-CN"/>
              </w:rPr>
            </w:pPr>
            <w:r>
              <w:rPr>
                <w:rFonts w:hint="eastAsia"/>
                <w:u w:val="single"/>
                <w:lang w:val="en-US" w:eastAsia="zh-CN"/>
              </w:rPr>
              <w:t>碳酸根</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ND</w:t>
            </w:r>
          </w:p>
        </w:tc>
        <w:tc>
          <w:tcPr>
            <w:tcW w:w="153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ND</w:t>
            </w:r>
          </w:p>
        </w:tc>
        <w:tc>
          <w:tcPr>
            <w:tcW w:w="147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ND</w:t>
            </w:r>
          </w:p>
        </w:tc>
        <w:tc>
          <w:tcPr>
            <w:tcW w:w="1495"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ND</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368" w:type="dxa"/>
            <w:tcBorders>
              <w:tl2br w:val="nil"/>
              <w:tr2bl w:val="nil"/>
            </w:tcBorders>
            <w:noWrap w:val="0"/>
            <w:vAlign w:val="center"/>
          </w:tcPr>
          <w:p>
            <w:pPr>
              <w:pStyle w:val="120"/>
              <w:bidi w:val="0"/>
              <w:rPr>
                <w:rFonts w:hint="eastAsia"/>
                <w:u w:val="single"/>
                <w:lang w:val="en-US" w:eastAsia="zh-CN"/>
              </w:rPr>
            </w:pPr>
            <w:r>
              <w:rPr>
                <w:rFonts w:hint="eastAsia"/>
                <w:u w:val="single"/>
                <w:lang w:val="en-US" w:eastAsia="zh-CN"/>
              </w:rPr>
              <w:t>碳酸氢根</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1.32</w:t>
            </w:r>
          </w:p>
        </w:tc>
        <w:tc>
          <w:tcPr>
            <w:tcW w:w="153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1.46</w:t>
            </w:r>
          </w:p>
        </w:tc>
        <w:tc>
          <w:tcPr>
            <w:tcW w:w="147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1.36</w:t>
            </w:r>
          </w:p>
        </w:tc>
        <w:tc>
          <w:tcPr>
            <w:tcW w:w="1495"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1.20</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1.52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368" w:type="dxa"/>
            <w:tcBorders>
              <w:tl2br w:val="nil"/>
              <w:tr2bl w:val="nil"/>
            </w:tcBorders>
            <w:noWrap w:val="0"/>
            <w:vAlign w:val="center"/>
          </w:tcPr>
          <w:p>
            <w:pPr>
              <w:pStyle w:val="120"/>
              <w:bidi w:val="0"/>
              <w:rPr>
                <w:rFonts w:hint="eastAsia"/>
                <w:u w:val="single"/>
                <w:lang w:val="en-US" w:eastAsia="zh-CN"/>
              </w:rPr>
            </w:pPr>
            <w:r>
              <w:rPr>
                <w:rFonts w:hint="eastAsia"/>
                <w:u w:val="single"/>
                <w:lang w:val="en-US" w:eastAsia="zh-CN"/>
              </w:rPr>
              <w:t>氯化物</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4.89</w:t>
            </w:r>
          </w:p>
        </w:tc>
        <w:tc>
          <w:tcPr>
            <w:tcW w:w="153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4.97</w:t>
            </w:r>
          </w:p>
        </w:tc>
        <w:tc>
          <w:tcPr>
            <w:tcW w:w="147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3.18</w:t>
            </w:r>
          </w:p>
        </w:tc>
        <w:tc>
          <w:tcPr>
            <w:tcW w:w="1495"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4.94</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3.79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1" w:hRule="atLeast"/>
        </w:trPr>
        <w:tc>
          <w:tcPr>
            <w:tcW w:w="1368" w:type="dxa"/>
            <w:tcBorders>
              <w:tl2br w:val="nil"/>
              <w:tr2bl w:val="nil"/>
            </w:tcBorders>
            <w:noWrap w:val="0"/>
            <w:vAlign w:val="center"/>
          </w:tcPr>
          <w:p>
            <w:pPr>
              <w:pStyle w:val="120"/>
              <w:bidi w:val="0"/>
              <w:rPr>
                <w:rFonts w:hint="eastAsia"/>
                <w:u w:val="single"/>
                <w:lang w:val="en-US" w:eastAsia="zh-CN"/>
              </w:rPr>
            </w:pPr>
            <w:r>
              <w:rPr>
                <w:rFonts w:hint="eastAsia"/>
                <w:u w:val="single"/>
                <w:lang w:val="en-US" w:eastAsia="zh-CN"/>
              </w:rPr>
              <w:t>硫酸盐</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34.3</w:t>
            </w:r>
          </w:p>
        </w:tc>
        <w:tc>
          <w:tcPr>
            <w:tcW w:w="153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35.5</w:t>
            </w:r>
          </w:p>
        </w:tc>
        <w:tc>
          <w:tcPr>
            <w:tcW w:w="1470"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30.9</w:t>
            </w:r>
          </w:p>
        </w:tc>
        <w:tc>
          <w:tcPr>
            <w:tcW w:w="1495"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33.6</w:t>
            </w:r>
          </w:p>
        </w:tc>
        <w:tc>
          <w:tcPr>
            <w:tcW w:w="1698" w:type="dxa"/>
            <w:tcBorders>
              <w:tl2br w:val="nil"/>
              <w:tr2bl w:val="nil"/>
            </w:tcBorders>
            <w:noWrap w:val="0"/>
            <w:vAlign w:val="center"/>
          </w:tcPr>
          <w:p>
            <w:pPr>
              <w:pStyle w:val="120"/>
              <w:bidi w:val="0"/>
              <w:rPr>
                <w:rFonts w:hint="default"/>
                <w:u w:val="single"/>
                <w:lang w:val="en-US" w:eastAsia="zh-CN"/>
              </w:rPr>
            </w:pPr>
            <w:r>
              <w:rPr>
                <w:rFonts w:hint="eastAsia"/>
                <w:u w:val="single"/>
                <w:lang w:val="en-US" w:eastAsia="zh-CN"/>
              </w:rPr>
              <w:t>29.4</w:t>
            </w:r>
          </w:p>
        </w:tc>
      </w:tr>
    </w:tbl>
    <w:p>
      <w:pPr>
        <w:pStyle w:val="6"/>
        <w:bidi w:val="0"/>
        <w:rPr>
          <w:rFonts w:hint="eastAsia"/>
        </w:rPr>
      </w:pPr>
      <w:r>
        <w:rPr>
          <w:rFonts w:hint="eastAsia"/>
        </w:rPr>
        <w:t>3.4.4声环境质量现状</w:t>
      </w:r>
    </w:p>
    <w:p>
      <w:pPr>
        <w:ind w:firstLine="480"/>
        <w:jc w:val="both"/>
        <w:rPr>
          <w:rFonts w:hint="eastAsia"/>
          <w:color w:val="auto"/>
          <w:kern w:val="0"/>
          <w:u w:val="none"/>
        </w:rPr>
      </w:pPr>
      <w:r>
        <w:rPr>
          <w:rFonts w:hint="eastAsia"/>
          <w:color w:val="auto"/>
          <w:kern w:val="0"/>
          <w:u w:val="none"/>
        </w:rPr>
        <w:t>（1）监测单位：湖南昌旭环保科技有限公司</w:t>
      </w:r>
    </w:p>
    <w:p>
      <w:pPr>
        <w:ind w:firstLine="480"/>
        <w:jc w:val="both"/>
        <w:rPr>
          <w:rFonts w:hint="eastAsia"/>
          <w:color w:val="auto"/>
          <w:kern w:val="0"/>
          <w:u w:val="none"/>
        </w:rPr>
      </w:pPr>
      <w:r>
        <w:rPr>
          <w:rFonts w:hint="eastAsia"/>
          <w:color w:val="auto"/>
          <w:kern w:val="0"/>
          <w:u w:val="none"/>
        </w:rPr>
        <w:t>（2）监测点布设</w:t>
      </w:r>
    </w:p>
    <w:p>
      <w:pPr>
        <w:ind w:firstLine="600" w:firstLineChars="250"/>
        <w:jc w:val="both"/>
        <w:rPr>
          <w:rFonts w:hint="eastAsia"/>
          <w:b/>
          <w:color w:val="auto"/>
          <w:kern w:val="0"/>
          <w:sz w:val="21"/>
          <w:szCs w:val="21"/>
          <w:u w:val="none"/>
        </w:rPr>
      </w:pPr>
      <w:r>
        <w:rPr>
          <w:rFonts w:hint="eastAsia"/>
          <w:color w:val="auto"/>
          <w:kern w:val="0"/>
          <w:u w:val="none"/>
        </w:rPr>
        <w:t>本项目共布设</w:t>
      </w:r>
      <w:r>
        <w:rPr>
          <w:rFonts w:hint="eastAsia"/>
          <w:color w:val="auto"/>
          <w:kern w:val="0"/>
          <w:u w:val="none"/>
          <w:lang w:val="en-US" w:eastAsia="zh-CN"/>
        </w:rPr>
        <w:t>5</w:t>
      </w:r>
      <w:r>
        <w:rPr>
          <w:rFonts w:hint="eastAsia"/>
          <w:color w:val="auto"/>
          <w:kern w:val="0"/>
          <w:u w:val="none"/>
        </w:rPr>
        <w:t>个噪声监测点，详见下表3.4</w:t>
      </w:r>
      <w:r>
        <w:rPr>
          <w:color w:val="auto"/>
          <w:kern w:val="0"/>
          <w:u w:val="none"/>
        </w:rPr>
        <w:t>-</w:t>
      </w:r>
      <w:r>
        <w:rPr>
          <w:rFonts w:hint="eastAsia"/>
          <w:color w:val="auto"/>
          <w:kern w:val="0"/>
          <w:u w:val="none"/>
          <w:lang w:val="en-US" w:eastAsia="zh-CN"/>
        </w:rPr>
        <w:t>15</w:t>
      </w:r>
      <w:r>
        <w:rPr>
          <w:rFonts w:hint="eastAsia"/>
          <w:color w:val="auto"/>
          <w:kern w:val="0"/>
          <w:u w:val="none"/>
        </w:rPr>
        <w:t>，项目监测布点图见附图</w:t>
      </w:r>
      <w:r>
        <w:rPr>
          <w:color w:val="auto"/>
          <w:kern w:val="0"/>
          <w:u w:val="none"/>
        </w:rPr>
        <w:t>2</w:t>
      </w:r>
      <w:r>
        <w:rPr>
          <w:rFonts w:hint="eastAsia"/>
          <w:color w:val="auto"/>
          <w:kern w:val="0"/>
          <w:u w:val="none"/>
        </w:rPr>
        <w:t>。</w:t>
      </w:r>
    </w:p>
    <w:p>
      <w:pPr>
        <w:ind w:firstLine="198" w:firstLineChars="94"/>
        <w:jc w:val="center"/>
        <w:rPr>
          <w:color w:val="auto"/>
          <w:kern w:val="0"/>
          <w:u w:val="none"/>
        </w:rPr>
      </w:pPr>
      <w:r>
        <w:rPr>
          <w:rFonts w:hint="eastAsia"/>
          <w:b/>
          <w:color w:val="auto"/>
          <w:kern w:val="0"/>
          <w:sz w:val="21"/>
          <w:szCs w:val="21"/>
          <w:u w:val="none"/>
        </w:rPr>
        <w:t>表3.4</w:t>
      </w:r>
      <w:r>
        <w:rPr>
          <w:b/>
          <w:color w:val="auto"/>
          <w:kern w:val="0"/>
          <w:sz w:val="21"/>
          <w:szCs w:val="21"/>
          <w:u w:val="none"/>
        </w:rPr>
        <w:t>-</w:t>
      </w:r>
      <w:r>
        <w:rPr>
          <w:rFonts w:hint="eastAsia"/>
          <w:b/>
          <w:color w:val="auto"/>
          <w:kern w:val="0"/>
          <w:sz w:val="21"/>
          <w:szCs w:val="21"/>
          <w:u w:val="none"/>
          <w:lang w:val="en-US" w:eastAsia="zh-CN"/>
        </w:rPr>
        <w:t xml:space="preserve">15  </w:t>
      </w:r>
      <w:r>
        <w:rPr>
          <w:b/>
          <w:color w:val="auto"/>
          <w:kern w:val="0"/>
          <w:sz w:val="21"/>
          <w:szCs w:val="21"/>
          <w:u w:val="none"/>
        </w:rPr>
        <w:t xml:space="preserve"> </w:t>
      </w:r>
      <w:r>
        <w:rPr>
          <w:rFonts w:hint="eastAsia"/>
          <w:b/>
          <w:color w:val="auto"/>
          <w:kern w:val="0"/>
          <w:sz w:val="21"/>
          <w:szCs w:val="21"/>
          <w:u w:val="none"/>
        </w:rPr>
        <w:t>噪声监测布点情况一览表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965"/>
        <w:gridCol w:w="190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编号</w:t>
            </w:r>
          </w:p>
        </w:tc>
        <w:tc>
          <w:tcPr>
            <w:tcW w:w="296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名称</w:t>
            </w:r>
          </w:p>
        </w:tc>
        <w:tc>
          <w:tcPr>
            <w:tcW w:w="1900"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评价因子</w:t>
            </w:r>
          </w:p>
        </w:tc>
        <w:tc>
          <w:tcPr>
            <w:tcW w:w="2131"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noWrap w:val="0"/>
            <w:vAlign w:val="center"/>
          </w:tcPr>
          <w:p>
            <w:pPr>
              <w:pStyle w:val="73"/>
              <w:rPr>
                <w:rFonts w:hint="default" w:ascii="Times New Roman" w:hAnsi="Times New Roman" w:cs="Times New Roman"/>
                <w:color w:val="auto"/>
                <w:kern w:val="2"/>
                <w:u w:val="none"/>
              </w:rPr>
            </w:pPr>
            <w:r>
              <w:rPr>
                <w:rFonts w:hint="default" w:ascii="Times New Roman" w:hAnsi="Times New Roman" w:cs="Times New Roman"/>
                <w:color w:val="auto"/>
                <w:u w:val="none"/>
              </w:rPr>
              <w:t>N1</w:t>
            </w:r>
          </w:p>
        </w:tc>
        <w:tc>
          <w:tcPr>
            <w:tcW w:w="296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项目场界东侧1m处</w:t>
            </w:r>
          </w:p>
        </w:tc>
        <w:tc>
          <w:tcPr>
            <w:tcW w:w="1900"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厂界噪声</w:t>
            </w:r>
          </w:p>
        </w:tc>
        <w:tc>
          <w:tcPr>
            <w:tcW w:w="2131" w:type="dxa"/>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w:t>
            </w:r>
            <w:r>
              <w:rPr>
                <w:rFonts w:hint="eastAsia" w:ascii="Times New Roman" w:hAnsi="Times New Roman" w:cs="Times New Roman"/>
                <w:color w:val="auto"/>
                <w:u w:val="none"/>
                <w:lang w:val="en-US" w:eastAsia="zh-CN"/>
              </w:rPr>
              <w:t>22</w:t>
            </w:r>
            <w:r>
              <w:rPr>
                <w:rFonts w:hint="default" w:ascii="Times New Roman" w:hAnsi="Times New Roman" w:cs="Times New Roman"/>
                <w:color w:val="auto"/>
                <w:u w:val="none"/>
              </w:rPr>
              <w:t>年</w:t>
            </w:r>
            <w:r>
              <w:rPr>
                <w:rFonts w:hint="eastAsia" w:ascii="Times New Roman" w:hAnsi="Times New Roman" w:cs="Times New Roman"/>
                <w:color w:val="auto"/>
                <w:u w:val="none"/>
                <w:lang w:val="en-US" w:eastAsia="zh-CN"/>
              </w:rPr>
              <w:t>03</w:t>
            </w:r>
            <w:r>
              <w:rPr>
                <w:rFonts w:hint="default" w:ascii="Times New Roman" w:hAnsi="Times New Roman" w:cs="Times New Roman"/>
                <w:color w:val="auto"/>
                <w:u w:val="none"/>
              </w:rPr>
              <w:t>月</w:t>
            </w:r>
            <w:r>
              <w:rPr>
                <w:rFonts w:hint="eastAsia" w:ascii="Times New Roman" w:hAnsi="Times New Roman" w:cs="Times New Roman"/>
                <w:color w:val="auto"/>
                <w:u w:val="none"/>
                <w:lang w:val="en-US" w:eastAsia="zh-CN"/>
              </w:rPr>
              <w:t>25</w:t>
            </w:r>
            <w:r>
              <w:rPr>
                <w:rFonts w:hint="default" w:ascii="Times New Roman" w:hAnsi="Times New Roman" w:cs="Times New Roman"/>
                <w:color w:val="auto"/>
                <w:u w:val="none"/>
              </w:rPr>
              <w:t>日至20</w:t>
            </w:r>
            <w:r>
              <w:rPr>
                <w:rFonts w:hint="eastAsia" w:ascii="Times New Roman" w:hAnsi="Times New Roman" w:cs="Times New Roman"/>
                <w:color w:val="auto"/>
                <w:u w:val="none"/>
                <w:lang w:val="en-US" w:eastAsia="zh-CN"/>
              </w:rPr>
              <w:t>22</w:t>
            </w:r>
            <w:r>
              <w:rPr>
                <w:rFonts w:hint="default" w:ascii="Times New Roman" w:hAnsi="Times New Roman" w:cs="Times New Roman"/>
                <w:color w:val="auto"/>
                <w:u w:val="none"/>
              </w:rPr>
              <w:t>年</w:t>
            </w:r>
            <w:r>
              <w:rPr>
                <w:rFonts w:hint="eastAsia" w:ascii="Times New Roman" w:hAnsi="Times New Roman" w:cs="Times New Roman"/>
                <w:color w:val="auto"/>
                <w:u w:val="none"/>
                <w:lang w:val="en-US" w:eastAsia="zh-CN"/>
              </w:rPr>
              <w:t>03</w:t>
            </w:r>
            <w:r>
              <w:rPr>
                <w:rFonts w:hint="default" w:ascii="Times New Roman" w:hAnsi="Times New Roman" w:cs="Times New Roman"/>
                <w:color w:val="auto"/>
                <w:u w:val="none"/>
              </w:rPr>
              <w:t>月</w:t>
            </w:r>
            <w:r>
              <w:rPr>
                <w:rFonts w:hint="eastAsia" w:ascii="Times New Roman" w:hAnsi="Times New Roman" w:cs="Times New Roman"/>
                <w:color w:val="auto"/>
                <w:u w:val="none"/>
                <w:lang w:val="en-US" w:eastAsia="zh-CN"/>
              </w:rPr>
              <w:t>26</w:t>
            </w:r>
            <w:r>
              <w:rPr>
                <w:rFonts w:hint="default" w:ascii="Times New Roman" w:hAnsi="Times New Roman" w:cs="Times New Roman"/>
                <w:color w:val="auto"/>
                <w:u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N2</w:t>
            </w:r>
          </w:p>
        </w:tc>
        <w:tc>
          <w:tcPr>
            <w:tcW w:w="296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项目场界南侧1m处</w:t>
            </w:r>
          </w:p>
        </w:tc>
        <w:tc>
          <w:tcPr>
            <w:tcW w:w="1900" w:type="dxa"/>
            <w:vMerge w:val="continue"/>
            <w:noWrap w:val="0"/>
            <w:vAlign w:val="center"/>
          </w:tcPr>
          <w:p>
            <w:pPr>
              <w:pStyle w:val="73"/>
              <w:rPr>
                <w:rFonts w:hint="default" w:ascii="Times New Roman" w:hAnsi="Times New Roman" w:cs="Times New Roman"/>
                <w:color w:val="auto"/>
                <w:u w:val="none"/>
              </w:rPr>
            </w:pPr>
          </w:p>
        </w:tc>
        <w:tc>
          <w:tcPr>
            <w:tcW w:w="2131"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N3</w:t>
            </w:r>
          </w:p>
        </w:tc>
        <w:tc>
          <w:tcPr>
            <w:tcW w:w="296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项目场界南侧1m处</w:t>
            </w:r>
          </w:p>
        </w:tc>
        <w:tc>
          <w:tcPr>
            <w:tcW w:w="1900" w:type="dxa"/>
            <w:vMerge w:val="continue"/>
            <w:noWrap w:val="0"/>
            <w:vAlign w:val="center"/>
          </w:tcPr>
          <w:p>
            <w:pPr>
              <w:pStyle w:val="73"/>
              <w:rPr>
                <w:rFonts w:hint="default" w:ascii="Times New Roman" w:hAnsi="Times New Roman" w:cs="Times New Roman"/>
                <w:color w:val="auto"/>
                <w:u w:val="none"/>
              </w:rPr>
            </w:pPr>
          </w:p>
        </w:tc>
        <w:tc>
          <w:tcPr>
            <w:tcW w:w="2131"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N4</w:t>
            </w:r>
          </w:p>
        </w:tc>
        <w:tc>
          <w:tcPr>
            <w:tcW w:w="2965"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项目场界西侧1m处</w:t>
            </w:r>
          </w:p>
        </w:tc>
        <w:tc>
          <w:tcPr>
            <w:tcW w:w="1900" w:type="dxa"/>
            <w:vMerge w:val="continue"/>
            <w:noWrap w:val="0"/>
            <w:vAlign w:val="center"/>
          </w:tcPr>
          <w:p>
            <w:pPr>
              <w:pStyle w:val="73"/>
              <w:rPr>
                <w:rFonts w:hint="default" w:ascii="Times New Roman" w:hAnsi="Times New Roman" w:cs="Times New Roman"/>
                <w:color w:val="auto"/>
                <w:u w:val="none"/>
              </w:rPr>
            </w:pPr>
          </w:p>
        </w:tc>
        <w:tc>
          <w:tcPr>
            <w:tcW w:w="2131"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N5</w:t>
            </w:r>
          </w:p>
        </w:tc>
        <w:tc>
          <w:tcPr>
            <w:tcW w:w="2965" w:type="dxa"/>
            <w:noWrap w:val="0"/>
            <w:vAlign w:val="center"/>
          </w:tcPr>
          <w:p>
            <w:pPr>
              <w:pStyle w:val="73"/>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项目场界</w:t>
            </w:r>
            <w:r>
              <w:rPr>
                <w:rFonts w:hint="eastAsia" w:ascii="Times New Roman" w:hAnsi="Times New Roman" w:cs="Times New Roman"/>
                <w:color w:val="auto"/>
                <w:u w:val="none"/>
                <w:lang w:eastAsia="zh-CN"/>
              </w:rPr>
              <w:t>西北</w:t>
            </w:r>
            <w:r>
              <w:rPr>
                <w:rFonts w:hint="default" w:ascii="Times New Roman" w:hAnsi="Times New Roman" w:cs="Times New Roman"/>
                <w:color w:val="auto"/>
                <w:u w:val="none"/>
              </w:rPr>
              <w:t>侧</w:t>
            </w:r>
            <w:r>
              <w:rPr>
                <w:rFonts w:hint="eastAsia" w:ascii="Times New Roman" w:hAnsi="Times New Roman" w:cs="Times New Roman"/>
                <w:color w:val="auto"/>
                <w:u w:val="none"/>
                <w:lang w:val="en-US" w:eastAsia="zh-CN"/>
              </w:rPr>
              <w:t>50</w:t>
            </w:r>
            <w:r>
              <w:rPr>
                <w:rFonts w:hint="default" w:ascii="Times New Roman" w:hAnsi="Times New Roman" w:cs="Times New Roman"/>
                <w:color w:val="auto"/>
                <w:u w:val="none"/>
              </w:rPr>
              <w:t>m处</w:t>
            </w:r>
            <w:r>
              <w:rPr>
                <w:rFonts w:hint="eastAsia" w:ascii="Times New Roman" w:hAnsi="Times New Roman" w:cs="Times New Roman"/>
                <w:color w:val="auto"/>
                <w:u w:val="none"/>
                <w:lang w:eastAsia="zh-CN"/>
              </w:rPr>
              <w:t>公租房</w:t>
            </w:r>
          </w:p>
        </w:tc>
        <w:tc>
          <w:tcPr>
            <w:tcW w:w="1900" w:type="dxa"/>
            <w:vMerge w:val="continue"/>
            <w:noWrap w:val="0"/>
            <w:vAlign w:val="center"/>
          </w:tcPr>
          <w:p>
            <w:pPr>
              <w:pStyle w:val="73"/>
              <w:rPr>
                <w:rFonts w:hint="default" w:ascii="Times New Roman" w:hAnsi="Times New Roman" w:cs="Times New Roman"/>
                <w:color w:val="auto"/>
                <w:u w:val="none"/>
              </w:rPr>
            </w:pPr>
          </w:p>
        </w:tc>
        <w:tc>
          <w:tcPr>
            <w:tcW w:w="2131" w:type="dxa"/>
            <w:vMerge w:val="continue"/>
            <w:noWrap w:val="0"/>
            <w:vAlign w:val="center"/>
          </w:tcPr>
          <w:p>
            <w:pPr>
              <w:pStyle w:val="73"/>
              <w:rPr>
                <w:rFonts w:hint="default" w:ascii="Times New Roman" w:hAnsi="Times New Roman" w:cs="Times New Roman"/>
                <w:color w:val="auto"/>
                <w:u w:val="none"/>
              </w:rPr>
            </w:pPr>
          </w:p>
        </w:tc>
      </w:tr>
    </w:tbl>
    <w:p>
      <w:pPr>
        <w:ind w:firstLine="480"/>
        <w:rPr>
          <w:rFonts w:hint="eastAsia"/>
          <w:color w:val="auto"/>
          <w:kern w:val="0"/>
          <w:u w:val="none"/>
        </w:rPr>
      </w:pPr>
      <w:r>
        <w:rPr>
          <w:rFonts w:hint="eastAsia"/>
          <w:color w:val="auto"/>
          <w:kern w:val="0"/>
          <w:u w:val="none"/>
        </w:rPr>
        <w:t>（3）监测时间及采样频率</w:t>
      </w:r>
    </w:p>
    <w:p>
      <w:pPr>
        <w:ind w:firstLine="480"/>
        <w:rPr>
          <w:rFonts w:hint="eastAsia"/>
          <w:color w:val="auto"/>
          <w:kern w:val="0"/>
          <w:u w:val="none"/>
        </w:rPr>
      </w:pPr>
      <w:r>
        <w:rPr>
          <w:rFonts w:hint="eastAsia"/>
          <w:color w:val="auto"/>
          <w:kern w:val="0"/>
          <w:u w:val="none"/>
        </w:rPr>
        <w:t>监测时间为</w:t>
      </w:r>
      <w:r>
        <w:rPr>
          <w:rFonts w:hint="default" w:ascii="Times New Roman" w:hAnsi="Times New Roman" w:cs="Times New Roman"/>
          <w:color w:val="auto"/>
          <w:u w:val="none"/>
        </w:rPr>
        <w:t>20</w:t>
      </w:r>
      <w:r>
        <w:rPr>
          <w:rFonts w:hint="eastAsia" w:ascii="Times New Roman" w:hAnsi="Times New Roman" w:cs="Times New Roman"/>
          <w:color w:val="auto"/>
          <w:u w:val="none"/>
          <w:lang w:val="en-US" w:eastAsia="zh-CN"/>
        </w:rPr>
        <w:t>22</w:t>
      </w:r>
      <w:r>
        <w:rPr>
          <w:rFonts w:hint="default" w:ascii="Times New Roman" w:hAnsi="Times New Roman" w:cs="Times New Roman"/>
          <w:color w:val="auto"/>
          <w:u w:val="none"/>
        </w:rPr>
        <w:t>年</w:t>
      </w:r>
      <w:r>
        <w:rPr>
          <w:rFonts w:hint="eastAsia" w:ascii="Times New Roman" w:hAnsi="Times New Roman" w:cs="Times New Roman"/>
          <w:color w:val="auto"/>
          <w:u w:val="none"/>
          <w:lang w:val="en-US" w:eastAsia="zh-CN"/>
        </w:rPr>
        <w:t>03</w:t>
      </w:r>
      <w:r>
        <w:rPr>
          <w:rFonts w:hint="default" w:ascii="Times New Roman" w:hAnsi="Times New Roman" w:cs="Times New Roman"/>
          <w:color w:val="auto"/>
          <w:u w:val="none"/>
        </w:rPr>
        <w:t>月</w:t>
      </w:r>
      <w:r>
        <w:rPr>
          <w:rFonts w:hint="eastAsia" w:ascii="Times New Roman" w:hAnsi="Times New Roman" w:cs="Times New Roman"/>
          <w:color w:val="auto"/>
          <w:u w:val="none"/>
          <w:lang w:val="en-US" w:eastAsia="zh-CN"/>
        </w:rPr>
        <w:t>25</w:t>
      </w:r>
      <w:r>
        <w:rPr>
          <w:rFonts w:hint="default" w:ascii="Times New Roman" w:hAnsi="Times New Roman" w:cs="Times New Roman"/>
          <w:color w:val="auto"/>
          <w:u w:val="none"/>
        </w:rPr>
        <w:t>日至20</w:t>
      </w:r>
      <w:r>
        <w:rPr>
          <w:rFonts w:hint="eastAsia" w:ascii="Times New Roman" w:hAnsi="Times New Roman" w:cs="Times New Roman"/>
          <w:color w:val="auto"/>
          <w:u w:val="none"/>
          <w:lang w:val="en-US" w:eastAsia="zh-CN"/>
        </w:rPr>
        <w:t>22</w:t>
      </w:r>
      <w:r>
        <w:rPr>
          <w:rFonts w:hint="default" w:ascii="Times New Roman" w:hAnsi="Times New Roman" w:cs="Times New Roman"/>
          <w:color w:val="auto"/>
          <w:u w:val="none"/>
        </w:rPr>
        <w:t>年</w:t>
      </w:r>
      <w:r>
        <w:rPr>
          <w:rFonts w:hint="eastAsia" w:ascii="Times New Roman" w:hAnsi="Times New Roman" w:cs="Times New Roman"/>
          <w:color w:val="auto"/>
          <w:u w:val="none"/>
          <w:lang w:val="en-US" w:eastAsia="zh-CN"/>
        </w:rPr>
        <w:t>03</w:t>
      </w:r>
      <w:r>
        <w:rPr>
          <w:rFonts w:hint="default" w:ascii="Times New Roman" w:hAnsi="Times New Roman" w:cs="Times New Roman"/>
          <w:color w:val="auto"/>
          <w:u w:val="none"/>
        </w:rPr>
        <w:t>月</w:t>
      </w:r>
      <w:r>
        <w:rPr>
          <w:rFonts w:hint="eastAsia" w:ascii="Times New Roman" w:hAnsi="Times New Roman" w:cs="Times New Roman"/>
          <w:color w:val="auto"/>
          <w:u w:val="none"/>
          <w:lang w:val="en-US" w:eastAsia="zh-CN"/>
        </w:rPr>
        <w:t>26</w:t>
      </w:r>
      <w:r>
        <w:rPr>
          <w:rFonts w:hint="default" w:ascii="Times New Roman" w:hAnsi="Times New Roman" w:cs="Times New Roman"/>
          <w:color w:val="auto"/>
          <w:u w:val="none"/>
        </w:rPr>
        <w:t>日</w:t>
      </w:r>
      <w:r>
        <w:rPr>
          <w:rFonts w:hint="eastAsia"/>
          <w:color w:val="auto"/>
          <w:kern w:val="0"/>
          <w:u w:val="none"/>
        </w:rPr>
        <w:t>，共监测2天。</w:t>
      </w:r>
    </w:p>
    <w:p>
      <w:pPr>
        <w:ind w:firstLine="480"/>
        <w:rPr>
          <w:rFonts w:hint="eastAsia"/>
          <w:color w:val="auto"/>
          <w:kern w:val="0"/>
          <w:u w:val="none"/>
        </w:rPr>
      </w:pPr>
      <w:r>
        <w:rPr>
          <w:rFonts w:hint="eastAsia"/>
          <w:color w:val="auto"/>
          <w:kern w:val="0"/>
          <w:u w:val="none"/>
        </w:rPr>
        <w:t>（4）监测、分析方法</w:t>
      </w:r>
    </w:p>
    <w:p>
      <w:pPr>
        <w:ind w:firstLine="480"/>
        <w:rPr>
          <w:rFonts w:hint="eastAsia"/>
          <w:color w:val="auto"/>
          <w:kern w:val="0"/>
          <w:u w:val="none"/>
        </w:rPr>
      </w:pPr>
      <w:r>
        <w:rPr>
          <w:rFonts w:hint="eastAsia"/>
          <w:color w:val="auto"/>
          <w:kern w:val="0"/>
          <w:u w:val="none"/>
        </w:rPr>
        <w:t>按《声环境质量标准》（GB3096-2008）进行。</w:t>
      </w:r>
    </w:p>
    <w:p>
      <w:pPr>
        <w:ind w:firstLine="480"/>
        <w:rPr>
          <w:rFonts w:hint="eastAsia"/>
          <w:color w:val="auto"/>
          <w:kern w:val="0"/>
          <w:u w:val="single"/>
        </w:rPr>
      </w:pPr>
      <w:r>
        <w:rPr>
          <w:rFonts w:hint="eastAsia"/>
          <w:color w:val="auto"/>
          <w:kern w:val="0"/>
          <w:u w:val="single"/>
        </w:rPr>
        <w:t>（5）监测数据结果</w:t>
      </w:r>
    </w:p>
    <w:p>
      <w:pPr>
        <w:ind w:firstLine="480"/>
        <w:rPr>
          <w:rFonts w:hint="eastAsia"/>
          <w:color w:val="auto"/>
          <w:kern w:val="0"/>
          <w:u w:val="single"/>
        </w:rPr>
      </w:pPr>
      <w:r>
        <w:rPr>
          <w:rFonts w:hint="eastAsia"/>
          <w:color w:val="auto"/>
          <w:kern w:val="0"/>
          <w:u w:val="single"/>
        </w:rPr>
        <w:t>监测数据结果见表3.4</w:t>
      </w:r>
      <w:r>
        <w:rPr>
          <w:color w:val="auto"/>
          <w:kern w:val="0"/>
          <w:u w:val="single"/>
        </w:rPr>
        <w:t>-</w:t>
      </w:r>
      <w:r>
        <w:rPr>
          <w:rFonts w:hint="eastAsia"/>
          <w:color w:val="auto"/>
          <w:kern w:val="0"/>
          <w:u w:val="single"/>
          <w:lang w:val="en-US" w:eastAsia="zh-CN"/>
        </w:rPr>
        <w:t>16</w:t>
      </w:r>
      <w:r>
        <w:rPr>
          <w:rFonts w:hint="eastAsia"/>
          <w:color w:val="auto"/>
          <w:kern w:val="0"/>
          <w:u w:val="single"/>
        </w:rPr>
        <w:t>。</w:t>
      </w:r>
    </w:p>
    <w:p>
      <w:pPr>
        <w:ind w:firstLine="422"/>
        <w:jc w:val="center"/>
        <w:rPr>
          <w:rFonts w:hint="eastAsia"/>
          <w:b/>
          <w:color w:val="auto"/>
          <w:kern w:val="0"/>
          <w:sz w:val="21"/>
          <w:szCs w:val="21"/>
          <w:u w:val="single"/>
        </w:rPr>
      </w:pPr>
      <w:r>
        <w:rPr>
          <w:rFonts w:hint="eastAsia"/>
          <w:b/>
          <w:color w:val="auto"/>
          <w:kern w:val="0"/>
          <w:sz w:val="21"/>
          <w:szCs w:val="21"/>
          <w:u w:val="single"/>
        </w:rPr>
        <w:t>表3.4</w:t>
      </w:r>
      <w:r>
        <w:rPr>
          <w:b/>
          <w:color w:val="auto"/>
          <w:kern w:val="0"/>
          <w:sz w:val="21"/>
          <w:szCs w:val="21"/>
          <w:u w:val="single"/>
        </w:rPr>
        <w:t>-</w:t>
      </w:r>
      <w:r>
        <w:rPr>
          <w:rFonts w:hint="eastAsia"/>
          <w:b/>
          <w:color w:val="auto"/>
          <w:kern w:val="0"/>
          <w:sz w:val="21"/>
          <w:szCs w:val="21"/>
          <w:u w:val="single"/>
          <w:lang w:val="en-US" w:eastAsia="zh-CN"/>
        </w:rPr>
        <w:t>16</w:t>
      </w:r>
      <w:r>
        <w:rPr>
          <w:b/>
          <w:color w:val="auto"/>
          <w:kern w:val="0"/>
          <w:sz w:val="21"/>
          <w:szCs w:val="21"/>
          <w:u w:val="single"/>
        </w:rPr>
        <w:t xml:space="preserve"> </w:t>
      </w:r>
      <w:r>
        <w:rPr>
          <w:rFonts w:hint="eastAsia"/>
          <w:b/>
          <w:color w:val="auto"/>
          <w:kern w:val="0"/>
          <w:sz w:val="21"/>
          <w:szCs w:val="21"/>
          <w:u w:val="single"/>
        </w:rPr>
        <w:t>声环境评价结果分析表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876"/>
        <w:gridCol w:w="1156"/>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序号</w:t>
            </w:r>
          </w:p>
        </w:tc>
        <w:tc>
          <w:tcPr>
            <w:tcW w:w="1876" w:type="dxa"/>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监测地点</w:t>
            </w:r>
          </w:p>
        </w:tc>
        <w:tc>
          <w:tcPr>
            <w:tcW w:w="1156" w:type="dxa"/>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监测时间</w:t>
            </w:r>
          </w:p>
        </w:tc>
        <w:tc>
          <w:tcPr>
            <w:tcW w:w="2435" w:type="dxa"/>
            <w:gridSpan w:val="2"/>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监测值dB(A)</w:t>
            </w:r>
          </w:p>
        </w:tc>
        <w:tc>
          <w:tcPr>
            <w:tcW w:w="1218" w:type="dxa"/>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标准</w:t>
            </w:r>
          </w:p>
        </w:tc>
        <w:tc>
          <w:tcPr>
            <w:tcW w:w="1218" w:type="dxa"/>
            <w:vMerge w:val="restart"/>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continue"/>
            <w:noWrap w:val="0"/>
            <w:vAlign w:val="center"/>
          </w:tcPr>
          <w:p>
            <w:pPr>
              <w:pStyle w:val="73"/>
              <w:rPr>
                <w:rFonts w:hint="default" w:ascii="Times New Roman" w:hAnsi="Times New Roman" w:cs="Times New Roman"/>
                <w:b/>
                <w:bCs/>
                <w:color w:val="auto"/>
                <w:u w:val="single"/>
              </w:rPr>
            </w:pPr>
          </w:p>
        </w:tc>
        <w:tc>
          <w:tcPr>
            <w:tcW w:w="1876" w:type="dxa"/>
            <w:vMerge w:val="continue"/>
            <w:noWrap w:val="0"/>
            <w:vAlign w:val="center"/>
          </w:tcPr>
          <w:p>
            <w:pPr>
              <w:pStyle w:val="73"/>
              <w:rPr>
                <w:rFonts w:hint="default" w:ascii="Times New Roman" w:hAnsi="Times New Roman" w:cs="Times New Roman"/>
                <w:b/>
                <w:bCs/>
                <w:color w:val="auto"/>
                <w:u w:val="single"/>
              </w:rPr>
            </w:pPr>
          </w:p>
        </w:tc>
        <w:tc>
          <w:tcPr>
            <w:tcW w:w="1156" w:type="dxa"/>
            <w:vMerge w:val="continue"/>
            <w:noWrap w:val="0"/>
            <w:vAlign w:val="center"/>
          </w:tcPr>
          <w:p>
            <w:pPr>
              <w:pStyle w:val="73"/>
              <w:rPr>
                <w:rFonts w:hint="default" w:ascii="Times New Roman" w:hAnsi="Times New Roman" w:cs="Times New Roman"/>
                <w:b/>
                <w:bCs/>
                <w:color w:val="auto"/>
                <w:u w:val="single"/>
              </w:rPr>
            </w:pPr>
          </w:p>
        </w:tc>
        <w:tc>
          <w:tcPr>
            <w:tcW w:w="1217" w:type="dxa"/>
            <w:noWrap w:val="0"/>
            <w:vAlign w:val="center"/>
          </w:tcPr>
          <w:p>
            <w:pPr>
              <w:pStyle w:val="73"/>
              <w:rPr>
                <w:rFonts w:hint="default" w:ascii="Times New Roman" w:hAnsi="Times New Roman" w:eastAsia="宋体" w:cs="Times New Roman"/>
                <w:b/>
                <w:bCs/>
                <w:color w:val="auto"/>
                <w:u w:val="single"/>
                <w:lang w:val="en-US" w:eastAsia="zh-CN"/>
              </w:rPr>
            </w:pPr>
            <w:r>
              <w:rPr>
                <w:rFonts w:hint="default" w:ascii="Times New Roman" w:hAnsi="Times New Roman" w:cs="Times New Roman"/>
                <w:b/>
                <w:bCs/>
                <w:color w:val="auto"/>
                <w:u w:val="single"/>
              </w:rPr>
              <w:t>20</w:t>
            </w:r>
            <w:r>
              <w:rPr>
                <w:rFonts w:hint="eastAsia" w:ascii="Times New Roman" w:hAnsi="Times New Roman" w:cs="Times New Roman"/>
                <w:b/>
                <w:bCs/>
                <w:color w:val="auto"/>
                <w:u w:val="single"/>
                <w:lang w:val="en-US" w:eastAsia="zh-CN"/>
              </w:rPr>
              <w:t>22.03.25</w:t>
            </w:r>
          </w:p>
        </w:tc>
        <w:tc>
          <w:tcPr>
            <w:tcW w:w="1218" w:type="dxa"/>
            <w:noWrap w:val="0"/>
            <w:vAlign w:val="center"/>
          </w:tcPr>
          <w:p>
            <w:pPr>
              <w:pStyle w:val="73"/>
              <w:rPr>
                <w:rFonts w:hint="default" w:ascii="Times New Roman" w:hAnsi="Times New Roman" w:cs="Times New Roman"/>
                <w:b/>
                <w:bCs/>
                <w:color w:val="auto"/>
                <w:u w:val="single"/>
              </w:rPr>
            </w:pPr>
            <w:r>
              <w:rPr>
                <w:rFonts w:hint="default" w:ascii="Times New Roman" w:hAnsi="Times New Roman" w:cs="Times New Roman"/>
                <w:b/>
                <w:bCs/>
                <w:color w:val="auto"/>
                <w:u w:val="single"/>
                <w:lang w:val="en-US" w:eastAsia="zh-CN"/>
              </w:rPr>
              <w:t>2022.03.26</w:t>
            </w:r>
          </w:p>
        </w:tc>
        <w:tc>
          <w:tcPr>
            <w:tcW w:w="1218" w:type="dxa"/>
            <w:vMerge w:val="continue"/>
            <w:noWrap w:val="0"/>
            <w:vAlign w:val="center"/>
          </w:tcPr>
          <w:p>
            <w:pPr>
              <w:pStyle w:val="73"/>
              <w:rPr>
                <w:rFonts w:hint="default" w:ascii="Times New Roman" w:hAnsi="Times New Roman" w:cs="Times New Roman"/>
                <w:color w:val="auto"/>
                <w:u w:val="single"/>
              </w:rPr>
            </w:pPr>
          </w:p>
        </w:tc>
        <w:tc>
          <w:tcPr>
            <w:tcW w:w="1218" w:type="dxa"/>
            <w:vMerge w:val="continue"/>
            <w:noWrap w:val="0"/>
            <w:vAlign w:val="center"/>
          </w:tcPr>
          <w:p>
            <w:pPr>
              <w:pStyle w:val="73"/>
              <w:rPr>
                <w:rFonts w:hint="default" w:ascii="Times New Roman" w:hAnsi="Times New Roman" w:cs="Times New Roman"/>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N1</w:t>
            </w:r>
          </w:p>
        </w:tc>
        <w:tc>
          <w:tcPr>
            <w:tcW w:w="1876"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项目拟建地东侧1m处</w:t>
            </w:r>
          </w:p>
        </w:tc>
        <w:tc>
          <w:tcPr>
            <w:tcW w:w="115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昼间</w:t>
            </w:r>
          </w:p>
        </w:tc>
        <w:tc>
          <w:tcPr>
            <w:tcW w:w="1217" w:type="dxa"/>
            <w:noWrap w:val="0"/>
            <w:vAlign w:val="center"/>
          </w:tcPr>
          <w:p>
            <w:pPr>
              <w:pStyle w:val="73"/>
              <w:rPr>
                <w:rFonts w:hint="default" w:ascii="Times New Roman" w:hAnsi="Times New Roman" w:eastAsia="等线" w:cs="Times New Roman"/>
                <w:color w:val="auto"/>
                <w:sz w:val="24"/>
                <w:szCs w:val="24"/>
                <w:u w:val="single"/>
                <w:lang w:val="en-US" w:eastAsia="zh-CN"/>
              </w:rPr>
            </w:pPr>
            <w:r>
              <w:rPr>
                <w:rFonts w:hint="eastAsia" w:ascii="Times New Roman" w:hAnsi="Times New Roman" w:eastAsia="等线" w:cs="Times New Roman"/>
                <w:color w:val="auto"/>
                <w:u w:val="single"/>
                <w:lang w:val="en-US" w:eastAsia="zh-CN"/>
              </w:rPr>
              <w:t>52</w:t>
            </w:r>
          </w:p>
        </w:tc>
        <w:tc>
          <w:tcPr>
            <w:tcW w:w="1218" w:type="dxa"/>
            <w:noWrap w:val="0"/>
            <w:vAlign w:val="center"/>
          </w:tcPr>
          <w:p>
            <w:pPr>
              <w:pStyle w:val="73"/>
              <w:rPr>
                <w:rFonts w:hint="default" w:ascii="Times New Roman" w:hAnsi="Times New Roman" w:eastAsia="等线" w:cs="Times New Roman"/>
                <w:color w:val="auto"/>
                <w:sz w:val="24"/>
                <w:szCs w:val="24"/>
                <w:u w:val="single"/>
                <w:lang w:val="en-US" w:eastAsia="zh-CN"/>
              </w:rPr>
            </w:pPr>
            <w:r>
              <w:rPr>
                <w:rFonts w:hint="eastAsia" w:ascii="Times New Roman" w:hAnsi="Times New Roman" w:eastAsia="等线" w:cs="Times New Roman"/>
                <w:color w:val="auto"/>
                <w:u w:val="single"/>
                <w:lang w:val="en-US" w:eastAsia="zh-CN"/>
              </w:rPr>
              <w:t>53</w:t>
            </w:r>
          </w:p>
        </w:tc>
        <w:tc>
          <w:tcPr>
            <w:tcW w:w="1218"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65</w:t>
            </w:r>
          </w:p>
        </w:tc>
        <w:tc>
          <w:tcPr>
            <w:tcW w:w="121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continue"/>
            <w:noWrap w:val="0"/>
            <w:vAlign w:val="center"/>
          </w:tcPr>
          <w:p>
            <w:pPr>
              <w:pStyle w:val="73"/>
              <w:rPr>
                <w:rFonts w:hint="default" w:ascii="Times New Roman" w:hAnsi="Times New Roman" w:cs="Times New Roman"/>
                <w:color w:val="auto"/>
                <w:u w:val="single"/>
              </w:rPr>
            </w:pPr>
          </w:p>
        </w:tc>
        <w:tc>
          <w:tcPr>
            <w:tcW w:w="1876" w:type="dxa"/>
            <w:vMerge w:val="continue"/>
            <w:noWrap w:val="0"/>
            <w:vAlign w:val="center"/>
          </w:tcPr>
          <w:p>
            <w:pPr>
              <w:pStyle w:val="73"/>
              <w:rPr>
                <w:rFonts w:hint="default" w:ascii="Times New Roman" w:hAnsi="Times New Roman" w:cs="Times New Roman"/>
                <w:color w:val="auto"/>
                <w:u w:val="single"/>
              </w:rPr>
            </w:pPr>
          </w:p>
        </w:tc>
        <w:tc>
          <w:tcPr>
            <w:tcW w:w="115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夜间</w:t>
            </w:r>
          </w:p>
        </w:tc>
        <w:tc>
          <w:tcPr>
            <w:tcW w:w="1217"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44</w:t>
            </w:r>
          </w:p>
        </w:tc>
        <w:tc>
          <w:tcPr>
            <w:tcW w:w="1218"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45</w:t>
            </w:r>
          </w:p>
        </w:tc>
        <w:tc>
          <w:tcPr>
            <w:tcW w:w="1218"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55</w:t>
            </w:r>
          </w:p>
        </w:tc>
        <w:tc>
          <w:tcPr>
            <w:tcW w:w="121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N2</w:t>
            </w:r>
          </w:p>
        </w:tc>
        <w:tc>
          <w:tcPr>
            <w:tcW w:w="1876"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项目拟建地南侧1m处</w:t>
            </w:r>
          </w:p>
        </w:tc>
        <w:tc>
          <w:tcPr>
            <w:tcW w:w="115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昼间</w:t>
            </w:r>
          </w:p>
        </w:tc>
        <w:tc>
          <w:tcPr>
            <w:tcW w:w="1217"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53</w:t>
            </w:r>
          </w:p>
        </w:tc>
        <w:tc>
          <w:tcPr>
            <w:tcW w:w="1218"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51</w:t>
            </w:r>
          </w:p>
        </w:tc>
        <w:tc>
          <w:tcPr>
            <w:tcW w:w="1218" w:type="dxa"/>
            <w:noWrap w:val="0"/>
            <w:vAlign w:val="center"/>
          </w:tcPr>
          <w:p>
            <w:pPr>
              <w:pStyle w:val="73"/>
              <w:ind w:firstLine="0" w:firstLineChars="0"/>
              <w:rPr>
                <w:rFonts w:hint="default" w:ascii="Times New Roman" w:hAnsi="Times New Roman" w:cs="Times New Roman"/>
                <w:color w:val="auto"/>
                <w:u w:val="single"/>
              </w:rPr>
            </w:pPr>
            <w:r>
              <w:rPr>
                <w:rFonts w:hint="eastAsia" w:ascii="Times New Roman" w:cs="Times New Roman"/>
                <w:color w:val="auto"/>
                <w:u w:val="single"/>
                <w:lang w:val="en-US" w:eastAsia="zh-CN"/>
              </w:rPr>
              <w:t>65</w:t>
            </w:r>
          </w:p>
        </w:tc>
        <w:tc>
          <w:tcPr>
            <w:tcW w:w="121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continue"/>
            <w:noWrap w:val="0"/>
            <w:vAlign w:val="center"/>
          </w:tcPr>
          <w:p>
            <w:pPr>
              <w:pStyle w:val="73"/>
              <w:rPr>
                <w:rFonts w:hint="default" w:ascii="Times New Roman" w:hAnsi="Times New Roman" w:cs="Times New Roman"/>
                <w:color w:val="auto"/>
                <w:u w:val="single"/>
              </w:rPr>
            </w:pPr>
          </w:p>
        </w:tc>
        <w:tc>
          <w:tcPr>
            <w:tcW w:w="1876" w:type="dxa"/>
            <w:vMerge w:val="continue"/>
            <w:noWrap w:val="0"/>
            <w:vAlign w:val="center"/>
          </w:tcPr>
          <w:p>
            <w:pPr>
              <w:pStyle w:val="73"/>
              <w:rPr>
                <w:rFonts w:hint="default" w:ascii="Times New Roman" w:hAnsi="Times New Roman" w:cs="Times New Roman"/>
                <w:color w:val="auto"/>
                <w:u w:val="single"/>
              </w:rPr>
            </w:pPr>
          </w:p>
        </w:tc>
        <w:tc>
          <w:tcPr>
            <w:tcW w:w="115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夜间</w:t>
            </w:r>
          </w:p>
        </w:tc>
        <w:tc>
          <w:tcPr>
            <w:tcW w:w="1217"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45</w:t>
            </w:r>
          </w:p>
        </w:tc>
        <w:tc>
          <w:tcPr>
            <w:tcW w:w="1218"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43</w:t>
            </w:r>
          </w:p>
        </w:tc>
        <w:tc>
          <w:tcPr>
            <w:tcW w:w="1218" w:type="dxa"/>
            <w:noWrap w:val="0"/>
            <w:vAlign w:val="center"/>
          </w:tcPr>
          <w:p>
            <w:pPr>
              <w:pStyle w:val="73"/>
              <w:ind w:firstLine="0" w:firstLineChars="0"/>
              <w:rPr>
                <w:rFonts w:hint="default" w:ascii="Times New Roman" w:hAnsi="Times New Roman" w:cs="Times New Roman"/>
                <w:color w:val="auto"/>
                <w:u w:val="single"/>
              </w:rPr>
            </w:pPr>
            <w:r>
              <w:rPr>
                <w:rFonts w:hint="eastAsia" w:ascii="Times New Roman" w:cs="Times New Roman"/>
                <w:color w:val="auto"/>
                <w:u w:val="single"/>
                <w:lang w:val="en-US" w:eastAsia="zh-CN"/>
              </w:rPr>
              <w:t>55</w:t>
            </w:r>
          </w:p>
        </w:tc>
        <w:tc>
          <w:tcPr>
            <w:tcW w:w="121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N3</w:t>
            </w:r>
          </w:p>
        </w:tc>
        <w:tc>
          <w:tcPr>
            <w:tcW w:w="1876"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项目拟建地西侧1m处</w:t>
            </w:r>
          </w:p>
        </w:tc>
        <w:tc>
          <w:tcPr>
            <w:tcW w:w="115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昼间</w:t>
            </w:r>
          </w:p>
        </w:tc>
        <w:tc>
          <w:tcPr>
            <w:tcW w:w="1217"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52</w:t>
            </w:r>
          </w:p>
        </w:tc>
        <w:tc>
          <w:tcPr>
            <w:tcW w:w="1218"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54</w:t>
            </w:r>
          </w:p>
        </w:tc>
        <w:tc>
          <w:tcPr>
            <w:tcW w:w="1218" w:type="dxa"/>
            <w:noWrap w:val="0"/>
            <w:vAlign w:val="center"/>
          </w:tcPr>
          <w:p>
            <w:pPr>
              <w:pStyle w:val="73"/>
              <w:ind w:firstLine="0" w:firstLineChars="0"/>
              <w:rPr>
                <w:rFonts w:hint="default" w:ascii="Times New Roman" w:hAnsi="Times New Roman" w:cs="Times New Roman"/>
                <w:color w:val="auto"/>
                <w:u w:val="single"/>
              </w:rPr>
            </w:pPr>
            <w:r>
              <w:rPr>
                <w:rFonts w:hint="eastAsia" w:ascii="Times New Roman" w:cs="Times New Roman"/>
                <w:color w:val="auto"/>
                <w:u w:val="single"/>
                <w:lang w:val="en-US" w:eastAsia="zh-CN"/>
              </w:rPr>
              <w:t>65</w:t>
            </w:r>
          </w:p>
        </w:tc>
        <w:tc>
          <w:tcPr>
            <w:tcW w:w="121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continue"/>
            <w:noWrap w:val="0"/>
            <w:vAlign w:val="center"/>
          </w:tcPr>
          <w:p>
            <w:pPr>
              <w:pStyle w:val="73"/>
              <w:rPr>
                <w:rFonts w:hint="default" w:ascii="Times New Roman" w:hAnsi="Times New Roman" w:cs="Times New Roman"/>
                <w:color w:val="auto"/>
                <w:u w:val="single"/>
              </w:rPr>
            </w:pPr>
          </w:p>
        </w:tc>
        <w:tc>
          <w:tcPr>
            <w:tcW w:w="1876" w:type="dxa"/>
            <w:vMerge w:val="continue"/>
            <w:noWrap w:val="0"/>
            <w:vAlign w:val="center"/>
          </w:tcPr>
          <w:p>
            <w:pPr>
              <w:pStyle w:val="73"/>
              <w:rPr>
                <w:rFonts w:hint="default" w:ascii="Times New Roman" w:hAnsi="Times New Roman" w:cs="Times New Roman"/>
                <w:color w:val="auto"/>
                <w:u w:val="single"/>
              </w:rPr>
            </w:pPr>
          </w:p>
        </w:tc>
        <w:tc>
          <w:tcPr>
            <w:tcW w:w="115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夜间</w:t>
            </w:r>
          </w:p>
        </w:tc>
        <w:tc>
          <w:tcPr>
            <w:tcW w:w="1217"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43</w:t>
            </w:r>
          </w:p>
        </w:tc>
        <w:tc>
          <w:tcPr>
            <w:tcW w:w="1218"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45</w:t>
            </w:r>
          </w:p>
        </w:tc>
        <w:tc>
          <w:tcPr>
            <w:tcW w:w="1218" w:type="dxa"/>
            <w:noWrap w:val="0"/>
            <w:vAlign w:val="center"/>
          </w:tcPr>
          <w:p>
            <w:pPr>
              <w:pStyle w:val="73"/>
              <w:ind w:firstLine="0" w:firstLineChars="0"/>
              <w:rPr>
                <w:rFonts w:hint="default" w:ascii="Times New Roman" w:hAnsi="Times New Roman" w:cs="Times New Roman"/>
                <w:color w:val="auto"/>
                <w:u w:val="single"/>
              </w:rPr>
            </w:pPr>
            <w:r>
              <w:rPr>
                <w:rFonts w:hint="eastAsia" w:ascii="Times New Roman" w:cs="Times New Roman"/>
                <w:color w:val="auto"/>
                <w:u w:val="single"/>
                <w:lang w:val="en-US" w:eastAsia="zh-CN"/>
              </w:rPr>
              <w:t>55</w:t>
            </w:r>
          </w:p>
        </w:tc>
        <w:tc>
          <w:tcPr>
            <w:tcW w:w="121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N4</w:t>
            </w:r>
          </w:p>
        </w:tc>
        <w:tc>
          <w:tcPr>
            <w:tcW w:w="1876"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项目拟建地北侧1m处</w:t>
            </w:r>
          </w:p>
        </w:tc>
        <w:tc>
          <w:tcPr>
            <w:tcW w:w="115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昼间</w:t>
            </w:r>
          </w:p>
        </w:tc>
        <w:tc>
          <w:tcPr>
            <w:tcW w:w="1217"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51</w:t>
            </w:r>
          </w:p>
        </w:tc>
        <w:tc>
          <w:tcPr>
            <w:tcW w:w="1218"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52</w:t>
            </w:r>
          </w:p>
        </w:tc>
        <w:tc>
          <w:tcPr>
            <w:tcW w:w="1218" w:type="dxa"/>
            <w:noWrap w:val="0"/>
            <w:vAlign w:val="center"/>
          </w:tcPr>
          <w:p>
            <w:pPr>
              <w:pStyle w:val="73"/>
              <w:ind w:firstLine="0" w:firstLineChars="0"/>
              <w:rPr>
                <w:rFonts w:hint="default" w:ascii="Times New Roman" w:hAnsi="Times New Roman" w:cs="Times New Roman"/>
                <w:color w:val="auto"/>
                <w:u w:val="single"/>
              </w:rPr>
            </w:pPr>
            <w:r>
              <w:rPr>
                <w:rFonts w:hint="eastAsia" w:ascii="Times New Roman" w:cs="Times New Roman"/>
                <w:color w:val="auto"/>
                <w:u w:val="single"/>
                <w:lang w:val="en-US" w:eastAsia="zh-CN"/>
              </w:rPr>
              <w:t>65</w:t>
            </w:r>
          </w:p>
        </w:tc>
        <w:tc>
          <w:tcPr>
            <w:tcW w:w="121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continue"/>
            <w:noWrap w:val="0"/>
            <w:vAlign w:val="center"/>
          </w:tcPr>
          <w:p>
            <w:pPr>
              <w:pStyle w:val="73"/>
              <w:rPr>
                <w:rFonts w:hint="default" w:ascii="Times New Roman" w:hAnsi="Times New Roman" w:cs="Times New Roman"/>
                <w:color w:val="auto"/>
                <w:u w:val="single"/>
              </w:rPr>
            </w:pPr>
          </w:p>
        </w:tc>
        <w:tc>
          <w:tcPr>
            <w:tcW w:w="1876" w:type="dxa"/>
            <w:vMerge w:val="continue"/>
            <w:noWrap w:val="0"/>
            <w:vAlign w:val="center"/>
          </w:tcPr>
          <w:p>
            <w:pPr>
              <w:pStyle w:val="73"/>
              <w:rPr>
                <w:rFonts w:hint="default" w:ascii="Times New Roman" w:hAnsi="Times New Roman" w:cs="Times New Roman"/>
                <w:color w:val="auto"/>
                <w:u w:val="single"/>
              </w:rPr>
            </w:pPr>
          </w:p>
        </w:tc>
        <w:tc>
          <w:tcPr>
            <w:tcW w:w="115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夜间</w:t>
            </w:r>
          </w:p>
        </w:tc>
        <w:tc>
          <w:tcPr>
            <w:tcW w:w="1217"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43</w:t>
            </w:r>
          </w:p>
        </w:tc>
        <w:tc>
          <w:tcPr>
            <w:tcW w:w="1218"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44</w:t>
            </w:r>
          </w:p>
        </w:tc>
        <w:tc>
          <w:tcPr>
            <w:tcW w:w="1218" w:type="dxa"/>
            <w:noWrap w:val="0"/>
            <w:vAlign w:val="center"/>
          </w:tcPr>
          <w:p>
            <w:pPr>
              <w:pStyle w:val="73"/>
              <w:ind w:firstLine="0" w:firstLineChars="0"/>
              <w:rPr>
                <w:rFonts w:hint="default" w:ascii="Times New Roman" w:hAnsi="Times New Roman" w:cs="Times New Roman"/>
                <w:color w:val="auto"/>
                <w:u w:val="single"/>
              </w:rPr>
            </w:pPr>
            <w:r>
              <w:rPr>
                <w:rFonts w:hint="eastAsia" w:ascii="Times New Roman" w:cs="Times New Roman"/>
                <w:color w:val="auto"/>
                <w:u w:val="single"/>
                <w:lang w:val="en-US" w:eastAsia="zh-CN"/>
              </w:rPr>
              <w:t>55</w:t>
            </w:r>
          </w:p>
        </w:tc>
        <w:tc>
          <w:tcPr>
            <w:tcW w:w="121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19" w:type="dxa"/>
            <w:vMerge w:val="restar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N5</w:t>
            </w:r>
          </w:p>
        </w:tc>
        <w:tc>
          <w:tcPr>
            <w:tcW w:w="1876"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项目场界</w:t>
            </w:r>
            <w:r>
              <w:rPr>
                <w:rFonts w:hint="eastAsia" w:ascii="Times New Roman" w:hAnsi="Times New Roman" w:cs="Times New Roman"/>
                <w:color w:val="auto"/>
                <w:u w:val="single"/>
                <w:lang w:eastAsia="zh-CN"/>
              </w:rPr>
              <w:t>西北</w:t>
            </w:r>
            <w:r>
              <w:rPr>
                <w:rFonts w:hint="default" w:ascii="Times New Roman" w:hAnsi="Times New Roman" w:cs="Times New Roman"/>
                <w:color w:val="auto"/>
                <w:u w:val="single"/>
              </w:rPr>
              <w:t>侧</w:t>
            </w:r>
            <w:r>
              <w:rPr>
                <w:rFonts w:hint="eastAsia" w:ascii="Times New Roman" w:hAnsi="Times New Roman" w:cs="Times New Roman"/>
                <w:color w:val="auto"/>
                <w:u w:val="single"/>
                <w:lang w:val="en-US" w:eastAsia="zh-CN"/>
              </w:rPr>
              <w:t>50</w:t>
            </w:r>
            <w:r>
              <w:rPr>
                <w:rFonts w:hint="default" w:ascii="Times New Roman" w:hAnsi="Times New Roman" w:cs="Times New Roman"/>
                <w:color w:val="auto"/>
                <w:u w:val="single"/>
              </w:rPr>
              <w:t>m处</w:t>
            </w:r>
            <w:r>
              <w:rPr>
                <w:rFonts w:hint="eastAsia" w:ascii="Times New Roman" w:hAnsi="Times New Roman" w:cs="Times New Roman"/>
                <w:color w:val="auto"/>
                <w:u w:val="single"/>
                <w:lang w:eastAsia="zh-CN"/>
              </w:rPr>
              <w:t>公租房</w:t>
            </w:r>
          </w:p>
        </w:tc>
        <w:tc>
          <w:tcPr>
            <w:tcW w:w="1156"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昼间</w:t>
            </w:r>
          </w:p>
        </w:tc>
        <w:tc>
          <w:tcPr>
            <w:tcW w:w="1217"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54</w:t>
            </w:r>
          </w:p>
        </w:tc>
        <w:tc>
          <w:tcPr>
            <w:tcW w:w="1218"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55</w:t>
            </w:r>
          </w:p>
        </w:tc>
        <w:tc>
          <w:tcPr>
            <w:tcW w:w="1218"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60</w:t>
            </w:r>
          </w:p>
        </w:tc>
        <w:tc>
          <w:tcPr>
            <w:tcW w:w="1218"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continue"/>
            <w:noWrap w:val="0"/>
            <w:vAlign w:val="center"/>
          </w:tcPr>
          <w:p>
            <w:pPr>
              <w:pStyle w:val="73"/>
              <w:rPr>
                <w:rFonts w:hint="default" w:ascii="Times New Roman" w:hAnsi="Times New Roman" w:cs="Times New Roman"/>
                <w:color w:val="auto"/>
                <w:u w:val="single"/>
              </w:rPr>
            </w:pPr>
          </w:p>
        </w:tc>
        <w:tc>
          <w:tcPr>
            <w:tcW w:w="1876" w:type="dxa"/>
            <w:vMerge w:val="continue"/>
            <w:noWrap w:val="0"/>
            <w:vAlign w:val="center"/>
          </w:tcPr>
          <w:p>
            <w:pPr>
              <w:pStyle w:val="73"/>
              <w:rPr>
                <w:rFonts w:hint="default" w:ascii="Times New Roman" w:hAnsi="Times New Roman" w:cs="Times New Roman"/>
                <w:color w:val="auto"/>
                <w:u w:val="single"/>
              </w:rPr>
            </w:pPr>
          </w:p>
        </w:tc>
        <w:tc>
          <w:tcPr>
            <w:tcW w:w="1156"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夜间</w:t>
            </w:r>
          </w:p>
        </w:tc>
        <w:tc>
          <w:tcPr>
            <w:tcW w:w="1217"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46</w:t>
            </w:r>
          </w:p>
        </w:tc>
        <w:tc>
          <w:tcPr>
            <w:tcW w:w="1218" w:type="dxa"/>
            <w:noWrap w:val="0"/>
            <w:vAlign w:val="center"/>
          </w:tcPr>
          <w:p>
            <w:pPr>
              <w:pStyle w:val="73"/>
              <w:rPr>
                <w:rFonts w:hint="default" w:ascii="Times New Roman" w:hAnsi="Times New Roman" w:eastAsia="等线" w:cs="Times New Roman"/>
                <w:color w:val="auto"/>
                <w:u w:val="single"/>
                <w:lang w:val="en-US" w:eastAsia="zh-CN"/>
              </w:rPr>
            </w:pPr>
            <w:r>
              <w:rPr>
                <w:rFonts w:hint="eastAsia" w:ascii="Times New Roman" w:hAnsi="Times New Roman" w:eastAsia="等线" w:cs="Times New Roman"/>
                <w:color w:val="auto"/>
                <w:u w:val="single"/>
                <w:lang w:val="en-US" w:eastAsia="zh-CN"/>
              </w:rPr>
              <w:t>47</w:t>
            </w:r>
          </w:p>
        </w:tc>
        <w:tc>
          <w:tcPr>
            <w:tcW w:w="1218"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50</w:t>
            </w:r>
          </w:p>
        </w:tc>
        <w:tc>
          <w:tcPr>
            <w:tcW w:w="1218"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达标</w:t>
            </w:r>
          </w:p>
        </w:tc>
      </w:tr>
    </w:tbl>
    <w:p>
      <w:pPr>
        <w:ind w:firstLine="480"/>
        <w:rPr>
          <w:rFonts w:hint="eastAsia"/>
          <w:color w:val="auto"/>
          <w:kern w:val="0"/>
          <w:u w:val="single"/>
        </w:rPr>
      </w:pPr>
      <w:r>
        <w:rPr>
          <w:rFonts w:hint="eastAsia"/>
          <w:color w:val="auto"/>
          <w:kern w:val="0"/>
          <w:u w:val="single"/>
        </w:rPr>
        <w:t>根据表3.4</w:t>
      </w:r>
      <w:r>
        <w:rPr>
          <w:color w:val="auto"/>
          <w:kern w:val="0"/>
          <w:u w:val="single"/>
        </w:rPr>
        <w:t>-</w:t>
      </w:r>
      <w:r>
        <w:rPr>
          <w:rFonts w:hint="eastAsia"/>
          <w:color w:val="auto"/>
          <w:kern w:val="0"/>
          <w:u w:val="single"/>
          <w:lang w:val="en-US" w:eastAsia="zh-CN"/>
        </w:rPr>
        <w:t>12</w:t>
      </w:r>
      <w:r>
        <w:rPr>
          <w:rFonts w:hint="eastAsia"/>
          <w:color w:val="auto"/>
          <w:kern w:val="0"/>
          <w:u w:val="single"/>
        </w:rPr>
        <w:t>的结果分析表明项目厂界东、西、南、北</w:t>
      </w:r>
      <w:r>
        <w:rPr>
          <w:rFonts w:hint="eastAsia"/>
          <w:color w:val="auto"/>
          <w:kern w:val="0"/>
          <w:u w:val="single"/>
          <w:lang w:eastAsia="zh-CN"/>
        </w:rPr>
        <w:t>侧</w:t>
      </w:r>
      <w:r>
        <w:rPr>
          <w:rFonts w:hint="eastAsia"/>
          <w:color w:val="auto"/>
          <w:kern w:val="0"/>
          <w:u w:val="single"/>
          <w:lang w:val="en-US" w:eastAsia="zh-CN"/>
        </w:rPr>
        <w:t>4</w:t>
      </w:r>
      <w:r>
        <w:rPr>
          <w:rFonts w:hint="eastAsia"/>
          <w:color w:val="auto"/>
          <w:kern w:val="0"/>
          <w:u w:val="single"/>
        </w:rPr>
        <w:t>个</w:t>
      </w:r>
      <w:r>
        <w:rPr>
          <w:rFonts w:hint="eastAsia"/>
          <w:color w:val="auto"/>
          <w:kern w:val="0"/>
          <w:u w:val="single"/>
          <w:lang w:val="en-US" w:eastAsia="zh-CN"/>
        </w:rPr>
        <w:t>监测点</w:t>
      </w:r>
      <w:r>
        <w:rPr>
          <w:rFonts w:hint="eastAsia"/>
          <w:color w:val="auto"/>
          <w:kern w:val="0"/>
          <w:u w:val="single"/>
        </w:rPr>
        <w:t>昼夜噪声均满足《声环境质量标准》（GB</w:t>
      </w:r>
      <w:r>
        <w:rPr>
          <w:color w:val="auto"/>
          <w:kern w:val="0"/>
          <w:u w:val="single"/>
        </w:rPr>
        <w:t>3096-2008</w:t>
      </w:r>
      <w:r>
        <w:rPr>
          <w:rFonts w:hint="eastAsia"/>
          <w:color w:val="auto"/>
          <w:kern w:val="0"/>
          <w:u w:val="single"/>
        </w:rPr>
        <w:t>）</w:t>
      </w:r>
      <w:r>
        <w:rPr>
          <w:rFonts w:hint="eastAsia"/>
          <w:color w:val="auto"/>
          <w:kern w:val="0"/>
          <w:u w:val="single"/>
          <w:lang w:val="en-US" w:eastAsia="zh-CN"/>
        </w:rPr>
        <w:t>3</w:t>
      </w:r>
      <w:r>
        <w:rPr>
          <w:rFonts w:hint="eastAsia"/>
          <w:color w:val="auto"/>
          <w:kern w:val="0"/>
          <w:u w:val="single"/>
        </w:rPr>
        <w:t>类标准要求</w:t>
      </w:r>
      <w:r>
        <w:rPr>
          <w:rFonts w:hint="eastAsia"/>
          <w:color w:val="auto"/>
          <w:kern w:val="0"/>
          <w:u w:val="single"/>
          <w:lang w:eastAsia="zh-CN"/>
        </w:rPr>
        <w:t>，场界西北侧</w:t>
      </w:r>
      <w:r>
        <w:rPr>
          <w:rFonts w:hint="eastAsia"/>
          <w:color w:val="auto"/>
          <w:kern w:val="0"/>
          <w:u w:val="single"/>
          <w:lang w:val="en-US" w:eastAsia="zh-CN"/>
        </w:rPr>
        <w:t>50m公租房监测点</w:t>
      </w:r>
      <w:r>
        <w:rPr>
          <w:rFonts w:hint="eastAsia"/>
          <w:color w:val="auto"/>
          <w:kern w:val="0"/>
          <w:u w:val="single"/>
        </w:rPr>
        <w:t>昼夜噪声</w:t>
      </w:r>
      <w:r>
        <w:rPr>
          <w:rFonts w:hint="eastAsia"/>
          <w:color w:val="auto"/>
          <w:kern w:val="0"/>
          <w:u w:val="single"/>
          <w:lang w:eastAsia="zh-CN"/>
        </w:rPr>
        <w:t>能</w:t>
      </w:r>
      <w:r>
        <w:rPr>
          <w:rFonts w:hint="eastAsia"/>
          <w:color w:val="auto"/>
          <w:kern w:val="0"/>
          <w:u w:val="single"/>
        </w:rPr>
        <w:t>满足《声环境质量标准》（GB</w:t>
      </w:r>
      <w:r>
        <w:rPr>
          <w:color w:val="auto"/>
          <w:kern w:val="0"/>
          <w:u w:val="single"/>
        </w:rPr>
        <w:t>3096-2008</w:t>
      </w:r>
      <w:r>
        <w:rPr>
          <w:rFonts w:hint="eastAsia"/>
          <w:color w:val="auto"/>
          <w:kern w:val="0"/>
          <w:u w:val="single"/>
        </w:rPr>
        <w:t>）</w:t>
      </w:r>
      <w:r>
        <w:rPr>
          <w:rFonts w:hint="eastAsia"/>
          <w:color w:val="auto"/>
          <w:kern w:val="0"/>
          <w:u w:val="single"/>
          <w:lang w:val="en-US" w:eastAsia="zh-CN"/>
        </w:rPr>
        <w:t>2</w:t>
      </w:r>
      <w:r>
        <w:rPr>
          <w:rFonts w:hint="eastAsia"/>
          <w:color w:val="auto"/>
          <w:kern w:val="0"/>
          <w:u w:val="single"/>
        </w:rPr>
        <w:t>类标准要求，区域声环境质量良好。</w:t>
      </w:r>
    </w:p>
    <w:p>
      <w:pPr>
        <w:pStyle w:val="6"/>
        <w:bidi w:val="0"/>
        <w:rPr>
          <w:rFonts w:hint="eastAsia"/>
        </w:rPr>
      </w:pPr>
      <w:r>
        <w:rPr>
          <w:rFonts w:hint="eastAsia"/>
        </w:rPr>
        <w:t>3.4.5土壤质量现状现状评价</w:t>
      </w:r>
    </w:p>
    <w:p>
      <w:pPr>
        <w:ind w:firstLine="480"/>
        <w:rPr>
          <w:rFonts w:hint="eastAsia"/>
          <w:color w:val="auto"/>
          <w:kern w:val="0"/>
          <w:u w:val="none"/>
        </w:rPr>
      </w:pPr>
      <w:r>
        <w:rPr>
          <w:rFonts w:hint="eastAsia"/>
          <w:color w:val="auto"/>
          <w:kern w:val="0"/>
          <w:u w:val="none"/>
        </w:rPr>
        <w:t>（1）监测单位：湖南昌旭环保科技有限公司</w:t>
      </w:r>
    </w:p>
    <w:p>
      <w:pPr>
        <w:ind w:firstLine="480"/>
        <w:rPr>
          <w:rFonts w:hint="eastAsia"/>
          <w:color w:val="auto"/>
          <w:kern w:val="0"/>
          <w:u w:val="none"/>
        </w:rPr>
      </w:pPr>
      <w:r>
        <w:rPr>
          <w:rFonts w:hint="eastAsia"/>
          <w:color w:val="auto"/>
          <w:kern w:val="0"/>
          <w:u w:val="none"/>
        </w:rPr>
        <w:t>（2）监测点布设</w:t>
      </w:r>
    </w:p>
    <w:p>
      <w:pPr>
        <w:ind w:firstLine="600" w:firstLineChars="250"/>
        <w:rPr>
          <w:rFonts w:hint="eastAsia"/>
          <w:b/>
          <w:color w:val="auto"/>
          <w:kern w:val="0"/>
          <w:sz w:val="21"/>
          <w:szCs w:val="21"/>
          <w:u w:val="none"/>
        </w:rPr>
      </w:pPr>
      <w:r>
        <w:rPr>
          <w:rFonts w:hint="eastAsia"/>
          <w:color w:val="auto"/>
          <w:kern w:val="0"/>
          <w:u w:val="none"/>
        </w:rPr>
        <w:t>本项目共测</w:t>
      </w:r>
      <w:r>
        <w:rPr>
          <w:rFonts w:hint="eastAsia"/>
          <w:color w:val="auto"/>
          <w:kern w:val="0"/>
          <w:u w:val="none"/>
          <w:lang w:val="en-US" w:eastAsia="zh-CN"/>
        </w:rPr>
        <w:t>3</w:t>
      </w:r>
      <w:r>
        <w:rPr>
          <w:rFonts w:hint="eastAsia"/>
          <w:color w:val="auto"/>
          <w:kern w:val="0"/>
          <w:u w:val="none"/>
        </w:rPr>
        <w:t>个土壤监测点，详见下表3.4-</w:t>
      </w:r>
      <w:r>
        <w:rPr>
          <w:rFonts w:hint="eastAsia"/>
          <w:color w:val="auto"/>
          <w:kern w:val="0"/>
          <w:u w:val="none"/>
          <w:lang w:val="en-US" w:eastAsia="zh-CN"/>
        </w:rPr>
        <w:t>17</w:t>
      </w:r>
      <w:r>
        <w:rPr>
          <w:rFonts w:hint="eastAsia"/>
          <w:color w:val="auto"/>
          <w:kern w:val="0"/>
          <w:u w:val="none"/>
        </w:rPr>
        <w:t>，项目监测布点图见附图2</w:t>
      </w:r>
    </w:p>
    <w:p>
      <w:pPr>
        <w:ind w:firstLine="198" w:firstLineChars="94"/>
        <w:jc w:val="center"/>
        <w:rPr>
          <w:color w:val="auto"/>
          <w:kern w:val="0"/>
          <w:u w:val="none"/>
        </w:rPr>
      </w:pPr>
      <w:r>
        <w:rPr>
          <w:rFonts w:hint="eastAsia"/>
          <w:b/>
          <w:color w:val="auto"/>
          <w:kern w:val="0"/>
          <w:sz w:val="21"/>
          <w:szCs w:val="21"/>
          <w:u w:val="none"/>
        </w:rPr>
        <w:t>表3.4</w:t>
      </w:r>
      <w:r>
        <w:rPr>
          <w:b/>
          <w:color w:val="auto"/>
          <w:kern w:val="0"/>
          <w:sz w:val="21"/>
          <w:szCs w:val="21"/>
          <w:u w:val="none"/>
        </w:rPr>
        <w:t>-</w:t>
      </w:r>
      <w:r>
        <w:rPr>
          <w:rFonts w:hint="eastAsia"/>
          <w:b/>
          <w:color w:val="auto"/>
          <w:kern w:val="0"/>
          <w:sz w:val="21"/>
          <w:szCs w:val="21"/>
          <w:u w:val="none"/>
          <w:lang w:val="en-US" w:eastAsia="zh-CN"/>
        </w:rPr>
        <w:t>17</w:t>
      </w:r>
      <w:r>
        <w:rPr>
          <w:b/>
          <w:color w:val="auto"/>
          <w:kern w:val="0"/>
          <w:sz w:val="21"/>
          <w:szCs w:val="21"/>
          <w:u w:val="none"/>
        </w:rPr>
        <w:t xml:space="preserve"> </w:t>
      </w:r>
      <w:r>
        <w:rPr>
          <w:rFonts w:hint="eastAsia"/>
          <w:b/>
          <w:color w:val="auto"/>
          <w:kern w:val="0"/>
          <w:sz w:val="21"/>
          <w:szCs w:val="21"/>
          <w:u w:val="none"/>
          <w:lang w:eastAsia="zh-CN"/>
        </w:rPr>
        <w:t>土壤环境</w:t>
      </w:r>
      <w:r>
        <w:rPr>
          <w:rFonts w:hint="eastAsia"/>
          <w:b/>
          <w:color w:val="auto"/>
          <w:kern w:val="0"/>
          <w:sz w:val="21"/>
          <w:szCs w:val="21"/>
          <w:u w:val="none"/>
        </w:rPr>
        <w:t>监测布点情况一览表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843"/>
        <w:gridCol w:w="3827"/>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编号</w:t>
            </w:r>
          </w:p>
        </w:tc>
        <w:tc>
          <w:tcPr>
            <w:tcW w:w="1843"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3827"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评价因子</w:t>
            </w:r>
          </w:p>
        </w:tc>
        <w:tc>
          <w:tcPr>
            <w:tcW w:w="1893"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T1</w:t>
            </w:r>
          </w:p>
        </w:tc>
        <w:tc>
          <w:tcPr>
            <w:tcW w:w="1843" w:type="dxa"/>
            <w:noWrap w:val="0"/>
            <w:vAlign w:val="center"/>
          </w:tcPr>
          <w:p>
            <w:pPr>
              <w:pStyle w:val="73"/>
              <w:bidi w:val="0"/>
              <w:ind w:firstLine="0" w:firstLineChars="0"/>
              <w:rPr>
                <w:rFonts w:hint="default" w:ascii="Times New Roman" w:hAnsi="Times New Roman" w:cs="Times New Roman"/>
                <w:color w:val="auto"/>
                <w:u w:val="none"/>
              </w:rPr>
            </w:pPr>
            <w:r>
              <w:rPr>
                <w:rFonts w:hint="eastAsia"/>
                <w:color w:val="auto"/>
                <w:lang w:eastAsia="zh-CN"/>
              </w:rPr>
              <w:t>项目</w:t>
            </w:r>
            <w:r>
              <w:rPr>
                <w:color w:val="auto"/>
              </w:rPr>
              <w:t>拟建</w:t>
            </w:r>
            <w:r>
              <w:rPr>
                <w:rFonts w:hint="eastAsia"/>
                <w:color w:val="auto"/>
                <w:lang w:eastAsia="zh-CN"/>
              </w:rPr>
              <w:t>地东侧（辅助用房）</w:t>
            </w:r>
          </w:p>
        </w:tc>
        <w:tc>
          <w:tcPr>
            <w:tcW w:w="382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《土壤环境质量建设用地土壤污染风险管控标准（试行）》（GB36600-2018）45项基本因子、pH</w:t>
            </w:r>
          </w:p>
        </w:tc>
        <w:tc>
          <w:tcPr>
            <w:tcW w:w="1893" w:type="dxa"/>
            <w:vMerge w:val="restar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lang w:val="en-US" w:eastAsia="zh-CN"/>
              </w:rPr>
              <w:t>2022.03.25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T2</w:t>
            </w:r>
          </w:p>
        </w:tc>
        <w:tc>
          <w:tcPr>
            <w:tcW w:w="1843" w:type="dxa"/>
            <w:noWrap w:val="0"/>
            <w:vAlign w:val="center"/>
          </w:tcPr>
          <w:p>
            <w:pPr>
              <w:pStyle w:val="73"/>
              <w:bidi w:val="0"/>
              <w:ind w:firstLine="0" w:firstLineChars="0"/>
              <w:rPr>
                <w:rFonts w:hint="default" w:ascii="Times New Roman" w:hAnsi="Times New Roman" w:cs="Times New Roman"/>
                <w:color w:val="auto"/>
                <w:u w:val="none"/>
              </w:rPr>
            </w:pPr>
            <w:r>
              <w:rPr>
                <w:rFonts w:hint="eastAsia"/>
                <w:color w:val="auto"/>
                <w:lang w:eastAsia="zh-CN"/>
              </w:rPr>
              <w:t>项目</w:t>
            </w:r>
            <w:r>
              <w:rPr>
                <w:color w:val="auto"/>
              </w:rPr>
              <w:t>拟建</w:t>
            </w:r>
            <w:r>
              <w:rPr>
                <w:rFonts w:hint="eastAsia"/>
                <w:color w:val="auto"/>
                <w:lang w:eastAsia="zh-CN"/>
              </w:rPr>
              <w:t>地北侧（调节池）</w:t>
            </w:r>
          </w:p>
        </w:tc>
        <w:tc>
          <w:tcPr>
            <w:tcW w:w="382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pH</w:t>
            </w:r>
          </w:p>
        </w:tc>
        <w:tc>
          <w:tcPr>
            <w:tcW w:w="1893" w:type="dxa"/>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T3</w:t>
            </w:r>
          </w:p>
        </w:tc>
        <w:tc>
          <w:tcPr>
            <w:tcW w:w="1843" w:type="dxa"/>
            <w:noWrap w:val="0"/>
            <w:vAlign w:val="center"/>
          </w:tcPr>
          <w:p>
            <w:pPr>
              <w:pStyle w:val="73"/>
              <w:bidi w:val="0"/>
              <w:ind w:firstLine="0" w:firstLineChars="0"/>
              <w:rPr>
                <w:rFonts w:hint="default" w:ascii="Times New Roman" w:hAnsi="Times New Roman" w:cs="Times New Roman"/>
                <w:color w:val="auto"/>
                <w:u w:val="none"/>
              </w:rPr>
            </w:pPr>
            <w:r>
              <w:rPr>
                <w:rFonts w:hint="eastAsia"/>
                <w:color w:val="auto"/>
                <w:lang w:eastAsia="zh-CN"/>
              </w:rPr>
              <w:t>项目</w:t>
            </w:r>
            <w:r>
              <w:rPr>
                <w:color w:val="auto"/>
              </w:rPr>
              <w:t>拟建</w:t>
            </w:r>
            <w:r>
              <w:rPr>
                <w:rFonts w:hint="eastAsia"/>
                <w:color w:val="auto"/>
                <w:lang w:eastAsia="zh-CN"/>
              </w:rPr>
              <w:t>地中部（污泥脱水间）</w:t>
            </w:r>
          </w:p>
        </w:tc>
        <w:tc>
          <w:tcPr>
            <w:tcW w:w="3827"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pH</w:t>
            </w:r>
          </w:p>
        </w:tc>
        <w:tc>
          <w:tcPr>
            <w:tcW w:w="1893" w:type="dxa"/>
            <w:vMerge w:val="continue"/>
            <w:noWrap w:val="0"/>
            <w:vAlign w:val="center"/>
          </w:tcPr>
          <w:p>
            <w:pPr>
              <w:pStyle w:val="73"/>
              <w:rPr>
                <w:rFonts w:hint="default" w:ascii="Times New Roman" w:hAnsi="Times New Roman" w:cs="Times New Roman"/>
                <w:color w:val="auto"/>
                <w:u w:val="none"/>
              </w:rPr>
            </w:pPr>
          </w:p>
        </w:tc>
      </w:tr>
    </w:tbl>
    <w:p>
      <w:pPr>
        <w:ind w:firstLine="480"/>
        <w:rPr>
          <w:rFonts w:hint="eastAsia"/>
          <w:color w:val="auto"/>
          <w:kern w:val="0"/>
          <w:u w:val="none"/>
        </w:rPr>
      </w:pPr>
      <w:r>
        <w:rPr>
          <w:rFonts w:hint="eastAsia"/>
          <w:color w:val="auto"/>
          <w:kern w:val="0"/>
          <w:u w:val="none"/>
        </w:rPr>
        <w:t>（3）监测时间及采样频率</w:t>
      </w:r>
    </w:p>
    <w:p>
      <w:pPr>
        <w:ind w:firstLine="480"/>
        <w:rPr>
          <w:rFonts w:hint="eastAsia"/>
          <w:color w:val="auto"/>
          <w:kern w:val="0"/>
          <w:u w:val="none"/>
        </w:rPr>
      </w:pPr>
      <w:r>
        <w:rPr>
          <w:rFonts w:hint="eastAsia"/>
          <w:color w:val="auto"/>
          <w:kern w:val="0"/>
          <w:u w:val="none"/>
        </w:rPr>
        <w:t>监测时间为</w:t>
      </w:r>
      <w:r>
        <w:rPr>
          <w:rFonts w:hint="eastAsia"/>
          <w:color w:val="auto"/>
          <w:u w:val="none"/>
        </w:rPr>
        <w:t>20</w:t>
      </w:r>
      <w:r>
        <w:rPr>
          <w:rFonts w:hint="eastAsia"/>
          <w:color w:val="auto"/>
          <w:u w:val="none"/>
          <w:lang w:val="en-US" w:eastAsia="zh-CN"/>
        </w:rPr>
        <w:t>22</w:t>
      </w:r>
      <w:r>
        <w:rPr>
          <w:rFonts w:hint="eastAsia"/>
          <w:color w:val="auto"/>
          <w:u w:val="none"/>
        </w:rPr>
        <w:t>年</w:t>
      </w:r>
      <w:r>
        <w:rPr>
          <w:rFonts w:hint="eastAsia"/>
          <w:color w:val="auto"/>
          <w:u w:val="none"/>
          <w:lang w:val="en-US" w:eastAsia="zh-CN"/>
        </w:rPr>
        <w:t>03</w:t>
      </w:r>
      <w:r>
        <w:rPr>
          <w:rFonts w:hint="eastAsia"/>
          <w:color w:val="auto"/>
          <w:u w:val="none"/>
        </w:rPr>
        <w:t>月</w:t>
      </w:r>
      <w:r>
        <w:rPr>
          <w:rFonts w:hint="eastAsia"/>
          <w:color w:val="auto"/>
          <w:u w:val="none"/>
          <w:lang w:val="en-US" w:eastAsia="zh-CN"/>
        </w:rPr>
        <w:t>25</w:t>
      </w:r>
      <w:r>
        <w:rPr>
          <w:rFonts w:hint="eastAsia"/>
          <w:color w:val="auto"/>
          <w:u w:val="none"/>
        </w:rPr>
        <w:t>日</w:t>
      </w:r>
      <w:r>
        <w:rPr>
          <w:rFonts w:hint="eastAsia"/>
          <w:color w:val="auto"/>
          <w:kern w:val="0"/>
          <w:u w:val="none"/>
        </w:rPr>
        <w:t>，共监测</w:t>
      </w:r>
      <w:r>
        <w:rPr>
          <w:color w:val="auto"/>
          <w:kern w:val="0"/>
          <w:u w:val="none"/>
        </w:rPr>
        <w:t>1</w:t>
      </w:r>
      <w:r>
        <w:rPr>
          <w:rFonts w:hint="eastAsia"/>
          <w:color w:val="auto"/>
          <w:kern w:val="0"/>
          <w:u w:val="none"/>
        </w:rPr>
        <w:t>天。</w:t>
      </w:r>
    </w:p>
    <w:p>
      <w:pPr>
        <w:ind w:firstLine="480"/>
        <w:rPr>
          <w:rFonts w:hint="eastAsia"/>
          <w:color w:val="auto"/>
          <w:kern w:val="0"/>
          <w:u w:val="none"/>
        </w:rPr>
      </w:pPr>
      <w:r>
        <w:rPr>
          <w:rFonts w:hint="eastAsia"/>
          <w:color w:val="auto"/>
          <w:kern w:val="0"/>
          <w:u w:val="none"/>
        </w:rPr>
        <w:t>（4）监测、分析方法</w:t>
      </w:r>
    </w:p>
    <w:p>
      <w:pPr>
        <w:ind w:firstLine="480"/>
        <w:rPr>
          <w:color w:val="auto"/>
          <w:szCs w:val="21"/>
          <w:u w:val="none"/>
        </w:rPr>
      </w:pPr>
      <w:r>
        <w:rPr>
          <w:rFonts w:hint="eastAsia"/>
          <w:color w:val="auto"/>
          <w:szCs w:val="21"/>
          <w:u w:val="none"/>
        </w:rPr>
        <w:t>表层样监测点及土壤剖面的土壤监测取样方法一般参照</w:t>
      </w:r>
      <w:r>
        <w:rPr>
          <w:color w:val="auto"/>
          <w:szCs w:val="21"/>
          <w:u w:val="none"/>
        </w:rPr>
        <w:t>HJ/T166</w:t>
      </w:r>
      <w:r>
        <w:rPr>
          <w:rFonts w:hint="eastAsia"/>
          <w:color w:val="auto"/>
          <w:szCs w:val="21"/>
          <w:u w:val="none"/>
        </w:rPr>
        <w:t>执行</w:t>
      </w:r>
    </w:p>
    <w:p>
      <w:pPr>
        <w:ind w:firstLine="480"/>
        <w:rPr>
          <w:rFonts w:hint="eastAsia"/>
          <w:color w:val="auto"/>
          <w:kern w:val="0"/>
          <w:u w:val="none"/>
        </w:rPr>
      </w:pPr>
      <w:r>
        <w:rPr>
          <w:rFonts w:hint="eastAsia"/>
          <w:color w:val="auto"/>
          <w:kern w:val="0"/>
          <w:u w:val="none"/>
        </w:rPr>
        <w:t>（5）监测数据结果</w:t>
      </w:r>
    </w:p>
    <w:p>
      <w:pPr>
        <w:ind w:firstLine="480"/>
        <w:rPr>
          <w:rFonts w:hint="eastAsia"/>
          <w:color w:val="auto"/>
          <w:kern w:val="0"/>
          <w:u w:val="none"/>
        </w:rPr>
      </w:pPr>
      <w:r>
        <w:rPr>
          <w:rFonts w:hint="eastAsia"/>
          <w:color w:val="auto"/>
          <w:kern w:val="0"/>
          <w:u w:val="none"/>
        </w:rPr>
        <w:t>监测数据结果见表3.4-</w:t>
      </w:r>
      <w:r>
        <w:rPr>
          <w:color w:val="auto"/>
          <w:kern w:val="0"/>
          <w:u w:val="none"/>
        </w:rPr>
        <w:t>1</w:t>
      </w:r>
      <w:r>
        <w:rPr>
          <w:rFonts w:hint="eastAsia"/>
          <w:color w:val="auto"/>
          <w:kern w:val="0"/>
          <w:u w:val="none"/>
          <w:lang w:val="en-US" w:eastAsia="zh-CN"/>
        </w:rPr>
        <w:t>8</w:t>
      </w:r>
      <w:r>
        <w:rPr>
          <w:rFonts w:hint="eastAsia"/>
          <w:color w:val="auto"/>
          <w:kern w:val="0"/>
          <w:u w:val="none"/>
        </w:rPr>
        <w:t>。</w:t>
      </w:r>
    </w:p>
    <w:p>
      <w:pPr>
        <w:ind w:firstLine="422"/>
        <w:jc w:val="center"/>
        <w:rPr>
          <w:b/>
          <w:color w:val="auto"/>
          <w:kern w:val="0"/>
          <w:sz w:val="21"/>
          <w:szCs w:val="21"/>
          <w:u w:val="none"/>
        </w:rPr>
      </w:pPr>
      <w:r>
        <w:rPr>
          <w:rFonts w:hint="eastAsia"/>
          <w:b/>
          <w:color w:val="auto"/>
          <w:kern w:val="0"/>
          <w:sz w:val="21"/>
          <w:szCs w:val="21"/>
          <w:u w:val="none"/>
        </w:rPr>
        <w:t>表3.4-</w:t>
      </w:r>
      <w:r>
        <w:rPr>
          <w:b/>
          <w:color w:val="auto"/>
          <w:kern w:val="0"/>
          <w:sz w:val="21"/>
          <w:szCs w:val="21"/>
          <w:u w:val="none"/>
        </w:rPr>
        <w:t>1</w:t>
      </w:r>
      <w:r>
        <w:rPr>
          <w:rFonts w:hint="eastAsia"/>
          <w:b/>
          <w:color w:val="auto"/>
          <w:kern w:val="0"/>
          <w:sz w:val="21"/>
          <w:szCs w:val="21"/>
          <w:u w:val="none"/>
          <w:lang w:val="en-US" w:eastAsia="zh-CN"/>
        </w:rPr>
        <w:t xml:space="preserve">8   </w:t>
      </w:r>
      <w:r>
        <w:rPr>
          <w:rFonts w:hint="eastAsia"/>
          <w:b/>
          <w:color w:val="auto"/>
          <w:kern w:val="0"/>
          <w:sz w:val="21"/>
          <w:szCs w:val="21"/>
          <w:u w:val="none"/>
        </w:rPr>
        <w:t>土壤环境</w:t>
      </w:r>
      <w:r>
        <w:rPr>
          <w:rFonts w:hint="eastAsia"/>
          <w:b/>
          <w:color w:val="auto"/>
          <w:kern w:val="0"/>
          <w:sz w:val="21"/>
          <w:szCs w:val="21"/>
          <w:u w:val="none"/>
          <w:lang w:eastAsia="zh-CN"/>
        </w:rPr>
        <w:t>现状</w:t>
      </w:r>
      <w:r>
        <w:rPr>
          <w:rFonts w:hint="eastAsia"/>
          <w:b/>
          <w:color w:val="auto"/>
          <w:kern w:val="0"/>
          <w:sz w:val="21"/>
          <w:szCs w:val="21"/>
          <w:u w:val="none"/>
        </w:rPr>
        <w:t>监测结果</w:t>
      </w:r>
      <w:r>
        <w:rPr>
          <w:rFonts w:hint="eastAsia"/>
          <w:b/>
          <w:color w:val="auto"/>
          <w:kern w:val="0"/>
          <w:sz w:val="21"/>
          <w:szCs w:val="21"/>
          <w:u w:val="none"/>
          <w:lang w:val="en-US" w:eastAsia="zh-CN"/>
        </w:rPr>
        <w:t xml:space="preserve">     </w:t>
      </w:r>
      <w:r>
        <w:rPr>
          <w:rFonts w:hint="eastAsia"/>
          <w:b/>
          <w:color w:val="auto"/>
          <w:kern w:val="0"/>
          <w:sz w:val="21"/>
          <w:szCs w:val="21"/>
          <w:u w:val="none"/>
        </w:rPr>
        <w:t>单位</w:t>
      </w:r>
      <w:r>
        <w:rPr>
          <w:rFonts w:hint="eastAsia"/>
          <w:b/>
          <w:color w:val="auto"/>
          <w:kern w:val="0"/>
          <w:sz w:val="21"/>
          <w:szCs w:val="21"/>
          <w:u w:val="none"/>
          <w:lang w:eastAsia="zh-CN"/>
        </w:rPr>
        <w:t>：</w:t>
      </w:r>
      <w:r>
        <w:rPr>
          <w:rFonts w:ascii="Times New Roman" w:hAnsi="Times New Roman" w:eastAsia="仿宋"/>
          <w:b/>
          <w:bCs/>
          <w:color w:val="auto"/>
          <w:sz w:val="21"/>
          <w:szCs w:val="21"/>
        </w:rPr>
        <w:t>mg/kg</w:t>
      </w:r>
    </w:p>
    <w:tbl>
      <w:tblPr>
        <w:tblStyle w:val="36"/>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712"/>
        <w:gridCol w:w="1061"/>
        <w:gridCol w:w="1061"/>
        <w:gridCol w:w="1061"/>
        <w:gridCol w:w="1061"/>
        <w:gridCol w:w="1061"/>
        <w:gridCol w:w="1061"/>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T1</w:t>
            </w: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监测项目</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铬（六价）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监测值</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lang w:val="en-US" w:eastAsia="zh-CN"/>
              </w:rPr>
              <w:t>13.3</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1.07</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0.5L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29</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57.0</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0.223</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标准值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达标情况</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项目</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四氯化碳</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氯仿</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氯甲烷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1,1-二氯乙烷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1,2-二氯乙烷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1,1-二氯乙烯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顺-1,2-二</w:t>
            </w:r>
          </w:p>
          <w:p>
            <w:pPr>
              <w:pStyle w:val="73"/>
              <w:rPr>
                <w:rFonts w:hint="default" w:ascii="Times New Roman" w:hAnsi="Times New Roman" w:cs="Times New Roman"/>
                <w:color w:val="auto"/>
                <w:u w:val="none"/>
              </w:rPr>
            </w:pPr>
            <w:r>
              <w:rPr>
                <w:rFonts w:hint="default" w:ascii="Times New Roman" w:hAnsi="Times New Roman" w:cs="Times New Roman"/>
                <w:color w:val="auto"/>
                <w:u w:val="none"/>
              </w:rPr>
              <w:t>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1.3×10</w:t>
            </w:r>
            <w:r>
              <w:rPr>
                <w:rFonts w:hint="default" w:ascii="Times New Roman" w:hAnsi="Times New Roman" w:cs="Times New Roman"/>
                <w:color w:val="auto"/>
                <w:u w:val="none"/>
                <w:vertAlign w:val="superscript"/>
                <w:lang w:val="en-US" w:eastAsia="zh-CN"/>
              </w:rPr>
              <w:t>-3</w:t>
            </w:r>
            <w:r>
              <w:rPr>
                <w:rFonts w:hint="default" w:ascii="Times New Roman" w:hAnsi="Times New Roman" w:cs="Times New Roman"/>
                <w:color w:val="auto"/>
                <w:u w:val="none"/>
                <w:lang w:val="en-US" w:eastAsia="zh-CN"/>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0.001L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3</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0.001L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3</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标准值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0.9</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37</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66</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达标情况</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监测项目</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反-1,2-二氯乙烯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二氯甲烷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1,2-二氯丙烷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1,1,1,2-四氯乙烷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1,1,2,2-四氯乙烷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四氯乙烯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1,1,1-三氯乙烷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4</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4</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3</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标准值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54</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616</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6.8</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53</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达标情况</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监测项目</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1,1,2-三氯乙烷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三氯乙烯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1,2,3-三氯丙烷</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氯乙烯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氯苯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1,2-二氯苯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0.001L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9</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标准值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0.5</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0.43</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270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达标情况</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监测项目</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1,4-二氯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乙苯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苯乙烯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甲苯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间二甲苯+对二甲苯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邻二甲苯</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硝基苯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3</w:t>
            </w:r>
            <w:r>
              <w:rPr>
                <w:rFonts w:hint="default" w:ascii="Times New Roman" w:hAnsi="Times New Roman" w:cs="Times New Roman"/>
                <w:color w:val="auto"/>
                <w:u w:val="none"/>
              </w:rPr>
              <w:t>×10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1.2×10</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0.09L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标准值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1290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1200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570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640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达标情况</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监测项目</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苯胺</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2-氯酚</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苯并[a]蒽</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苯并[a]芘</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苯并[b]荧蒽</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苯并[k]荧蒽</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监测值</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0.1L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0.06L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0.1L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0.1L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0.2L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0.1L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标准值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260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2256</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151</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达标情况</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监测项目</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二苯并 [a,h]蒽</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茚并</w:t>
            </w:r>
          </w:p>
          <w:p>
            <w:pPr>
              <w:pStyle w:val="73"/>
              <w:rPr>
                <w:rFonts w:hint="default" w:ascii="Times New Roman" w:hAnsi="Times New Roman" w:cs="Times New Roman"/>
                <w:color w:val="auto"/>
                <w:u w:val="none"/>
              </w:rPr>
            </w:pPr>
            <w:r>
              <w:rPr>
                <w:rFonts w:hint="default" w:ascii="Times New Roman" w:hAnsi="Times New Roman" w:cs="Times New Roman"/>
                <w:color w:val="auto"/>
                <w:u w:val="none"/>
              </w:rPr>
              <w:t>[1,2,3-cd]芘</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萘</w:t>
            </w:r>
          </w:p>
        </w:tc>
        <w:tc>
          <w:tcPr>
            <w:tcW w:w="617" w:type="pct"/>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监测值</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0.1L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0.1L</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0.09L</w:t>
            </w:r>
          </w:p>
        </w:tc>
        <w:tc>
          <w:tcPr>
            <w:tcW w:w="617" w:type="pct"/>
            <w:noWrap w:val="0"/>
            <w:vAlign w:val="center"/>
          </w:tcPr>
          <w:p>
            <w:pPr>
              <w:pStyle w:val="73"/>
              <w:rPr>
                <w:rFonts w:hint="eastAsia"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标准值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70</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达标情况</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达标</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T2</w:t>
            </w: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监测项目</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pH</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监测值</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6.12</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标准值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restar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T3</w:t>
            </w: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监测项目</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pH</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监测值</w:t>
            </w:r>
          </w:p>
        </w:tc>
        <w:tc>
          <w:tcPr>
            <w:tcW w:w="617" w:type="pct"/>
            <w:noWrap w:val="0"/>
            <w:vAlign w:val="center"/>
          </w:tcPr>
          <w:p>
            <w:pPr>
              <w:pStyle w:val="73"/>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6.17</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64" w:type="pct"/>
            <w:vMerge w:val="continue"/>
            <w:noWrap w:val="0"/>
            <w:vAlign w:val="center"/>
          </w:tcPr>
          <w:p>
            <w:pPr>
              <w:pStyle w:val="73"/>
              <w:rPr>
                <w:rFonts w:hint="default" w:ascii="Times New Roman" w:hAnsi="Times New Roman" w:cs="Times New Roman"/>
                <w:color w:val="auto"/>
                <w:u w:val="none"/>
              </w:rPr>
            </w:pPr>
          </w:p>
        </w:tc>
        <w:tc>
          <w:tcPr>
            <w:tcW w:w="414"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标准值</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1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pPr>
        <w:ind w:firstLine="480"/>
        <w:jc w:val="both"/>
        <w:rPr>
          <w:rFonts w:hint="eastAsia"/>
          <w:color w:val="auto"/>
          <w:kern w:val="0"/>
          <w:szCs w:val="22"/>
          <w:u w:val="none"/>
          <w:lang w:bidi="en-US"/>
        </w:rPr>
      </w:pPr>
      <w:r>
        <w:rPr>
          <w:rFonts w:hint="eastAsia" w:cs="宋体"/>
          <w:color w:val="auto"/>
          <w:kern w:val="0"/>
          <w:szCs w:val="22"/>
          <w:u w:val="none"/>
          <w:lang w:bidi="ar"/>
        </w:rPr>
        <w:t>由表3</w:t>
      </w:r>
      <w:r>
        <w:rPr>
          <w:rFonts w:cs="宋体"/>
          <w:color w:val="auto"/>
          <w:kern w:val="0"/>
          <w:szCs w:val="22"/>
          <w:u w:val="none"/>
          <w:lang w:bidi="ar"/>
        </w:rPr>
        <w:t>.</w:t>
      </w:r>
      <w:r>
        <w:rPr>
          <w:rFonts w:hint="eastAsia"/>
          <w:color w:val="auto"/>
          <w:kern w:val="0"/>
          <w:szCs w:val="22"/>
          <w:u w:val="none"/>
          <w:lang w:bidi="ar"/>
        </w:rPr>
        <w:t>4</w:t>
      </w:r>
      <w:r>
        <w:rPr>
          <w:color w:val="auto"/>
          <w:kern w:val="0"/>
          <w:szCs w:val="22"/>
          <w:u w:val="none"/>
          <w:lang w:bidi="ar"/>
        </w:rPr>
        <w:t>-</w:t>
      </w:r>
      <w:r>
        <w:rPr>
          <w:rFonts w:hint="eastAsia"/>
          <w:color w:val="auto"/>
          <w:kern w:val="0"/>
          <w:szCs w:val="22"/>
          <w:u w:val="none"/>
          <w:lang w:bidi="ar"/>
        </w:rPr>
        <w:t>1</w:t>
      </w:r>
      <w:r>
        <w:rPr>
          <w:color w:val="auto"/>
          <w:kern w:val="0"/>
          <w:szCs w:val="22"/>
          <w:u w:val="none"/>
          <w:lang w:bidi="ar"/>
        </w:rPr>
        <w:t>2</w:t>
      </w:r>
      <w:r>
        <w:rPr>
          <w:rFonts w:hint="eastAsia" w:cs="宋体"/>
          <w:color w:val="auto"/>
          <w:kern w:val="0"/>
          <w:szCs w:val="22"/>
          <w:u w:val="none"/>
          <w:lang w:bidi="ar"/>
        </w:rPr>
        <w:t>可知，</w:t>
      </w:r>
      <w:r>
        <w:rPr>
          <w:rFonts w:hint="eastAsia"/>
          <w:color w:val="auto"/>
          <w:kern w:val="0"/>
          <w:szCs w:val="22"/>
          <w:u w:val="none"/>
          <w:lang w:bidi="en-US"/>
        </w:rPr>
        <w:t>项目厂区土壤监测点的各项监测因子均满足</w:t>
      </w:r>
      <w:r>
        <w:rPr>
          <w:color w:val="auto"/>
          <w:kern w:val="0"/>
          <w:szCs w:val="22"/>
          <w:u w:val="none"/>
          <w:lang w:bidi="en-US"/>
        </w:rPr>
        <w:t xml:space="preserve">《土壤环境质量 </w:t>
      </w:r>
      <w:r>
        <w:rPr>
          <w:rFonts w:hint="eastAsia"/>
          <w:color w:val="auto"/>
          <w:kern w:val="0"/>
          <w:szCs w:val="22"/>
          <w:u w:val="none"/>
          <w:lang w:bidi="en-US"/>
        </w:rPr>
        <w:t>建设用</w:t>
      </w:r>
      <w:r>
        <w:rPr>
          <w:color w:val="auto"/>
          <w:kern w:val="0"/>
          <w:szCs w:val="22"/>
          <w:u w:val="none"/>
          <w:lang w:bidi="en-US"/>
        </w:rPr>
        <w:t xml:space="preserve">地土壤污染风险管控标准（试行）》（GB </w:t>
      </w:r>
      <w:r>
        <w:rPr>
          <w:rFonts w:hint="eastAsia"/>
          <w:color w:val="auto"/>
          <w:kern w:val="0"/>
          <w:szCs w:val="22"/>
          <w:u w:val="none"/>
          <w:lang w:bidi="en-US"/>
        </w:rPr>
        <w:t>36600</w:t>
      </w:r>
      <w:r>
        <w:rPr>
          <w:color w:val="auto"/>
          <w:kern w:val="0"/>
          <w:szCs w:val="22"/>
          <w:u w:val="none"/>
          <w:lang w:bidi="en-US"/>
        </w:rPr>
        <w:t>-2018）</w:t>
      </w:r>
      <w:r>
        <w:rPr>
          <w:rFonts w:hint="eastAsia"/>
          <w:color w:val="auto"/>
          <w:kern w:val="0"/>
          <w:szCs w:val="22"/>
          <w:u w:val="none"/>
          <w:lang w:bidi="en-US"/>
        </w:rPr>
        <w:t>二类建设用地风险筛选值标准。</w:t>
      </w:r>
    </w:p>
    <w:p>
      <w:pPr>
        <w:pStyle w:val="6"/>
        <w:bidi w:val="0"/>
        <w:rPr>
          <w:rFonts w:hint="eastAsia"/>
          <w:lang w:val="en-US" w:eastAsia="zh-CN"/>
        </w:rPr>
      </w:pPr>
      <w:r>
        <w:rPr>
          <w:rFonts w:hint="eastAsia"/>
          <w:lang w:val="en-US" w:eastAsia="zh-CN"/>
        </w:rPr>
        <w:t>3.4.6底泥现状评价</w:t>
      </w:r>
    </w:p>
    <w:p>
      <w:pPr>
        <w:rPr>
          <w:rFonts w:hint="eastAsia" w:ascii="Times New Roman" w:hAnsi="Times New Roman" w:cs="Times New Roman"/>
          <w:color w:val="auto"/>
          <w:lang w:val="en-US" w:eastAsia="zh-CN"/>
        </w:rPr>
      </w:pPr>
      <w:r>
        <w:rPr>
          <w:rFonts w:hint="eastAsia"/>
          <w:color w:val="auto"/>
          <w:lang w:val="en-US" w:eastAsia="zh-CN"/>
        </w:rPr>
        <w:t>项目共布设1个底泥现状监测点，位于</w:t>
      </w:r>
      <w:bookmarkEnd w:id="231"/>
      <w:r>
        <w:rPr>
          <w:rFonts w:hint="eastAsia"/>
          <w:color w:val="auto"/>
          <w:lang w:val="en-US" w:eastAsia="zh-CN"/>
        </w:rPr>
        <w:t>排污口处</w:t>
      </w:r>
      <w:r>
        <w:rPr>
          <w:rFonts w:hint="default" w:ascii="Times New Roman" w:hAnsi="Times New Roman" w:cs="Times New Roman"/>
          <w:color w:val="auto"/>
        </w:rPr>
        <w:t>。本次</w:t>
      </w:r>
      <w:r>
        <w:rPr>
          <w:rFonts w:hint="eastAsia" w:ascii="Times New Roman" w:hAnsi="Times New Roman" w:cs="Times New Roman"/>
          <w:color w:val="auto"/>
          <w:lang w:eastAsia="zh-CN"/>
        </w:rPr>
        <w:t>底泥</w:t>
      </w:r>
      <w:r>
        <w:rPr>
          <w:rFonts w:hint="default" w:ascii="Times New Roman" w:hAnsi="Times New Roman" w:cs="Times New Roman"/>
          <w:color w:val="auto"/>
        </w:rPr>
        <w:t>现状监测委托湖南昌旭环保科技有限公司进行监测，具体监测情况见下表</w:t>
      </w:r>
      <w:r>
        <w:rPr>
          <w:rFonts w:hint="eastAsia" w:ascii="Times New Roman" w:hAnsi="Times New Roman" w:cs="Times New Roman"/>
          <w:color w:val="auto"/>
          <w:lang w:val="en-US" w:eastAsia="zh-CN"/>
        </w:rPr>
        <w:t>3.4-19</w:t>
      </w:r>
    </w:p>
    <w:p>
      <w:pPr>
        <w:pStyle w:val="124"/>
        <w:bidi w:val="0"/>
        <w:rPr>
          <w:rFonts w:hint="default"/>
          <w:color w:val="auto"/>
          <w:lang w:val="en-US" w:eastAsia="zh-CN"/>
        </w:rPr>
      </w:pPr>
      <w:r>
        <w:rPr>
          <w:rFonts w:hint="eastAsia"/>
          <w:color w:val="auto"/>
          <w:lang w:eastAsia="zh-CN"/>
        </w:rPr>
        <w:t>表</w:t>
      </w:r>
      <w:r>
        <w:rPr>
          <w:rFonts w:hint="eastAsia"/>
          <w:color w:val="auto"/>
          <w:lang w:val="en-US" w:eastAsia="zh-CN"/>
        </w:rPr>
        <w:t>3.4-19  底泥监测点位表</w:t>
      </w:r>
    </w:p>
    <w:tbl>
      <w:tblPr>
        <w:tblStyle w:val="36"/>
        <w:tblW w:w="8698"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235"/>
        <w:gridCol w:w="2924"/>
        <w:gridCol w:w="4539"/>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67" w:hRule="atLeast"/>
          <w:jc w:val="center"/>
        </w:trPr>
        <w:tc>
          <w:tcPr>
            <w:tcW w:w="1235" w:type="dxa"/>
            <w:noWrap w:val="0"/>
            <w:vAlign w:val="center"/>
          </w:tcPr>
          <w:p>
            <w:pPr>
              <w:pStyle w:val="113"/>
              <w:rPr>
                <w:rFonts w:hint="eastAsia"/>
                <w:b/>
                <w:bCs/>
                <w:color w:val="auto"/>
              </w:rPr>
            </w:pPr>
            <w:r>
              <w:rPr>
                <w:rFonts w:hint="eastAsia"/>
                <w:b/>
                <w:bCs/>
                <w:color w:val="auto"/>
              </w:rPr>
              <w:t>序号</w:t>
            </w:r>
          </w:p>
        </w:tc>
        <w:tc>
          <w:tcPr>
            <w:tcW w:w="2924" w:type="dxa"/>
            <w:noWrap w:val="0"/>
            <w:vAlign w:val="center"/>
          </w:tcPr>
          <w:p>
            <w:pPr>
              <w:pStyle w:val="113"/>
              <w:rPr>
                <w:rFonts w:hint="eastAsia"/>
                <w:b/>
                <w:bCs/>
                <w:color w:val="auto"/>
              </w:rPr>
            </w:pPr>
            <w:r>
              <w:rPr>
                <w:rFonts w:hint="eastAsia"/>
                <w:b/>
                <w:bCs/>
                <w:color w:val="auto"/>
              </w:rPr>
              <w:t>监测点位</w:t>
            </w:r>
          </w:p>
        </w:tc>
        <w:tc>
          <w:tcPr>
            <w:tcW w:w="4539" w:type="dxa"/>
            <w:noWrap w:val="0"/>
            <w:vAlign w:val="center"/>
          </w:tcPr>
          <w:p>
            <w:pPr>
              <w:pStyle w:val="113"/>
              <w:rPr>
                <w:rFonts w:hint="eastAsia"/>
                <w:b/>
                <w:bCs/>
                <w:color w:val="auto"/>
              </w:rPr>
            </w:pPr>
            <w:r>
              <w:rPr>
                <w:rFonts w:hint="eastAsia"/>
                <w:b/>
                <w:bCs/>
                <w:color w:val="auto"/>
              </w:rPr>
              <w:t>监测因子</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1235" w:type="dxa"/>
            <w:noWrap w:val="0"/>
            <w:vAlign w:val="center"/>
          </w:tcPr>
          <w:p>
            <w:pPr>
              <w:pStyle w:val="113"/>
              <w:rPr>
                <w:rFonts w:hint="eastAsia"/>
                <w:color w:val="auto"/>
              </w:rPr>
            </w:pPr>
            <w:r>
              <w:rPr>
                <w:rFonts w:hint="eastAsia"/>
                <w:color w:val="auto"/>
                <w:lang w:val="en-US" w:eastAsia="zh-CN"/>
              </w:rPr>
              <w:t>S</w:t>
            </w:r>
            <w:r>
              <w:rPr>
                <w:rFonts w:hint="eastAsia"/>
                <w:color w:val="auto"/>
              </w:rPr>
              <w:t>1</w:t>
            </w:r>
          </w:p>
        </w:tc>
        <w:tc>
          <w:tcPr>
            <w:tcW w:w="2924" w:type="dxa"/>
            <w:noWrap w:val="0"/>
            <w:vAlign w:val="center"/>
          </w:tcPr>
          <w:p>
            <w:pPr>
              <w:pStyle w:val="113"/>
              <w:rPr>
                <w:color w:val="auto"/>
              </w:rPr>
            </w:pPr>
            <w:r>
              <w:rPr>
                <w:rFonts w:hint="default"/>
                <w:color w:val="auto"/>
                <w:lang w:val="en-US" w:eastAsia="zh-CN"/>
              </w:rPr>
              <w:t>底泥现状监测点</w:t>
            </w:r>
          </w:p>
        </w:tc>
        <w:tc>
          <w:tcPr>
            <w:tcW w:w="4539" w:type="dxa"/>
            <w:noWrap w:val="0"/>
            <w:vAlign w:val="center"/>
          </w:tcPr>
          <w:p>
            <w:pPr>
              <w:pStyle w:val="113"/>
              <w:rPr>
                <w:color w:val="auto"/>
              </w:rPr>
            </w:pPr>
            <w:r>
              <w:rPr>
                <w:rFonts w:hint="eastAsia"/>
                <w:color w:val="auto"/>
              </w:rPr>
              <w:t>pH、铜、铅、镉、砷、汞、</w:t>
            </w:r>
            <w:r>
              <w:rPr>
                <w:rFonts w:hint="eastAsia"/>
                <w:color w:val="auto"/>
                <w:lang w:eastAsia="zh-CN"/>
              </w:rPr>
              <w:t>六价铬</w:t>
            </w:r>
            <w:r>
              <w:rPr>
                <w:rFonts w:hint="eastAsia"/>
                <w:color w:val="auto"/>
              </w:rPr>
              <w:t>、镍</w:t>
            </w:r>
          </w:p>
        </w:tc>
      </w:tr>
    </w:tbl>
    <w:p>
      <w:pPr>
        <w:bidi w:val="0"/>
        <w:rPr>
          <w:rFonts w:hint="eastAsia"/>
          <w:color w:val="auto"/>
        </w:rPr>
      </w:pPr>
      <w:r>
        <w:rPr>
          <w:rFonts w:hint="eastAsia"/>
          <w:color w:val="auto"/>
        </w:rPr>
        <w:t>监测数据结果见表</w:t>
      </w:r>
      <w:r>
        <w:rPr>
          <w:rFonts w:hint="eastAsia"/>
          <w:color w:val="auto"/>
          <w:lang w:val="en-US" w:eastAsia="zh-CN"/>
        </w:rPr>
        <w:t>3.4-20</w:t>
      </w:r>
      <w:r>
        <w:rPr>
          <w:rFonts w:hint="eastAsia"/>
          <w:color w:val="auto"/>
        </w:rPr>
        <w:t>。</w:t>
      </w:r>
    </w:p>
    <w:p>
      <w:pPr>
        <w:pStyle w:val="124"/>
        <w:bidi w:val="0"/>
        <w:rPr>
          <w:rFonts w:hint="default"/>
          <w:color w:val="auto"/>
          <w:lang w:val="en-US" w:eastAsia="zh-CN"/>
        </w:rPr>
      </w:pPr>
      <w:r>
        <w:rPr>
          <w:rFonts w:hint="eastAsia"/>
          <w:color w:val="auto"/>
          <w:lang w:eastAsia="zh-CN"/>
        </w:rPr>
        <w:t>表</w:t>
      </w:r>
      <w:r>
        <w:rPr>
          <w:rFonts w:hint="eastAsia"/>
          <w:color w:val="auto"/>
          <w:lang w:val="en-US" w:eastAsia="zh-CN"/>
        </w:rPr>
        <w:t>3.4-20  底泥现状监测结果</w:t>
      </w:r>
      <w:r>
        <w:rPr>
          <w:rFonts w:ascii="Times New Roman" w:hAnsi="仿宋" w:eastAsia="仿宋"/>
          <w:color w:val="auto"/>
          <w:sz w:val="21"/>
          <w:szCs w:val="21"/>
        </w:rPr>
        <w:t>（</w:t>
      </w:r>
      <w:r>
        <w:rPr>
          <w:rFonts w:ascii="Times New Roman" w:hAnsi="Times New Roman" w:eastAsia="仿宋"/>
          <w:color w:val="auto"/>
          <w:sz w:val="21"/>
          <w:szCs w:val="21"/>
        </w:rPr>
        <w:t>mg/kg</w:t>
      </w:r>
      <w:r>
        <w:rPr>
          <w:rFonts w:ascii="Times New Roman" w:hAnsi="仿宋" w:eastAsia="仿宋"/>
          <w:color w:val="auto"/>
          <w:sz w:val="21"/>
          <w:szCs w:val="21"/>
        </w:rPr>
        <w:t>）</w:t>
      </w:r>
    </w:p>
    <w:tbl>
      <w:tblPr>
        <w:tblStyle w:val="36"/>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64" w:type="dxa"/>
          <w:bottom w:w="0" w:type="dxa"/>
          <w:right w:w="51" w:type="dxa"/>
        </w:tblCellMar>
      </w:tblPr>
      <w:tblGrid>
        <w:gridCol w:w="2011"/>
        <w:gridCol w:w="2405"/>
        <w:gridCol w:w="1892"/>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55" w:hRule="atLeast"/>
          <w:jc w:val="center"/>
        </w:trPr>
        <w:tc>
          <w:tcPr>
            <w:tcW w:w="2011" w:type="dxa"/>
            <w:noWrap w:val="0"/>
            <w:vAlign w:val="center"/>
          </w:tcPr>
          <w:p>
            <w:pPr>
              <w:pStyle w:val="120"/>
              <w:bidi w:val="0"/>
              <w:rPr>
                <w:rFonts w:hint="default"/>
                <w:b/>
                <w:bCs/>
                <w:color w:val="auto"/>
              </w:rPr>
            </w:pPr>
            <w:r>
              <w:rPr>
                <w:rFonts w:hint="default"/>
                <w:b/>
                <w:bCs/>
                <w:color w:val="auto"/>
              </w:rPr>
              <w:t>检测日期</w:t>
            </w:r>
          </w:p>
        </w:tc>
        <w:tc>
          <w:tcPr>
            <w:tcW w:w="2405" w:type="dxa"/>
            <w:noWrap w:val="0"/>
            <w:vAlign w:val="center"/>
          </w:tcPr>
          <w:p>
            <w:pPr>
              <w:pStyle w:val="120"/>
              <w:bidi w:val="0"/>
              <w:rPr>
                <w:rFonts w:hint="default"/>
                <w:b/>
                <w:bCs/>
                <w:color w:val="auto"/>
              </w:rPr>
            </w:pPr>
            <w:r>
              <w:rPr>
                <w:rFonts w:hint="default"/>
                <w:b/>
                <w:bCs/>
                <w:color w:val="auto"/>
              </w:rPr>
              <w:t>点位名称</w:t>
            </w:r>
          </w:p>
        </w:tc>
        <w:tc>
          <w:tcPr>
            <w:tcW w:w="1892" w:type="dxa"/>
            <w:noWrap w:val="0"/>
            <w:vAlign w:val="center"/>
          </w:tcPr>
          <w:p>
            <w:pPr>
              <w:pStyle w:val="120"/>
              <w:bidi w:val="0"/>
              <w:rPr>
                <w:rFonts w:hint="default"/>
                <w:b/>
                <w:bCs/>
                <w:color w:val="auto"/>
              </w:rPr>
            </w:pPr>
            <w:r>
              <w:rPr>
                <w:rFonts w:hint="default"/>
                <w:b/>
                <w:bCs/>
                <w:color w:val="auto"/>
              </w:rPr>
              <w:t>检测项目</w:t>
            </w:r>
          </w:p>
        </w:tc>
        <w:tc>
          <w:tcPr>
            <w:tcW w:w="2831" w:type="dxa"/>
            <w:noWrap w:val="0"/>
            <w:vAlign w:val="center"/>
          </w:tcPr>
          <w:p>
            <w:pPr>
              <w:pStyle w:val="120"/>
              <w:bidi w:val="0"/>
              <w:rPr>
                <w:rFonts w:hint="default"/>
                <w:b/>
                <w:bCs/>
                <w:color w:val="auto"/>
              </w:rPr>
            </w:pPr>
            <w:r>
              <w:rPr>
                <w:rFonts w:hint="default"/>
                <w:b/>
                <w:bCs/>
                <w:color w:val="auto"/>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55" w:hRule="atLeast"/>
          <w:jc w:val="center"/>
        </w:trPr>
        <w:tc>
          <w:tcPr>
            <w:tcW w:w="2011" w:type="dxa"/>
            <w:vMerge w:val="restart"/>
            <w:noWrap w:val="0"/>
            <w:vAlign w:val="center"/>
          </w:tcPr>
          <w:p>
            <w:pPr>
              <w:pStyle w:val="120"/>
              <w:bidi w:val="0"/>
              <w:rPr>
                <w:rFonts w:hint="default"/>
                <w:color w:val="auto"/>
                <w:lang w:val="en-US" w:eastAsia="zh-CN"/>
              </w:rPr>
            </w:pPr>
            <w:r>
              <w:rPr>
                <w:rFonts w:hint="default"/>
                <w:color w:val="auto"/>
                <w:lang w:val="en-US" w:eastAsia="zh-CN"/>
              </w:rPr>
              <w:t>2021.</w:t>
            </w:r>
            <w:r>
              <w:rPr>
                <w:rFonts w:hint="eastAsia"/>
                <w:color w:val="auto"/>
                <w:lang w:val="en-US" w:eastAsia="zh-CN"/>
              </w:rPr>
              <w:t>10</w:t>
            </w:r>
            <w:r>
              <w:rPr>
                <w:rFonts w:hint="default"/>
                <w:color w:val="auto"/>
                <w:lang w:val="en-US" w:eastAsia="zh-CN"/>
              </w:rPr>
              <w:t>.</w:t>
            </w:r>
            <w:r>
              <w:rPr>
                <w:rFonts w:hint="eastAsia"/>
                <w:color w:val="auto"/>
                <w:lang w:val="en-US" w:eastAsia="zh-CN"/>
              </w:rPr>
              <w:t>14</w:t>
            </w:r>
          </w:p>
        </w:tc>
        <w:tc>
          <w:tcPr>
            <w:tcW w:w="2405" w:type="dxa"/>
            <w:vMerge w:val="restart"/>
            <w:noWrap w:val="0"/>
            <w:vAlign w:val="center"/>
          </w:tcPr>
          <w:p>
            <w:pPr>
              <w:pStyle w:val="120"/>
              <w:bidi w:val="0"/>
              <w:rPr>
                <w:rFonts w:hint="default"/>
                <w:color w:val="auto"/>
                <w:lang w:val="en-US"/>
              </w:rPr>
            </w:pPr>
            <w:r>
              <w:rPr>
                <w:rFonts w:hint="default"/>
                <w:color w:val="auto"/>
                <w:lang w:val="en-US" w:eastAsia="zh-CN"/>
              </w:rPr>
              <w:t>底泥现状监测点</w:t>
            </w:r>
          </w:p>
        </w:tc>
        <w:tc>
          <w:tcPr>
            <w:tcW w:w="1892" w:type="dxa"/>
            <w:noWrap w:val="0"/>
            <w:vAlign w:val="center"/>
          </w:tcPr>
          <w:p>
            <w:pPr>
              <w:pStyle w:val="120"/>
              <w:bidi w:val="0"/>
              <w:rPr>
                <w:rFonts w:hint="default"/>
                <w:color w:val="auto"/>
              </w:rPr>
            </w:pPr>
            <w:r>
              <w:rPr>
                <w:rFonts w:hint="default"/>
                <w:color w:val="auto"/>
                <w:lang w:val="en-US" w:eastAsia="zh-CN"/>
              </w:rPr>
              <w:t>pH</w:t>
            </w:r>
          </w:p>
        </w:tc>
        <w:tc>
          <w:tcPr>
            <w:tcW w:w="2831" w:type="dxa"/>
            <w:noWrap w:val="0"/>
            <w:vAlign w:val="center"/>
          </w:tcPr>
          <w:p>
            <w:pPr>
              <w:pStyle w:val="120"/>
              <w:bidi w:val="0"/>
              <w:rPr>
                <w:rFonts w:hint="default"/>
                <w:color w:val="auto"/>
              </w:rPr>
            </w:pPr>
            <w:r>
              <w:rPr>
                <w:rFonts w:hint="eastAsia"/>
                <w:color w:val="auto"/>
                <w:lang w:val="en-US" w:eastAsia="zh-CN"/>
              </w:rPr>
              <w:t>5.94（无量纲）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55" w:hRule="atLeast"/>
          <w:jc w:val="center"/>
        </w:trPr>
        <w:tc>
          <w:tcPr>
            <w:tcW w:w="2011" w:type="dxa"/>
            <w:vMerge w:val="continue"/>
            <w:noWrap w:val="0"/>
            <w:vAlign w:val="center"/>
          </w:tcPr>
          <w:p>
            <w:pPr>
              <w:pStyle w:val="120"/>
              <w:bidi w:val="0"/>
              <w:rPr>
                <w:rFonts w:hint="default"/>
                <w:color w:val="auto"/>
              </w:rPr>
            </w:pPr>
          </w:p>
        </w:tc>
        <w:tc>
          <w:tcPr>
            <w:tcW w:w="2405" w:type="dxa"/>
            <w:vMerge w:val="continue"/>
            <w:noWrap w:val="0"/>
            <w:vAlign w:val="center"/>
          </w:tcPr>
          <w:p>
            <w:pPr>
              <w:pStyle w:val="120"/>
              <w:bidi w:val="0"/>
              <w:rPr>
                <w:rFonts w:hint="default"/>
                <w:color w:val="auto"/>
              </w:rPr>
            </w:pPr>
          </w:p>
        </w:tc>
        <w:tc>
          <w:tcPr>
            <w:tcW w:w="1892" w:type="dxa"/>
            <w:noWrap w:val="0"/>
            <w:vAlign w:val="center"/>
          </w:tcPr>
          <w:p>
            <w:pPr>
              <w:pStyle w:val="120"/>
              <w:bidi w:val="0"/>
              <w:rPr>
                <w:rFonts w:hint="default"/>
                <w:color w:val="auto"/>
              </w:rPr>
            </w:pPr>
            <w:r>
              <w:rPr>
                <w:rFonts w:hint="default"/>
                <w:color w:val="auto"/>
              </w:rPr>
              <w:t>铜</w:t>
            </w:r>
          </w:p>
        </w:tc>
        <w:tc>
          <w:tcPr>
            <w:tcW w:w="2831" w:type="dxa"/>
            <w:noWrap w:val="0"/>
            <w:vAlign w:val="center"/>
          </w:tcPr>
          <w:p>
            <w:pPr>
              <w:pStyle w:val="120"/>
              <w:bidi w:val="0"/>
              <w:rPr>
                <w:rFonts w:hint="default"/>
                <w:color w:val="auto"/>
                <w:lang w:val="en-US" w:eastAsia="zh-CN"/>
              </w:rPr>
            </w:pPr>
            <w:r>
              <w:rPr>
                <w:rFonts w:hint="eastAsia"/>
                <w:color w:val="auto"/>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55" w:hRule="atLeast"/>
          <w:jc w:val="center"/>
        </w:trPr>
        <w:tc>
          <w:tcPr>
            <w:tcW w:w="2011" w:type="dxa"/>
            <w:vMerge w:val="continue"/>
            <w:noWrap w:val="0"/>
            <w:vAlign w:val="center"/>
          </w:tcPr>
          <w:p>
            <w:pPr>
              <w:pStyle w:val="120"/>
              <w:bidi w:val="0"/>
              <w:rPr>
                <w:rFonts w:hint="default"/>
                <w:color w:val="auto"/>
              </w:rPr>
            </w:pPr>
          </w:p>
        </w:tc>
        <w:tc>
          <w:tcPr>
            <w:tcW w:w="2405" w:type="dxa"/>
            <w:vMerge w:val="continue"/>
            <w:noWrap w:val="0"/>
            <w:vAlign w:val="center"/>
          </w:tcPr>
          <w:p>
            <w:pPr>
              <w:pStyle w:val="120"/>
              <w:bidi w:val="0"/>
              <w:rPr>
                <w:rFonts w:hint="default"/>
                <w:color w:val="auto"/>
              </w:rPr>
            </w:pPr>
          </w:p>
        </w:tc>
        <w:tc>
          <w:tcPr>
            <w:tcW w:w="1892" w:type="dxa"/>
            <w:noWrap w:val="0"/>
            <w:vAlign w:val="center"/>
          </w:tcPr>
          <w:p>
            <w:pPr>
              <w:pStyle w:val="120"/>
              <w:bidi w:val="0"/>
              <w:rPr>
                <w:rFonts w:hint="default"/>
                <w:color w:val="auto"/>
              </w:rPr>
            </w:pPr>
            <w:r>
              <w:rPr>
                <w:rFonts w:hint="default"/>
                <w:color w:val="auto"/>
              </w:rPr>
              <w:t>铅</w:t>
            </w:r>
          </w:p>
        </w:tc>
        <w:tc>
          <w:tcPr>
            <w:tcW w:w="2831" w:type="dxa"/>
            <w:noWrap w:val="0"/>
            <w:vAlign w:val="center"/>
          </w:tcPr>
          <w:p>
            <w:pPr>
              <w:pStyle w:val="120"/>
              <w:bidi w:val="0"/>
              <w:rPr>
                <w:rFonts w:hint="default"/>
                <w:color w:val="auto"/>
                <w:lang w:val="en-US" w:eastAsia="zh-CN"/>
              </w:rPr>
            </w:pPr>
            <w:r>
              <w:rPr>
                <w:rFonts w:hint="eastAsia"/>
                <w:color w:val="auto"/>
                <w:lang w:val="en-US" w:eastAsia="zh-CN"/>
              </w:rPr>
              <w:t>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55" w:hRule="atLeast"/>
          <w:jc w:val="center"/>
        </w:trPr>
        <w:tc>
          <w:tcPr>
            <w:tcW w:w="2011" w:type="dxa"/>
            <w:vMerge w:val="continue"/>
            <w:noWrap w:val="0"/>
            <w:vAlign w:val="center"/>
          </w:tcPr>
          <w:p>
            <w:pPr>
              <w:pStyle w:val="120"/>
              <w:bidi w:val="0"/>
              <w:rPr>
                <w:rFonts w:hint="default"/>
                <w:color w:val="auto"/>
              </w:rPr>
            </w:pPr>
          </w:p>
        </w:tc>
        <w:tc>
          <w:tcPr>
            <w:tcW w:w="2405" w:type="dxa"/>
            <w:vMerge w:val="continue"/>
            <w:noWrap w:val="0"/>
            <w:vAlign w:val="center"/>
          </w:tcPr>
          <w:p>
            <w:pPr>
              <w:pStyle w:val="120"/>
              <w:bidi w:val="0"/>
              <w:rPr>
                <w:rFonts w:hint="default"/>
                <w:color w:val="auto"/>
              </w:rPr>
            </w:pPr>
          </w:p>
        </w:tc>
        <w:tc>
          <w:tcPr>
            <w:tcW w:w="1892" w:type="dxa"/>
            <w:noWrap w:val="0"/>
            <w:vAlign w:val="center"/>
          </w:tcPr>
          <w:p>
            <w:pPr>
              <w:pStyle w:val="120"/>
              <w:bidi w:val="0"/>
              <w:rPr>
                <w:rFonts w:hint="default"/>
                <w:color w:val="auto"/>
              </w:rPr>
            </w:pPr>
            <w:r>
              <w:rPr>
                <w:rFonts w:hint="default"/>
                <w:color w:val="auto"/>
                <w:lang w:eastAsia="zh-CN"/>
              </w:rPr>
              <w:t>镉</w:t>
            </w:r>
          </w:p>
        </w:tc>
        <w:tc>
          <w:tcPr>
            <w:tcW w:w="2831" w:type="dxa"/>
            <w:noWrap w:val="0"/>
            <w:vAlign w:val="center"/>
          </w:tcPr>
          <w:p>
            <w:pPr>
              <w:pStyle w:val="120"/>
              <w:bidi w:val="0"/>
              <w:rPr>
                <w:rFonts w:hint="default"/>
                <w:color w:val="auto"/>
                <w:lang w:val="en-US" w:eastAsia="zh-CN"/>
              </w:rPr>
            </w:pPr>
            <w:r>
              <w:rPr>
                <w:rFonts w:hint="eastAsia"/>
                <w:color w:val="auto"/>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55" w:hRule="atLeast"/>
          <w:jc w:val="center"/>
        </w:trPr>
        <w:tc>
          <w:tcPr>
            <w:tcW w:w="2011" w:type="dxa"/>
            <w:vMerge w:val="continue"/>
            <w:noWrap w:val="0"/>
            <w:vAlign w:val="center"/>
          </w:tcPr>
          <w:p>
            <w:pPr>
              <w:pStyle w:val="120"/>
              <w:bidi w:val="0"/>
              <w:rPr>
                <w:rFonts w:hint="default"/>
                <w:color w:val="auto"/>
              </w:rPr>
            </w:pPr>
          </w:p>
        </w:tc>
        <w:tc>
          <w:tcPr>
            <w:tcW w:w="2405" w:type="dxa"/>
            <w:vMerge w:val="continue"/>
            <w:noWrap w:val="0"/>
            <w:vAlign w:val="center"/>
          </w:tcPr>
          <w:p>
            <w:pPr>
              <w:pStyle w:val="120"/>
              <w:bidi w:val="0"/>
              <w:rPr>
                <w:rFonts w:hint="default"/>
                <w:color w:val="auto"/>
              </w:rPr>
            </w:pPr>
          </w:p>
        </w:tc>
        <w:tc>
          <w:tcPr>
            <w:tcW w:w="1892" w:type="dxa"/>
            <w:noWrap w:val="0"/>
            <w:vAlign w:val="center"/>
          </w:tcPr>
          <w:p>
            <w:pPr>
              <w:pStyle w:val="120"/>
              <w:bidi w:val="0"/>
              <w:rPr>
                <w:rFonts w:hint="default"/>
                <w:color w:val="auto"/>
              </w:rPr>
            </w:pPr>
            <w:r>
              <w:rPr>
                <w:rFonts w:hint="default"/>
                <w:color w:val="auto"/>
                <w:lang w:eastAsia="zh-CN"/>
              </w:rPr>
              <w:t>砷</w:t>
            </w:r>
          </w:p>
        </w:tc>
        <w:tc>
          <w:tcPr>
            <w:tcW w:w="2831" w:type="dxa"/>
            <w:noWrap w:val="0"/>
            <w:vAlign w:val="center"/>
          </w:tcPr>
          <w:p>
            <w:pPr>
              <w:pStyle w:val="120"/>
              <w:bidi w:val="0"/>
              <w:rPr>
                <w:rFonts w:hint="default"/>
                <w:color w:val="auto"/>
                <w:lang w:val="en-US" w:eastAsia="zh-CN"/>
              </w:rPr>
            </w:pPr>
            <w:r>
              <w:rPr>
                <w:rFonts w:hint="eastAsia"/>
                <w:color w:val="auto"/>
                <w:lang w:val="en-US" w:eastAsia="zh-CN"/>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55" w:hRule="atLeast"/>
          <w:jc w:val="center"/>
        </w:trPr>
        <w:tc>
          <w:tcPr>
            <w:tcW w:w="2011" w:type="dxa"/>
            <w:vMerge w:val="continue"/>
            <w:noWrap w:val="0"/>
            <w:vAlign w:val="center"/>
          </w:tcPr>
          <w:p>
            <w:pPr>
              <w:pStyle w:val="120"/>
              <w:bidi w:val="0"/>
              <w:rPr>
                <w:rFonts w:hint="default"/>
                <w:color w:val="auto"/>
              </w:rPr>
            </w:pPr>
          </w:p>
        </w:tc>
        <w:tc>
          <w:tcPr>
            <w:tcW w:w="2405" w:type="dxa"/>
            <w:vMerge w:val="continue"/>
            <w:noWrap w:val="0"/>
            <w:vAlign w:val="center"/>
          </w:tcPr>
          <w:p>
            <w:pPr>
              <w:pStyle w:val="120"/>
              <w:bidi w:val="0"/>
              <w:rPr>
                <w:rFonts w:hint="default"/>
                <w:color w:val="auto"/>
              </w:rPr>
            </w:pPr>
          </w:p>
        </w:tc>
        <w:tc>
          <w:tcPr>
            <w:tcW w:w="1892" w:type="dxa"/>
            <w:noWrap w:val="0"/>
            <w:vAlign w:val="center"/>
          </w:tcPr>
          <w:p>
            <w:pPr>
              <w:pStyle w:val="120"/>
              <w:bidi w:val="0"/>
              <w:rPr>
                <w:rFonts w:hint="eastAsia" w:eastAsia="宋体"/>
                <w:color w:val="auto"/>
                <w:lang w:eastAsia="zh-CN"/>
              </w:rPr>
            </w:pPr>
            <w:r>
              <w:rPr>
                <w:rFonts w:hint="eastAsia"/>
                <w:color w:val="auto"/>
                <w:sz w:val="21"/>
                <w:szCs w:val="21"/>
                <w:lang w:eastAsia="zh-CN"/>
              </w:rPr>
              <w:t>六价铬</w:t>
            </w:r>
          </w:p>
        </w:tc>
        <w:tc>
          <w:tcPr>
            <w:tcW w:w="2831" w:type="dxa"/>
            <w:noWrap w:val="0"/>
            <w:vAlign w:val="center"/>
          </w:tcPr>
          <w:p>
            <w:pPr>
              <w:pStyle w:val="120"/>
              <w:bidi w:val="0"/>
              <w:rPr>
                <w:rFonts w:hint="default"/>
                <w:color w:val="auto"/>
                <w:lang w:val="en-US" w:eastAsia="zh-CN"/>
              </w:rPr>
            </w:pPr>
            <w:r>
              <w:rPr>
                <w:rFonts w:hint="eastAsia"/>
                <w:color w:val="auto"/>
                <w:lang w:val="en-US" w:eastAsia="zh-CN"/>
              </w:rPr>
              <w:t>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55" w:hRule="atLeast"/>
          <w:jc w:val="center"/>
        </w:trPr>
        <w:tc>
          <w:tcPr>
            <w:tcW w:w="2011" w:type="dxa"/>
            <w:vMerge w:val="continue"/>
            <w:noWrap w:val="0"/>
            <w:vAlign w:val="center"/>
          </w:tcPr>
          <w:p>
            <w:pPr>
              <w:pStyle w:val="120"/>
              <w:bidi w:val="0"/>
              <w:rPr>
                <w:rFonts w:hint="default"/>
                <w:color w:val="auto"/>
              </w:rPr>
            </w:pPr>
          </w:p>
        </w:tc>
        <w:tc>
          <w:tcPr>
            <w:tcW w:w="2405" w:type="dxa"/>
            <w:vMerge w:val="continue"/>
            <w:noWrap w:val="0"/>
            <w:vAlign w:val="center"/>
          </w:tcPr>
          <w:p>
            <w:pPr>
              <w:pStyle w:val="120"/>
              <w:bidi w:val="0"/>
              <w:rPr>
                <w:rFonts w:hint="default"/>
                <w:color w:val="auto"/>
              </w:rPr>
            </w:pPr>
          </w:p>
        </w:tc>
        <w:tc>
          <w:tcPr>
            <w:tcW w:w="1892" w:type="dxa"/>
            <w:noWrap w:val="0"/>
            <w:vAlign w:val="center"/>
          </w:tcPr>
          <w:p>
            <w:pPr>
              <w:pStyle w:val="120"/>
              <w:bidi w:val="0"/>
              <w:rPr>
                <w:rFonts w:hint="default"/>
                <w:color w:val="auto"/>
              </w:rPr>
            </w:pPr>
            <w:r>
              <w:rPr>
                <w:rFonts w:hint="default"/>
                <w:color w:val="auto"/>
                <w:lang w:val="en-US" w:eastAsia="zh-CN"/>
              </w:rPr>
              <w:t>镍</w:t>
            </w:r>
          </w:p>
        </w:tc>
        <w:tc>
          <w:tcPr>
            <w:tcW w:w="2831" w:type="dxa"/>
            <w:noWrap w:val="0"/>
            <w:vAlign w:val="center"/>
          </w:tcPr>
          <w:p>
            <w:pPr>
              <w:pStyle w:val="120"/>
              <w:bidi w:val="0"/>
              <w:rPr>
                <w:rFonts w:hint="default"/>
                <w:color w:val="auto"/>
                <w:lang w:val="en-US" w:eastAsia="zh-CN"/>
              </w:rPr>
            </w:pPr>
            <w:r>
              <w:rPr>
                <w:rFonts w:hint="eastAsia"/>
                <w:color w:val="auto"/>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64" w:type="dxa"/>
            <w:bottom w:w="0" w:type="dxa"/>
            <w:right w:w="51" w:type="dxa"/>
          </w:tblCellMar>
        </w:tblPrEx>
        <w:trPr>
          <w:cantSplit/>
          <w:trHeight w:val="376" w:hRule="atLeast"/>
          <w:jc w:val="center"/>
        </w:trPr>
        <w:tc>
          <w:tcPr>
            <w:tcW w:w="2011" w:type="dxa"/>
            <w:vMerge w:val="continue"/>
            <w:noWrap w:val="0"/>
            <w:vAlign w:val="center"/>
          </w:tcPr>
          <w:p>
            <w:pPr>
              <w:pStyle w:val="120"/>
              <w:bidi w:val="0"/>
              <w:rPr>
                <w:rFonts w:hint="default"/>
                <w:color w:val="auto"/>
              </w:rPr>
            </w:pPr>
          </w:p>
        </w:tc>
        <w:tc>
          <w:tcPr>
            <w:tcW w:w="2405" w:type="dxa"/>
            <w:vMerge w:val="continue"/>
            <w:noWrap w:val="0"/>
            <w:vAlign w:val="center"/>
          </w:tcPr>
          <w:p>
            <w:pPr>
              <w:pStyle w:val="120"/>
              <w:bidi w:val="0"/>
              <w:rPr>
                <w:rFonts w:hint="default"/>
                <w:color w:val="auto"/>
              </w:rPr>
            </w:pPr>
          </w:p>
        </w:tc>
        <w:tc>
          <w:tcPr>
            <w:tcW w:w="1892" w:type="dxa"/>
            <w:noWrap w:val="0"/>
            <w:vAlign w:val="center"/>
          </w:tcPr>
          <w:p>
            <w:pPr>
              <w:pStyle w:val="120"/>
              <w:bidi w:val="0"/>
              <w:rPr>
                <w:rFonts w:hint="default"/>
                <w:color w:val="auto"/>
              </w:rPr>
            </w:pPr>
            <w:r>
              <w:rPr>
                <w:rFonts w:hint="default"/>
                <w:color w:val="auto"/>
                <w:lang w:val="en-US" w:eastAsia="zh-CN"/>
              </w:rPr>
              <w:t>汞</w:t>
            </w:r>
          </w:p>
        </w:tc>
        <w:tc>
          <w:tcPr>
            <w:tcW w:w="2831" w:type="dxa"/>
            <w:noWrap w:val="0"/>
            <w:vAlign w:val="center"/>
          </w:tcPr>
          <w:p>
            <w:pPr>
              <w:pStyle w:val="120"/>
              <w:bidi w:val="0"/>
              <w:rPr>
                <w:rFonts w:hint="default"/>
                <w:color w:val="auto"/>
                <w:lang w:val="en-US" w:eastAsia="zh-CN"/>
              </w:rPr>
            </w:pPr>
            <w:r>
              <w:rPr>
                <w:rFonts w:hint="eastAsia"/>
                <w:color w:val="auto"/>
                <w:lang w:val="en-US" w:eastAsia="zh-CN"/>
              </w:rPr>
              <w:t>0.235</w:t>
            </w:r>
          </w:p>
        </w:tc>
      </w:tr>
    </w:tbl>
    <w:p>
      <w:pPr>
        <w:jc w:val="both"/>
        <w:rPr>
          <w:rFonts w:hint="default"/>
          <w:color w:val="auto"/>
          <w:lang w:val="en-US" w:eastAsia="zh-CN"/>
        </w:rPr>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26" w:charSpace="0"/>
        </w:sectPr>
      </w:pPr>
      <w:r>
        <w:rPr>
          <w:rFonts w:hint="eastAsia"/>
          <w:color w:val="auto"/>
          <w:sz w:val="24"/>
          <w:szCs w:val="24"/>
          <w:lang w:eastAsia="zh-CN"/>
        </w:rPr>
        <w:t>本项目底泥现状监测作为背景值，不进行评价</w:t>
      </w:r>
      <w:r>
        <w:rPr>
          <w:color w:val="auto"/>
          <w:sz w:val="24"/>
          <w:szCs w:val="24"/>
        </w:rPr>
        <w:t>。</w:t>
      </w:r>
    </w:p>
    <w:p>
      <w:pPr>
        <w:pStyle w:val="4"/>
        <w:ind w:firstLine="643"/>
        <w:rPr>
          <w:rFonts w:hint="eastAsia"/>
          <w:color w:val="auto"/>
          <w:u w:val="none"/>
        </w:rPr>
      </w:pPr>
      <w:bookmarkStart w:id="232" w:name="_Toc23745"/>
      <w:r>
        <w:rPr>
          <w:rFonts w:hint="eastAsia"/>
          <w:color w:val="auto"/>
          <w:u w:val="none"/>
        </w:rPr>
        <w:t>第4章 环境影响预测与评价</w:t>
      </w:r>
      <w:bookmarkEnd w:id="232"/>
    </w:p>
    <w:p>
      <w:pPr>
        <w:pStyle w:val="76"/>
        <w:spacing w:before="163" w:after="163"/>
        <w:rPr>
          <w:rFonts w:hint="eastAsia"/>
          <w:color w:val="auto"/>
          <w:u w:val="none"/>
        </w:rPr>
      </w:pPr>
      <w:bookmarkStart w:id="233" w:name="_Toc5612"/>
      <w:r>
        <w:rPr>
          <w:rFonts w:hint="eastAsia"/>
          <w:color w:val="auto"/>
          <w:u w:val="none"/>
        </w:rPr>
        <w:t>4.1施工期环境影响分析评价</w:t>
      </w:r>
      <w:bookmarkEnd w:id="233"/>
    </w:p>
    <w:p>
      <w:pPr>
        <w:pStyle w:val="6"/>
        <w:bidi w:val="0"/>
        <w:rPr>
          <w:rFonts w:hint="eastAsia"/>
        </w:rPr>
      </w:pPr>
      <w:r>
        <w:rPr>
          <w:rFonts w:hint="eastAsia"/>
        </w:rPr>
        <w:t>4.1.1施工期大气环境影响分析</w:t>
      </w:r>
    </w:p>
    <w:p>
      <w:pPr>
        <w:bidi w:val="0"/>
        <w:rPr>
          <w:rFonts w:hint="eastAsia"/>
        </w:rPr>
      </w:pPr>
      <w:r>
        <w:rPr>
          <w:rFonts w:hint="eastAsia"/>
          <w:color w:val="auto"/>
          <w:kern w:val="0"/>
          <w:u w:val="single"/>
          <w:lang w:eastAsia="zh-CN"/>
        </w:rPr>
        <w:t>本项目分两期建设，一期工程包含污水处理厂建设及污水管网建设，二期工程仅增加</w:t>
      </w:r>
      <w:r>
        <w:rPr>
          <w:rFonts w:hint="eastAsia"/>
          <w:color w:val="auto"/>
          <w:kern w:val="0"/>
          <w:u w:val="single"/>
          <w:lang w:val="en-US" w:eastAsia="zh-CN"/>
        </w:rPr>
        <w:t>3套MBR一体化设备，且一期工程已预留二期设备基台，故本环评主要针对一期工程大气环境影响进行分析。</w:t>
      </w:r>
    </w:p>
    <w:p>
      <w:pPr>
        <w:pStyle w:val="69"/>
        <w:rPr>
          <w:rFonts w:hint="eastAsia"/>
          <w:color w:val="auto"/>
          <w:u w:val="none"/>
        </w:rPr>
      </w:pPr>
      <w:r>
        <w:rPr>
          <w:rFonts w:hint="eastAsia"/>
          <w:color w:val="auto"/>
          <w:u w:val="none"/>
        </w:rPr>
        <w:t>4.1.1.1污水处理厂建设工程大气环境影响分析</w:t>
      </w:r>
    </w:p>
    <w:p>
      <w:pPr>
        <w:ind w:firstLine="480"/>
        <w:jc w:val="both"/>
        <w:rPr>
          <w:color w:val="auto"/>
          <w:kern w:val="0"/>
          <w:u w:val="none"/>
        </w:rPr>
      </w:pPr>
      <w:r>
        <w:rPr>
          <w:rFonts w:hint="eastAsia"/>
          <w:color w:val="auto"/>
          <w:kern w:val="0"/>
          <w:u w:val="single"/>
        </w:rPr>
        <w:t>污水处理厂建设过程中所产生的大气污染主要是机械和运输车辆尾气；基础施工开挖、建筑材料、车辆运输装卸及裸露地面因风蚀而产生的扬尘以及机械运转和车辆运行的汽车尾气</w:t>
      </w:r>
      <w:r>
        <w:rPr>
          <w:rFonts w:hint="eastAsia"/>
          <w:color w:val="auto"/>
          <w:kern w:val="0"/>
          <w:u w:val="single"/>
          <w:lang w:eastAsia="zh-CN"/>
        </w:rPr>
        <w:t>，</w:t>
      </w:r>
      <w:r>
        <w:rPr>
          <w:rFonts w:hint="eastAsia"/>
          <w:color w:val="auto"/>
          <w:kern w:val="0"/>
          <w:u w:val="single"/>
          <w:lang w:val="en-US" w:eastAsia="zh-CN"/>
        </w:rPr>
        <w:t>项目施工期工作人员不在场内食宿，依靠园区管委会，故不产生食堂油烟</w:t>
      </w:r>
      <w:r>
        <w:rPr>
          <w:rFonts w:hint="eastAsia"/>
          <w:color w:val="auto"/>
          <w:kern w:val="0"/>
          <w:u w:val="single"/>
        </w:rPr>
        <w:t>。</w:t>
      </w:r>
    </w:p>
    <w:p>
      <w:pPr>
        <w:ind w:firstLine="480"/>
        <w:rPr>
          <w:rFonts w:hint="eastAsia"/>
          <w:color w:val="auto"/>
          <w:kern w:val="0"/>
          <w:u w:val="none"/>
        </w:rPr>
      </w:pPr>
      <w:r>
        <w:rPr>
          <w:rFonts w:hint="eastAsia"/>
          <w:color w:val="auto"/>
          <w:kern w:val="0"/>
          <w:u w:val="none"/>
        </w:rPr>
        <w:t>（1）扬尘</w:t>
      </w:r>
    </w:p>
    <w:p>
      <w:pPr>
        <w:ind w:firstLine="480"/>
        <w:rPr>
          <w:color w:val="auto"/>
          <w:kern w:val="0"/>
          <w:u w:val="none"/>
        </w:rPr>
      </w:pPr>
      <w:r>
        <w:rPr>
          <w:rFonts w:hint="eastAsia"/>
          <w:color w:val="auto"/>
          <w:kern w:val="0"/>
          <w:u w:val="none"/>
        </w:rPr>
        <w:t>在整个建筑施工阶段，整地、挖土、建材的运输和装卸等施工作业过程都会产生扬尘。施工扬尘会对周围环境带来一定影响。</w:t>
      </w:r>
    </w:p>
    <w:p>
      <w:pPr>
        <w:ind w:firstLine="480"/>
        <w:rPr>
          <w:color w:val="auto"/>
          <w:kern w:val="0"/>
          <w:u w:val="none"/>
        </w:rPr>
      </w:pPr>
      <w:r>
        <w:rPr>
          <w:rFonts w:hint="eastAsia"/>
          <w:color w:val="auto"/>
          <w:kern w:val="0"/>
          <w:u w:val="none"/>
        </w:rPr>
        <w:t>按起尘的原因可分为风力起尘和动力起尘。其中风力起尘主要是由于露天堆放的建材（如黄沙、水泥等）及裸露的施工区表层浮尘，由于天气干燥及大风，产生风力扬尘；而动力起尘，主要是建材的装卸的过程中，由于外力而产生的尘粒再悬浮而造成，其中施工及装卸车辆造成的扬尘最为严重。</w:t>
      </w:r>
    </w:p>
    <w:p>
      <w:pPr>
        <w:ind w:firstLine="480"/>
        <w:rPr>
          <w:color w:val="auto"/>
          <w:kern w:val="0"/>
          <w:u w:val="none"/>
        </w:rPr>
      </w:pPr>
      <w:r>
        <w:rPr>
          <w:rFonts w:hint="eastAsia"/>
          <w:color w:val="auto"/>
          <w:kern w:val="0"/>
          <w:u w:val="none"/>
        </w:rPr>
        <w:t>据有关文献报道，车辆行驶产生的扬尘占总扬尘的60%以上，车辆行驶产生的扬尘，在尘土完全干燥的情况下，可按下列经验公式计算：</w:t>
      </w:r>
    </w:p>
    <w:p>
      <w:pPr>
        <w:ind w:firstLine="480"/>
        <w:jc w:val="center"/>
        <w:rPr>
          <w:b/>
          <w:color w:val="auto"/>
          <w:kern w:val="0"/>
          <w:u w:val="none"/>
        </w:rPr>
      </w:pPr>
      <w:r>
        <w:rPr>
          <w:color w:val="auto"/>
          <w:kern w:val="0"/>
          <w:u w:val="none"/>
        </w:rPr>
        <w:t>Q=0.123</w:t>
      </w:r>
      <w:r>
        <w:rPr>
          <w:b/>
          <w:color w:val="auto"/>
          <w:kern w:val="0"/>
          <w:u w:val="none"/>
        </w:rPr>
        <w:fldChar w:fldCharType="begin"/>
      </w:r>
      <w:r>
        <w:rPr>
          <w:b/>
          <w:color w:val="auto"/>
          <w:kern w:val="0"/>
          <w:u w:val="none"/>
        </w:rPr>
        <w:instrText xml:space="preserve"> QUOTE </w:instrText>
      </w:r>
      <w:r>
        <w:rPr>
          <w:b/>
          <w:color w:val="auto"/>
          <w:kern w:val="0"/>
          <w:position w:val="-24"/>
          <w:u w:val="none"/>
        </w:rPr>
        <w:pict>
          <v:shape id="_x0000_i1029" o:spt="75" type="#_x0000_t75" style="height:32.25pt;width:98.2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bordersDontSurroundHeader/&gt;&lt;w:bordersDontSurroundFooter/&gt;&lt;w:hideSpellingErrors/&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F1E8F&quot;/&gt;&lt;wsp:rsid wsp:val=&quot;000021AE&quot;/&gt;&lt;wsp:rsid wsp:val=&quot;000048C2&quot;/&gt;&lt;wsp:rsid wsp:val=&quot;00010EA7&quot;/&gt;&lt;wsp:rsid wsp:val=&quot;00012DDD&quot;/&gt;&lt;wsp:rsid wsp:val=&quot;0001676A&quot;/&gt;&lt;wsp:rsid wsp:val=&quot;00017736&quot;/&gt;&lt;wsp:rsid wsp:val=&quot;000201FA&quot;/&gt;&lt;wsp:rsid wsp:val=&quot;00025940&quot;/&gt;&lt;wsp:rsid wsp:val=&quot;000310AD&quot;/&gt;&lt;wsp:rsid wsp:val=&quot;000421EA&quot;/&gt;&lt;wsp:rsid wsp:val=&quot;00047AA6&quot;/&gt;&lt;wsp:rsid wsp:val=&quot;00053582&quot;/&gt;&lt;wsp:rsid wsp:val=&quot;00066D5E&quot;/&gt;&lt;wsp:rsid wsp:val=&quot;00084365&quot;/&gt;&lt;wsp:rsid wsp:val=&quot;000873D5&quot;/&gt;&lt;wsp:rsid wsp:val=&quot;0009606C&quot;/&gt;&lt;wsp:rsid wsp:val=&quot;00097D52&quot;/&gt;&lt;wsp:rsid wsp:val=&quot;000B0780&quot;/&gt;&lt;wsp:rsid wsp:val=&quot;000B3D5E&quot;/&gt;&lt;wsp:rsid wsp:val=&quot;000B48B6&quot;/&gt;&lt;wsp:rsid wsp:val=&quot;000C0B2A&quot;/&gt;&lt;wsp:rsid wsp:val=&quot;000C3086&quot;/&gt;&lt;wsp:rsid wsp:val=&quot;000D1BFF&quot;/&gt;&lt;wsp:rsid wsp:val=&quot;000E5D27&quot;/&gt;&lt;wsp:rsid wsp:val=&quot;000F1B43&quot;/&gt;&lt;wsp:rsid wsp:val=&quot;000F46A9&quot;/&gt;&lt;wsp:rsid wsp:val=&quot;00100D94&quot;/&gt;&lt;wsp:rsid wsp:val=&quot;00110F1B&quot;/&gt;&lt;wsp:rsid wsp:val=&quot;001236B1&quot;/&gt;&lt;wsp:rsid wsp:val=&quot;0013497C&quot;/&gt;&lt;wsp:rsid wsp:val=&quot;00145B17&quot;/&gt;&lt;wsp:rsid wsp:val=&quot;00160674&quot;/&gt;&lt;wsp:rsid wsp:val=&quot;00161A06&quot;/&gt;&lt;wsp:rsid wsp:val=&quot;00173EB3&quot;/&gt;&lt;wsp:rsid wsp:val=&quot;00183486&quot;/&gt;&lt;wsp:rsid wsp:val=&quot;001975FC&quot;/&gt;&lt;wsp:rsid wsp:val=&quot;00197A60&quot;/&gt;&lt;wsp:rsid wsp:val=&quot;00197A70&quot;/&gt;&lt;wsp:rsid wsp:val=&quot;001A3251&quot;/&gt;&lt;wsp:rsid wsp:val=&quot;001A7132&quot;/&gt;&lt;wsp:rsid wsp:val=&quot;001B4DEA&quot;/&gt;&lt;wsp:rsid wsp:val=&quot;001B678E&quot;/&gt;&lt;wsp:rsid wsp:val=&quot;001D3FA0&quot;/&gt;&lt;wsp:rsid wsp:val=&quot;001D4C98&quot;/&gt;&lt;wsp:rsid wsp:val=&quot;001D60F6&quot;/&gt;&lt;wsp:rsid wsp:val=&quot;001E278D&quot;/&gt;&lt;wsp:rsid wsp:val=&quot;001E69F8&quot;/&gt;&lt;wsp:rsid wsp:val=&quot;00207F67&quot;/&gt;&lt;wsp:rsid wsp:val=&quot;002164AD&quot;/&gt;&lt;wsp:rsid wsp:val=&quot;00216B1A&quot;/&gt;&lt;wsp:rsid wsp:val=&quot;00233235&quot;/&gt;&lt;wsp:rsid wsp:val=&quot;00243B87&quot;/&gt;&lt;wsp:rsid wsp:val=&quot;00254E68&quot;/&gt;&lt;wsp:rsid wsp:val=&quot;0026238A&quot;/&gt;&lt;wsp:rsid wsp:val=&quot;0028189F&quot;/&gt;&lt;wsp:rsid wsp:val=&quot;00283ED2&quot;/&gt;&lt;wsp:rsid wsp:val=&quot;00287E92&quot;/&gt;&lt;wsp:rsid wsp:val=&quot;00297231&quot;/&gt;&lt;wsp:rsid wsp:val=&quot;002A463A&quot;/&gt;&lt;wsp:rsid wsp:val=&quot;002B34E5&quot;/&gt;&lt;wsp:rsid wsp:val=&quot;002B7377&quot;/&gt;&lt;wsp:rsid wsp:val=&quot;002C4800&quot;/&gt;&lt;wsp:rsid wsp:val=&quot;002E1D04&quot;/&gt;&lt;wsp:rsid wsp:val=&quot;002F44A1&quot;/&gt;&lt;wsp:rsid wsp:val=&quot;00307324&quot;/&gt;&lt;wsp:rsid wsp:val=&quot;00336001&quot;/&gt;&lt;wsp:rsid wsp:val=&quot;00342574&quot;/&gt;&lt;wsp:rsid wsp:val=&quot;003436EB&quot;/&gt;&lt;wsp:rsid wsp:val=&quot;003506E1&quot;/&gt;&lt;wsp:rsid wsp:val=&quot;0038077B&quot;/&gt;&lt;wsp:rsid wsp:val=&quot;003922A9&quot;/&gt;&lt;wsp:rsid wsp:val=&quot;00395CEF&quot;/&gt;&lt;wsp:rsid wsp:val=&quot;003A67C7&quot;/&gt;&lt;wsp:rsid wsp:val=&quot;003C660A&quot;/&gt;&lt;wsp:rsid wsp:val=&quot;003C7139&quot;/&gt;&lt;wsp:rsid wsp:val=&quot;003D0193&quot;/&gt;&lt;wsp:rsid wsp:val=&quot;003D6FAE&quot;/&gt;&lt;wsp:rsid wsp:val=&quot;003E4597&quot;/&gt;&lt;wsp:rsid wsp:val=&quot;003E62C1&quot;/&gt;&lt;wsp:rsid wsp:val=&quot;003F046F&quot;/&gt;&lt;wsp:rsid wsp:val=&quot;00400B8D&quot;/&gt;&lt;wsp:rsid wsp:val=&quot;00401CB9&quot;/&gt;&lt;wsp:rsid wsp:val=&quot;00413700&quot;/&gt;&lt;wsp:rsid wsp:val=&quot;00417D14&quot;/&gt;&lt;wsp:rsid wsp:val=&quot;00423EC7&quot;/&gt;&lt;wsp:rsid wsp:val=&quot;00425C5F&quot;/&gt;&lt;wsp:rsid wsp:val=&quot;00426D82&quot;/&gt;&lt;wsp:rsid wsp:val=&quot;00433157&quot;/&gt;&lt;wsp:rsid wsp:val=&quot;0043676F&quot;/&gt;&lt;wsp:rsid wsp:val=&quot;00485E2F&quot;/&gt;&lt;wsp:rsid wsp:val=&quot;004941B7&quot;/&gt;&lt;wsp:rsid wsp:val=&quot;004A1043&quot;/&gt;&lt;wsp:rsid wsp:val=&quot;004A2AB7&quot;/&gt;&lt;wsp:rsid wsp:val=&quot;004A405D&quot;/&gt;&lt;wsp:rsid wsp:val=&quot;004C13FD&quot;/&gt;&lt;wsp:rsid wsp:val=&quot;004E062B&quot;/&gt;&lt;wsp:rsid wsp:val=&quot;004E3807&quot;/&gt;&lt;wsp:rsid wsp:val=&quot;004F728A&quot;/&gt;&lt;wsp:rsid wsp:val=&quot;00503D7B&quot;/&gt;&lt;wsp:rsid wsp:val=&quot;00547CD3&quot;/&gt;&lt;wsp:rsid wsp:val=&quot;005535D1&quot;/&gt;&lt;wsp:rsid wsp:val=&quot;005738F3&quot;/&gt;&lt;wsp:rsid wsp:val=&quot;00576017&quot;/&gt;&lt;wsp:rsid wsp:val=&quot;0059480C&quot;/&gt;&lt;wsp:rsid wsp:val=&quot;00594BC4&quot;/&gt;&lt;wsp:rsid wsp:val=&quot;005A1EFB&quot;/&gt;&lt;wsp:rsid wsp:val=&quot;005A575C&quot;/&gt;&lt;wsp:rsid wsp:val=&quot;005A60F0&quot;/&gt;&lt;wsp:rsid wsp:val=&quot;005B63A1&quot;/&gt;&lt;wsp:rsid wsp:val=&quot;005C19D3&quot;/&gt;&lt;wsp:rsid wsp:val=&quot;005C455D&quot;/&gt;&lt;wsp:rsid wsp:val=&quot;005D08A7&quot;/&gt;&lt;wsp:rsid wsp:val=&quot;005E1796&quot;/&gt;&lt;wsp:rsid wsp:val=&quot;005E52BC&quot;/&gt;&lt;wsp:rsid wsp:val=&quot;005F05A3&quot;/&gt;&lt;wsp:rsid wsp:val=&quot;00600549&quot;/&gt;&lt;wsp:rsid wsp:val=&quot;00600759&quot;/&gt;&lt;wsp:rsid wsp:val=&quot;006128D6&quot;/&gt;&lt;wsp:rsid wsp:val=&quot;00616726&quot;/&gt;&lt;wsp:rsid wsp:val=&quot;006207B5&quot;/&gt;&lt;wsp:rsid wsp:val=&quot;00626596&quot;/&gt;&lt;wsp:rsid wsp:val=&quot;00635F8F&quot;/&gt;&lt;wsp:rsid wsp:val=&quot;00653F30&quot;/&gt;&lt;wsp:rsid wsp:val=&quot;006618B1&quot;/&gt;&lt;wsp:rsid wsp:val=&quot;006738F1&quot;/&gt;&lt;wsp:rsid wsp:val=&quot;00681BE6&quot;/&gt;&lt;wsp:rsid wsp:val=&quot;00683194&quot;/&gt;&lt;wsp:rsid wsp:val=&quot;00697E4F&quot;/&gt;&lt;wsp:rsid wsp:val=&quot;006B133A&quot;/&gt;&lt;wsp:rsid wsp:val=&quot;006D46B6&quot;/&gt;&lt;wsp:rsid wsp:val=&quot;006D5EA4&quot;/&gt;&lt;wsp:rsid wsp:val=&quot;006E031B&quot;/&gt;&lt;wsp:rsid wsp:val=&quot;007028FE&quot;/&gt;&lt;wsp:rsid wsp:val=&quot;0071330C&quot;/&gt;&lt;wsp:rsid wsp:val=&quot;00735C83&quot;/&gt;&lt;wsp:rsid wsp:val=&quot;00752504&quot;/&gt;&lt;wsp:rsid wsp:val=&quot;00775474&quot;/&gt;&lt;wsp:rsid wsp:val=&quot;00776C4B&quot;/&gt;&lt;wsp:rsid wsp:val=&quot;0078112D&quot;/&gt;&lt;wsp:rsid wsp:val=&quot;00782B64&quot;/&gt;&lt;wsp:rsid wsp:val=&quot;007864A7&quot;/&gt;&lt;wsp:rsid wsp:val=&quot;007B0D34&quot;/&gt;&lt;wsp:rsid wsp:val=&quot;007C26DF&quot;/&gt;&lt;wsp:rsid wsp:val=&quot;007C5848&quot;/&gt;&lt;wsp:rsid wsp:val=&quot;007D53E5&quot;/&gt;&lt;wsp:rsid wsp:val=&quot;007D62C6&quot;/&gt;&lt;wsp:rsid wsp:val=&quot;007E40B4&quot;/&gt;&lt;wsp:rsid wsp:val=&quot;00804A1E&quot;/&gt;&lt;wsp:rsid wsp:val=&quot;0080580C&quot;/&gt;&lt;wsp:rsid wsp:val=&quot;00831215&quot;/&gt;&lt;wsp:rsid wsp:val=&quot;008346E5&quot;/&gt;&lt;wsp:rsid wsp:val=&quot;0083481F&quot;/&gt;&lt;wsp:rsid wsp:val=&quot;00841ADC&quot;/&gt;&lt;wsp:rsid wsp:val=&quot;00851441&quot;/&gt;&lt;wsp:rsid wsp:val=&quot;00857D4E&quot;/&gt;&lt;wsp:rsid wsp:val=&quot;00871C01&quot;/&gt;&lt;wsp:rsid wsp:val=&quot;00877E77&quot;/&gt;&lt;wsp:rsid wsp:val=&quot;00880C94&quot;/&gt;&lt;wsp:rsid wsp:val=&quot;00894BF8&quot;/&gt;&lt;wsp:rsid wsp:val=&quot;008958A2&quot;/&gt;&lt;wsp:rsid wsp:val=&quot;008A23C4&quot;/&gt;&lt;wsp:rsid wsp:val=&quot;008C2E8E&quot;/&gt;&lt;wsp:rsid wsp:val=&quot;008C585C&quot;/&gt;&lt;wsp:rsid wsp:val=&quot;008C723B&quot;/&gt;&lt;wsp:rsid wsp:val=&quot;008D37F4&quot;/&gt;&lt;wsp:rsid wsp:val=&quot;008E0911&quot;/&gt;&lt;wsp:rsid wsp:val=&quot;008E1723&quot;/&gt;&lt;wsp:rsid wsp:val=&quot;008E54D7&quot;/&gt;&lt;wsp:rsid wsp:val=&quot;008E5CF8&quot;/&gt;&lt;wsp:rsid wsp:val=&quot;008F5D21&quot;/&gt;&lt;wsp:rsid wsp:val=&quot;00904760&quot;/&gt;&lt;wsp:rsid wsp:val=&quot;00913EA1&quot;/&gt;&lt;wsp:rsid wsp:val=&quot;00914421&quot;/&gt;&lt;wsp:rsid wsp:val=&quot;00915752&quot;/&gt;&lt;wsp:rsid wsp:val=&quot;009237C3&quot;/&gt;&lt;wsp:rsid wsp:val=&quot;00934B7E&quot;/&gt;&lt;wsp:rsid wsp:val=&quot;0094138F&quot;/&gt;&lt;wsp:rsid wsp:val=&quot;009433A2&quot;/&gt;&lt;wsp:rsid wsp:val=&quot;00966779&quot;/&gt;&lt;wsp:rsid wsp:val=&quot;00977397&quot;/&gt;&lt;wsp:rsid wsp:val=&quot;009779B6&quot;/&gt;&lt;wsp:rsid wsp:val=&quot;00987E41&quot;/&gt;&lt;wsp:rsid wsp:val=&quot;0099430A&quot;/&gt;&lt;wsp:rsid wsp:val=&quot;00996C14&quot;/&gt;&lt;wsp:rsid wsp:val=&quot;009C1616&quot;/&gt;&lt;wsp:rsid wsp:val=&quot;009C2499&quot;/&gt;&lt;wsp:rsid wsp:val=&quot;009C3B18&quot;/&gt;&lt;wsp:rsid wsp:val=&quot;009E6741&quot;/&gt;&lt;wsp:rsid wsp:val=&quot;009F1E8F&quot;/&gt;&lt;wsp:rsid wsp:val=&quot;00A00C51&quot;/&gt;&lt;wsp:rsid wsp:val=&quot;00A02934&quot;/&gt;&lt;wsp:rsid wsp:val=&quot;00A16AF4&quot;/&gt;&lt;wsp:rsid wsp:val=&quot;00A20888&quot;/&gt;&lt;wsp:rsid wsp:val=&quot;00A23767&quot;/&gt;&lt;wsp:rsid wsp:val=&quot;00A30006&quot;/&gt;&lt;wsp:rsid wsp:val=&quot;00A4446A&quot;/&gt;&lt;wsp:rsid wsp:val=&quot;00A55121&quot;/&gt;&lt;wsp:rsid wsp:val=&quot;00A5676D&quot;/&gt;&lt;wsp:rsid wsp:val=&quot;00A57C4E&quot;/&gt;&lt;wsp:rsid wsp:val=&quot;00A6144C&quot;/&gt;&lt;wsp:rsid wsp:val=&quot;00A6496F&quot;/&gt;&lt;wsp:rsid wsp:val=&quot;00A64B9E&quot;/&gt;&lt;wsp:rsid wsp:val=&quot;00A84575&quot;/&gt;&lt;wsp:rsid wsp:val=&quot;00A85062&quot;/&gt;&lt;wsp:rsid wsp:val=&quot;00A943F8&quot;/&gt;&lt;wsp:rsid wsp:val=&quot;00AA27E1&quot;/&gt;&lt;wsp:rsid wsp:val=&quot;00AA3FB3&quot;/&gt;&lt;wsp:rsid wsp:val=&quot;00AE1E36&quot;/&gt;&lt;wsp:rsid wsp:val=&quot;00AE2B49&quot;/&gt;&lt;wsp:rsid wsp:val=&quot;00B1097A&quot;/&gt;&lt;wsp:rsid wsp:val=&quot;00B1581E&quot;/&gt;&lt;wsp:rsid wsp:val=&quot;00B3006C&quot;/&gt;&lt;wsp:rsid wsp:val=&quot;00B32321&quot;/&gt;&lt;wsp:rsid wsp:val=&quot;00B3553F&quot;/&gt;&lt;wsp:rsid wsp:val=&quot;00B36D7B&quot;/&gt;&lt;wsp:rsid wsp:val=&quot;00B629C0&quot;/&gt;&lt;wsp:rsid wsp:val=&quot;00B66E57&quot;/&gt;&lt;wsp:rsid wsp:val=&quot;00B73DE3&quot;/&gt;&lt;wsp:rsid wsp:val=&quot;00B96176&quot;/&gt;&lt;wsp:rsid wsp:val=&quot;00BC141B&quot;/&gt;&lt;wsp:rsid wsp:val=&quot;00BC1C56&quot;/&gt;&lt;wsp:rsid wsp:val=&quot;00BD169D&quot;/&gt;&lt;wsp:rsid wsp:val=&quot;00BD2D2F&quot;/&gt;&lt;wsp:rsid wsp:val=&quot;00BD5A85&quot;/&gt;&lt;wsp:rsid wsp:val=&quot;00C0068B&quot;/&gt;&lt;wsp:rsid wsp:val=&quot;00C00AC4&quot;/&gt;&lt;wsp:rsid wsp:val=&quot;00C04F86&quot;/&gt;&lt;wsp:rsid wsp:val=&quot;00C122FC&quot;/&gt;&lt;wsp:rsid wsp:val=&quot;00C44F70&quot;/&gt;&lt;wsp:rsid wsp:val=&quot;00C52635&quot;/&gt;&lt;wsp:rsid wsp:val=&quot;00C54018&quot;/&gt;&lt;wsp:rsid wsp:val=&quot;00C543EA&quot;/&gt;&lt;wsp:rsid wsp:val=&quot;00C6338D&quot;/&gt;&lt;wsp:rsid wsp:val=&quot;00C70D1B&quot;/&gt;&lt;wsp:rsid wsp:val=&quot;00C72F23&quot;/&gt;&lt;wsp:rsid wsp:val=&quot;00C73116&quot;/&gt;&lt;wsp:rsid wsp:val=&quot;00C823AA&quot;/&gt;&lt;wsp:rsid wsp:val=&quot;00CA3B42&quot;/&gt;&lt;wsp:rsid wsp:val=&quot;00CB4A6E&quot;/&gt;&lt;wsp:rsid wsp:val=&quot;00CD77EE&quot;/&gt;&lt;wsp:rsid wsp:val=&quot;00CE5E5B&quot;/&gt;&lt;wsp:rsid wsp:val=&quot;00D033AA&quot;/&gt;&lt;wsp:rsid wsp:val=&quot;00D0368B&quot;/&gt;&lt;wsp:rsid wsp:val=&quot;00D66545&quot;/&gt;&lt;wsp:rsid wsp:val=&quot;00D74A1C&quot;/&gt;&lt;wsp:rsid wsp:val=&quot;00D904FE&quot;/&gt;&lt;wsp:rsid wsp:val=&quot;00D962BB&quot;/&gt;&lt;wsp:rsid wsp:val=&quot;00DA3202&quot;/&gt;&lt;wsp:rsid wsp:val=&quot;00DB61D3&quot;/&gt;&lt;wsp:rsid wsp:val=&quot;00DB6B32&quot;/&gt;&lt;wsp:rsid wsp:val=&quot;00DC315B&quot;/&gt;&lt;wsp:rsid wsp:val=&quot;00DC34C0&quot;/&gt;&lt;wsp:rsid wsp:val=&quot;00DD6815&quot;/&gt;&lt;wsp:rsid wsp:val=&quot;00DD7A49&quot;/&gt;&lt;wsp:rsid wsp:val=&quot;00DE77C9&quot;/&gt;&lt;wsp:rsid wsp:val=&quot;00DF1203&quot;/&gt;&lt;wsp:rsid wsp:val=&quot;00DF4FF8&quot;/&gt;&lt;wsp:rsid wsp:val=&quot;00DF7FAA&quot;/&gt;&lt;wsp:rsid wsp:val=&quot;00E23A24&quot;/&gt;&lt;wsp:rsid wsp:val=&quot;00E314B1&quot;/&gt;&lt;wsp:rsid wsp:val=&quot;00E40249&quot;/&gt;&lt;wsp:rsid wsp:val=&quot;00E47C91&quot;/&gt;&lt;wsp:rsid wsp:val=&quot;00E51D00&quot;/&gt;&lt;wsp:rsid wsp:val=&quot;00E608BC&quot;/&gt;&lt;wsp:rsid wsp:val=&quot;00E74BBE&quot;/&gt;&lt;wsp:rsid wsp:val=&quot;00EA1965&quot;/&gt;&lt;wsp:rsid wsp:val=&quot;00EA68FD&quot;/&gt;&lt;wsp:rsid wsp:val=&quot;00ED3B81&quot;/&gt;&lt;wsp:rsid wsp:val=&quot;00ED4892&quot;/&gt;&lt;wsp:rsid wsp:val=&quot;00EE3257&quot;/&gt;&lt;wsp:rsid wsp:val=&quot;00EF1A2D&quot;/&gt;&lt;wsp:rsid wsp:val=&quot;00F2142B&quot;/&gt;&lt;wsp:rsid wsp:val=&quot;00F21B4F&quot;/&gt;&lt;wsp:rsid wsp:val=&quot;00F24C65&quot;/&gt;&lt;wsp:rsid wsp:val=&quot;00F43CA6&quot;/&gt;&lt;wsp:rsid wsp:val=&quot;00F4597F&quot;/&gt;&lt;wsp:rsid wsp:val=&quot;00F7098A&quot;/&gt;&lt;wsp:rsid wsp:val=&quot;00F76108&quot;/&gt;&lt;wsp:rsid wsp:val=&quot;00F76FC1&quot;/&gt;&lt;wsp:rsid wsp:val=&quot;00F80A2A&quot;/&gt;&lt;wsp:rsid wsp:val=&quot;00F81843&quot;/&gt;&lt;wsp:rsid wsp:val=&quot;00F83E07&quot;/&gt;&lt;wsp:rsid wsp:val=&quot;00F86305&quot;/&gt;&lt;wsp:rsid wsp:val=&quot;00F8744B&quot;/&gt;&lt;wsp:rsid wsp:val=&quot;00F93513&quot;/&gt;&lt;wsp:rsid wsp:val=&quot;00FB431A&quot;/&gt;&lt;wsp:rsid wsp:val=&quot;00FB7C01&quot;/&gt;&lt;wsp:rsid wsp:val=&quot;00FC76B3&quot;/&gt;&lt;wsp:rsid wsp:val=&quot;00FE4B13&quot;/&gt;&lt;wsp:rsid wsp:val=&quot;00FF05D2&quot;/&gt;&lt;wsp:rsid wsp:val=&quot;00FF72E9&quot;/&gt;&lt;/wsp:rsids&gt;&lt;/w:docPr&gt;&lt;w:body&gt;&lt;w:p wsp:rsidR=&quot;00000000&quot; wsp:rsidRDefault=&quot;00254E68&quot; wsp:rsidP=&quot;00254E68&quot;&gt;&lt;w:pPr&gt;&lt;w:ind w:first-line=&quot;480&quot;/&gt;&lt;/w:pPr&gt;&lt;m:oMathPara&gt;&lt;m:oMath&gt;&lt;m:r&gt;&lt;m:rPr&gt;&lt;m:sty m:val=&quot;p&quot;/&gt;&lt;/m:rPr&gt;&lt;w:rPr&gt;&lt;w:rFonts w:ascii=&quot;Cambria Math&quot;/&gt;&lt;wx:font wx:val=&quot;Cambria Math&quot;/&gt;&lt;/w:rPr&gt;&lt;m:t&gt;(&lt;/m:t&gt;&lt;/m:r&gt;&lt;m:f&gt;&lt;m:fPr&gt;&lt;m:ctrlPr&gt;&lt;w:rPr&gt;&lt;w:rFonts w:ascii=&quot;Cambria Math&quot;/&gt;&lt;wx:font wx:val=&quot;Cambria Math&quot;/&gt;&lt;/w:rPr&gt;&lt;/m:ctrlPr&gt;&lt;/m:fPr&gt;&lt;m:num&gt;&lt;m:r&gt;&lt;m:rPr&gt;&lt;m:sty m:val=&quot;p&quot;/&gt;&lt;/m:rPr&gt;&lt;w:rPr&gt;&lt;w:rFonts w:ascii=&quot;Cambria Math&quot;/&gt;&lt;wx:font wx:val=&quot;Cambria Math&quot;/&gt;&lt;/w:rPr&gt;&lt;m:t&gt;V&lt;/m:t&gt;&lt;/m:r&gt;&lt;/m:num&gt;&lt;m:den&gt;&lt;m:r&gt;&lt;m:rPr&gt;&lt;m:sty m:val=&quot;p&quot;/&gt;&lt;/m:rPr&gt;&lt;w:rPr&gt;&lt;w:rFonts w:ascii=&quot;Cambria Math&quot;/&gt;&lt;wx:font wx:val=&quot;Cambria Math&quot;/&gt;&lt;/w:rPr&gt;&lt;m:t&gt;5&lt;/m:t&gt;&lt;/m:r&gt;&lt;/m:den&gt;&lt;/m:f&gt;&lt;m:r&gt;&lt;m:rPr&gt;&lt;m:sty m:val=&quot;p&quot;/&gt;&lt;/m:rPr&gt;&lt;w:rPr&gt;&lt;w:rFonts w:ascii=&quot;Cambria Math&quot;/&gt;&lt;wx:font wx:val=&quot;Cambria Math&quot;/&gt;&lt;/w:rPr&gt;&lt;m:t&gt;)&lt;/m:t&gt;&lt;/m:r&gt;&lt;m:sSup&gt;&lt;m:sSupPr&gt;&lt;m:ctrlPr&gt;&lt;w:rPr&gt;&lt;w:rFonts w:ascii=&quot;Cambria Math&quot;/&gt;&lt;wx:font wx:val=&quot;Cambria Math&quot;/&gt;&lt;/w:rPr&gt;&lt;/m:ctrlPr&gt;&lt;/m:sSupPr&gt;&lt;m:e&gt;&lt;m:r&gt;&lt;m:rPr&gt;&lt;m:sty m:val=&quot;p&quot;/&gt;&lt;/m:rPr&gt;&lt;w:rPr&gt;&lt;w:rFonts w:ascii=&quot;Cambria Math&quot;/&gt;&lt;wx:font wx:val=&quot;Cambria Math&quot;/&gt;&lt;/w:rPr&gt;&lt;m:t&gt;(&lt;/m:t&gt;&lt;/m:r&gt;&lt;m:f&gt;&lt;m:fPr&gt;&lt;m:ctrlPr&gt;&lt;w:rPr&gt;&lt;w:rFonts w:ascii=&quot;Cambria Math&quot;/&gt;&lt;wx:font wx:val=&quot;Cambria Math&quot;/&gt;&lt;/w:rPr&gt;&lt;/m:ctrlPr&gt;&lt;/m:fPr&gt;&lt;m:num&gt;&lt;m:r&gt;&lt;m:rPr&gt;&lt;m:sty m:val=&quot;p&quot;/&gt;&lt;/m:rPr&gt;&lt;w:rPr&gt;&lt;w:rFonts w:ascii=&quot;Cambria Math&quot;/&gt;&lt;wx:font wx:val=&quot;Cambria Math&quot;/&gt;&lt;/w:rPr&gt;&lt;m:t&gt;W&lt;/m:t&gt;&lt;/m:r&gt;&lt;/m:num&gt;&lt;m:den&gt;&lt;m:r&gt;&lt;m:rPr&gt;&lt;m:sty m:val=&quot;p&quot;/&gt;&lt;/m:rPr&gt;&lt;w:rPr&gt;&lt;w:rFonts w:ascii=&quot;Cambria Math&quot;/&gt;&lt;wx:font wx:val=&quot;Cambria Math&quot;/&gt;&lt;/w:rPr&gt;&lt;m:t&gt;6.8&lt;/m:t&gt;&lt;/m:r&gt;&lt;/m:den&gt;&lt;/m:f&gt;&lt;m:r&gt;&lt;m:rPr&gt;&lt;m:sty m:val=&quot;p&quot;/&gt;&lt;/m:rPr&gt;&lt;w:rPr&gt;&lt;w:rFonts w:ascii=&quot;Cambria Math&quot;/&gt;&lt;wx:font wx:val=&quot;Cambria Math&quot;/&gt;&lt;/w:rPr&gt;&lt;m:t&gt;)&lt;/m:t&gt;&lt;/m:r&gt;&lt;/m:e&gt;&lt;m:sup&gt;&lt;m:r&gt;&lt;m:rPr&gt;&lt;m:sty m:val=&quot;p&quot;/&gt;&lt;/m:rPr&gt;&lt;w:rPr&gt;&lt;w:rFonts w:ascii=&quot;Cambria Math&quot;/&gt;&lt;wx:font wx:val=&quot;Cambria Math&quot;/&gt;&lt;/w:rPr&gt;&lt;m:t&gt;0.85&lt;/m:t&gt;&lt;/m:r&gt;&lt;/m:sup&gt;&lt;/m:sSup&gt;&lt;m:sSup&gt;&lt;m:sSupPr&gt;&lt;m:ctrlPr&gt;&lt;w:rPr&gt;&lt;w:rFonts w:ascii=&quot;Cambria Math&quot;/&gt;&lt;wx:font wx:val=&quot;Cambria Math&quot;/&gt;&lt;/w:rPr&gt;&lt;/m:ctrlPr&gt;&lt;/m:sSupPr&gt;&lt;m:e&gt;&lt;m:r&gt;&lt;m:rPr&gt;&lt;m:sty m:val=&quot;p&quot;/&gt;&lt;/m:rPr&gt;&lt;w:rPr&gt;&lt;w:rFonts w:ascii=&quot;Cambria Math&quot;/&gt;&lt;wx:font wx:val=&quot;Cambria Math&quot;/&gt;&lt;/w:rPr&gt;&lt;m:t&gt;(&lt;/m:t&gt;&lt;/m:r&gt;&lt;m:f&gt;&lt;m:fPr&gt;&lt;m:ctrlPr&gt;&lt;w:rPr&gt;&lt;w:rFonts w:ascii=&quot;Cambria Math&quot;/&gt;&lt;wx:font wx:val=&quot;Cambria Math&quot;/&gt;&lt;/w:rPr&gt;&lt;/m:ctrlPr&gt;&lt;/m:fPr&gt;&lt;m:num&gt;&lt;m:r&gt;&lt;m:rPr&gt;&lt;m:sty m:val=&quot;p&quot;/&gt;&lt;/m:rPr&gt;&lt;w:rPr&gt;&lt;w:rFonts w:ascii=&quot;Cambria Math&quot;/&gt;&lt;wx:font wx:val=&quot;Cambria Math&quot;/&gt;&lt;/w:rPr&gt;&lt;m:t&gt;P&lt;/m:t&gt;&lt;/m:r&gt;&lt;/m:num&gt;&lt;m:den&gt;&lt;m:r&gt;&lt;m:rPr&gt;&lt;m:sty m:val=&quot;p&quot;/&gt;&lt;/m:rPr&gt;&lt;w:rPr&gt;&lt;w:rFonts w:ascii=&quot;Cambria Math&quot;/&gt;&lt;wx:font wx:val=&quot;Cambria Math&quot;/&gt;&lt;/w:rPr&gt;&lt;m:t&gt;0.5&lt;/m:t&gt;&lt;/m:r&gt;&lt;/m:den&gt;&lt;/m:f&gt;&lt;m:r&gt;&lt;m:rPr&gt;&lt;m:sty m:val=&quot;p&quot;/&gt;&lt;/m:rPr&gt;&lt;w:rPr&gt;&lt;w:rFonts w:ascii=&quot;Cambria Math&quot;/&gt;&lt;wx:font wx:val=&quot;Cambria Math&quot;/&gt;&lt;/w:rPr&gt;&lt;m:t&gt;)&lt;/m:t&gt;&lt;/m:r&gt;&lt;/m:e&gt;&lt;m:sup&gt;&lt;m:r&gt;&lt;m:rPr&gt;&lt;m:sty m:val=&quot;p&quot;/&gt;&lt;/m:rPr&gt;&lt;w:rPr&gt;&lt;w:rFonts w:ascii=&quot;Cambria Math&quot;/&gt;&lt;wx:font wx:val=&quot;Cambria Math&quot;/&gt;&lt;/w:rPr&gt;&lt;m:t&gt;0.75&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42" chromakey="#FFFFFF" o:title=""/>
            <o:lock v:ext="edit" aspectratio="t"/>
            <w10:wrap type="none"/>
            <w10:anchorlock/>
          </v:shape>
        </w:pict>
      </w:r>
      <w:r>
        <w:rPr>
          <w:b/>
          <w:color w:val="auto"/>
          <w:kern w:val="0"/>
          <w:u w:val="none"/>
        </w:rPr>
        <w:instrText xml:space="preserve"> </w:instrText>
      </w:r>
      <w:r>
        <w:rPr>
          <w:b/>
          <w:color w:val="auto"/>
          <w:kern w:val="0"/>
          <w:u w:val="none"/>
        </w:rPr>
        <w:fldChar w:fldCharType="separate"/>
      </w:r>
      <w:r>
        <w:rPr>
          <w:b/>
          <w:color w:val="auto"/>
          <w:kern w:val="0"/>
          <w:position w:val="-24"/>
          <w:u w:val="none"/>
        </w:rPr>
        <w:pict>
          <v:shape id="_x0000_i1030" o:spt="75" type="#_x0000_t75" style="height:32.25pt;width:98.2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bordersDontSurroundHeader/&gt;&lt;w:bordersDontSurroundFooter/&gt;&lt;w:hideSpellingErrors/&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F1E8F&quot;/&gt;&lt;wsp:rsid wsp:val=&quot;000021AE&quot;/&gt;&lt;wsp:rsid wsp:val=&quot;000048C2&quot;/&gt;&lt;wsp:rsid wsp:val=&quot;00010EA7&quot;/&gt;&lt;wsp:rsid wsp:val=&quot;00012DDD&quot;/&gt;&lt;wsp:rsid wsp:val=&quot;0001676A&quot;/&gt;&lt;wsp:rsid wsp:val=&quot;00017736&quot;/&gt;&lt;wsp:rsid wsp:val=&quot;000201FA&quot;/&gt;&lt;wsp:rsid wsp:val=&quot;00025940&quot;/&gt;&lt;wsp:rsid wsp:val=&quot;000310AD&quot;/&gt;&lt;wsp:rsid wsp:val=&quot;000421EA&quot;/&gt;&lt;wsp:rsid wsp:val=&quot;00047AA6&quot;/&gt;&lt;wsp:rsid wsp:val=&quot;00053582&quot;/&gt;&lt;wsp:rsid wsp:val=&quot;00066D5E&quot;/&gt;&lt;wsp:rsid wsp:val=&quot;00084365&quot;/&gt;&lt;wsp:rsid wsp:val=&quot;000873D5&quot;/&gt;&lt;wsp:rsid wsp:val=&quot;0009606C&quot;/&gt;&lt;wsp:rsid wsp:val=&quot;00097D52&quot;/&gt;&lt;wsp:rsid wsp:val=&quot;000B0780&quot;/&gt;&lt;wsp:rsid wsp:val=&quot;000B3D5E&quot;/&gt;&lt;wsp:rsid wsp:val=&quot;000B48B6&quot;/&gt;&lt;wsp:rsid wsp:val=&quot;000C0B2A&quot;/&gt;&lt;wsp:rsid wsp:val=&quot;000C3086&quot;/&gt;&lt;wsp:rsid wsp:val=&quot;000D1BFF&quot;/&gt;&lt;wsp:rsid wsp:val=&quot;000E5D27&quot;/&gt;&lt;wsp:rsid wsp:val=&quot;000F1B43&quot;/&gt;&lt;wsp:rsid wsp:val=&quot;000F46A9&quot;/&gt;&lt;wsp:rsid wsp:val=&quot;00100D94&quot;/&gt;&lt;wsp:rsid wsp:val=&quot;00110F1B&quot;/&gt;&lt;wsp:rsid wsp:val=&quot;001236B1&quot;/&gt;&lt;wsp:rsid wsp:val=&quot;0013497C&quot;/&gt;&lt;wsp:rsid wsp:val=&quot;00145B17&quot;/&gt;&lt;wsp:rsid wsp:val=&quot;00160674&quot;/&gt;&lt;wsp:rsid wsp:val=&quot;00161A06&quot;/&gt;&lt;wsp:rsid wsp:val=&quot;00173EB3&quot;/&gt;&lt;wsp:rsid wsp:val=&quot;00183486&quot;/&gt;&lt;wsp:rsid wsp:val=&quot;001975FC&quot;/&gt;&lt;wsp:rsid wsp:val=&quot;00197A60&quot;/&gt;&lt;wsp:rsid wsp:val=&quot;00197A70&quot;/&gt;&lt;wsp:rsid wsp:val=&quot;001A3251&quot;/&gt;&lt;wsp:rsid wsp:val=&quot;001A7132&quot;/&gt;&lt;wsp:rsid wsp:val=&quot;001B4DEA&quot;/&gt;&lt;wsp:rsid wsp:val=&quot;001B678E&quot;/&gt;&lt;wsp:rsid wsp:val=&quot;001D3FA0&quot;/&gt;&lt;wsp:rsid wsp:val=&quot;001D4C98&quot;/&gt;&lt;wsp:rsid wsp:val=&quot;001D60F6&quot;/&gt;&lt;wsp:rsid wsp:val=&quot;001E278D&quot;/&gt;&lt;wsp:rsid wsp:val=&quot;001E69F8&quot;/&gt;&lt;wsp:rsid wsp:val=&quot;00207F67&quot;/&gt;&lt;wsp:rsid wsp:val=&quot;002164AD&quot;/&gt;&lt;wsp:rsid wsp:val=&quot;00216B1A&quot;/&gt;&lt;wsp:rsid wsp:val=&quot;00233235&quot;/&gt;&lt;wsp:rsid wsp:val=&quot;00243B87&quot;/&gt;&lt;wsp:rsid wsp:val=&quot;00254E68&quot;/&gt;&lt;wsp:rsid wsp:val=&quot;0026238A&quot;/&gt;&lt;wsp:rsid wsp:val=&quot;0028189F&quot;/&gt;&lt;wsp:rsid wsp:val=&quot;00283ED2&quot;/&gt;&lt;wsp:rsid wsp:val=&quot;00287E92&quot;/&gt;&lt;wsp:rsid wsp:val=&quot;00297231&quot;/&gt;&lt;wsp:rsid wsp:val=&quot;002A463A&quot;/&gt;&lt;wsp:rsid wsp:val=&quot;002B34E5&quot;/&gt;&lt;wsp:rsid wsp:val=&quot;002B7377&quot;/&gt;&lt;wsp:rsid wsp:val=&quot;002C4800&quot;/&gt;&lt;wsp:rsid wsp:val=&quot;002E1D04&quot;/&gt;&lt;wsp:rsid wsp:val=&quot;002F44A1&quot;/&gt;&lt;wsp:rsid wsp:val=&quot;00307324&quot;/&gt;&lt;wsp:rsid wsp:val=&quot;00336001&quot;/&gt;&lt;wsp:rsid wsp:val=&quot;00342574&quot;/&gt;&lt;wsp:rsid wsp:val=&quot;003436EB&quot;/&gt;&lt;wsp:rsid wsp:val=&quot;003506E1&quot;/&gt;&lt;wsp:rsid wsp:val=&quot;0038077B&quot;/&gt;&lt;wsp:rsid wsp:val=&quot;003922A9&quot;/&gt;&lt;wsp:rsid wsp:val=&quot;00395CEF&quot;/&gt;&lt;wsp:rsid wsp:val=&quot;003A67C7&quot;/&gt;&lt;wsp:rsid wsp:val=&quot;003C660A&quot;/&gt;&lt;wsp:rsid wsp:val=&quot;003C7139&quot;/&gt;&lt;wsp:rsid wsp:val=&quot;003D0193&quot;/&gt;&lt;wsp:rsid wsp:val=&quot;003D6FAE&quot;/&gt;&lt;wsp:rsid wsp:val=&quot;003E4597&quot;/&gt;&lt;wsp:rsid wsp:val=&quot;003E62C1&quot;/&gt;&lt;wsp:rsid wsp:val=&quot;003F046F&quot;/&gt;&lt;wsp:rsid wsp:val=&quot;00400B8D&quot;/&gt;&lt;wsp:rsid wsp:val=&quot;00401CB9&quot;/&gt;&lt;wsp:rsid wsp:val=&quot;00413700&quot;/&gt;&lt;wsp:rsid wsp:val=&quot;00417D14&quot;/&gt;&lt;wsp:rsid wsp:val=&quot;00423EC7&quot;/&gt;&lt;wsp:rsid wsp:val=&quot;00425C5F&quot;/&gt;&lt;wsp:rsid wsp:val=&quot;00426D82&quot;/&gt;&lt;wsp:rsid wsp:val=&quot;00433157&quot;/&gt;&lt;wsp:rsid wsp:val=&quot;0043676F&quot;/&gt;&lt;wsp:rsid wsp:val=&quot;00485E2F&quot;/&gt;&lt;wsp:rsid wsp:val=&quot;004941B7&quot;/&gt;&lt;wsp:rsid wsp:val=&quot;004A1043&quot;/&gt;&lt;wsp:rsid wsp:val=&quot;004A2AB7&quot;/&gt;&lt;wsp:rsid wsp:val=&quot;004A405D&quot;/&gt;&lt;wsp:rsid wsp:val=&quot;004C13FD&quot;/&gt;&lt;wsp:rsid wsp:val=&quot;004E062B&quot;/&gt;&lt;wsp:rsid wsp:val=&quot;004E3807&quot;/&gt;&lt;wsp:rsid wsp:val=&quot;004F728A&quot;/&gt;&lt;wsp:rsid wsp:val=&quot;00503D7B&quot;/&gt;&lt;wsp:rsid wsp:val=&quot;00547CD3&quot;/&gt;&lt;wsp:rsid wsp:val=&quot;005535D1&quot;/&gt;&lt;wsp:rsid wsp:val=&quot;005738F3&quot;/&gt;&lt;wsp:rsid wsp:val=&quot;00576017&quot;/&gt;&lt;wsp:rsid wsp:val=&quot;0059480C&quot;/&gt;&lt;wsp:rsid wsp:val=&quot;00594BC4&quot;/&gt;&lt;wsp:rsid wsp:val=&quot;005A1EFB&quot;/&gt;&lt;wsp:rsid wsp:val=&quot;005A575C&quot;/&gt;&lt;wsp:rsid wsp:val=&quot;005A60F0&quot;/&gt;&lt;wsp:rsid wsp:val=&quot;005B63A1&quot;/&gt;&lt;wsp:rsid wsp:val=&quot;005C19D3&quot;/&gt;&lt;wsp:rsid wsp:val=&quot;005C455D&quot;/&gt;&lt;wsp:rsid wsp:val=&quot;005D08A7&quot;/&gt;&lt;wsp:rsid wsp:val=&quot;005E1796&quot;/&gt;&lt;wsp:rsid wsp:val=&quot;005E52BC&quot;/&gt;&lt;wsp:rsid wsp:val=&quot;005F05A3&quot;/&gt;&lt;wsp:rsid wsp:val=&quot;00600549&quot;/&gt;&lt;wsp:rsid wsp:val=&quot;00600759&quot;/&gt;&lt;wsp:rsid wsp:val=&quot;006128D6&quot;/&gt;&lt;wsp:rsid wsp:val=&quot;00616726&quot;/&gt;&lt;wsp:rsid wsp:val=&quot;006207B5&quot;/&gt;&lt;wsp:rsid wsp:val=&quot;00626596&quot;/&gt;&lt;wsp:rsid wsp:val=&quot;00635F8F&quot;/&gt;&lt;wsp:rsid wsp:val=&quot;00653F30&quot;/&gt;&lt;wsp:rsid wsp:val=&quot;006618B1&quot;/&gt;&lt;wsp:rsid wsp:val=&quot;006738F1&quot;/&gt;&lt;wsp:rsid wsp:val=&quot;00681BE6&quot;/&gt;&lt;wsp:rsid wsp:val=&quot;00683194&quot;/&gt;&lt;wsp:rsid wsp:val=&quot;00697E4F&quot;/&gt;&lt;wsp:rsid wsp:val=&quot;006B133A&quot;/&gt;&lt;wsp:rsid wsp:val=&quot;006D46B6&quot;/&gt;&lt;wsp:rsid wsp:val=&quot;006D5EA4&quot;/&gt;&lt;wsp:rsid wsp:val=&quot;006E031B&quot;/&gt;&lt;wsp:rsid wsp:val=&quot;007028FE&quot;/&gt;&lt;wsp:rsid wsp:val=&quot;0071330C&quot;/&gt;&lt;wsp:rsid wsp:val=&quot;00735C83&quot;/&gt;&lt;wsp:rsid wsp:val=&quot;00752504&quot;/&gt;&lt;wsp:rsid wsp:val=&quot;00775474&quot;/&gt;&lt;wsp:rsid wsp:val=&quot;00776C4B&quot;/&gt;&lt;wsp:rsid wsp:val=&quot;0078112D&quot;/&gt;&lt;wsp:rsid wsp:val=&quot;00782B64&quot;/&gt;&lt;wsp:rsid wsp:val=&quot;007864A7&quot;/&gt;&lt;wsp:rsid wsp:val=&quot;007B0D34&quot;/&gt;&lt;wsp:rsid wsp:val=&quot;007C26DF&quot;/&gt;&lt;wsp:rsid wsp:val=&quot;007C5848&quot;/&gt;&lt;wsp:rsid wsp:val=&quot;007D53E5&quot;/&gt;&lt;wsp:rsid wsp:val=&quot;007D62C6&quot;/&gt;&lt;wsp:rsid wsp:val=&quot;007E40B4&quot;/&gt;&lt;wsp:rsid wsp:val=&quot;00804A1E&quot;/&gt;&lt;wsp:rsid wsp:val=&quot;0080580C&quot;/&gt;&lt;wsp:rsid wsp:val=&quot;00831215&quot;/&gt;&lt;wsp:rsid wsp:val=&quot;008346E5&quot;/&gt;&lt;wsp:rsid wsp:val=&quot;0083481F&quot;/&gt;&lt;wsp:rsid wsp:val=&quot;00841ADC&quot;/&gt;&lt;wsp:rsid wsp:val=&quot;00851441&quot;/&gt;&lt;wsp:rsid wsp:val=&quot;00857D4E&quot;/&gt;&lt;wsp:rsid wsp:val=&quot;00871C01&quot;/&gt;&lt;wsp:rsid wsp:val=&quot;00877E77&quot;/&gt;&lt;wsp:rsid wsp:val=&quot;00880C94&quot;/&gt;&lt;wsp:rsid wsp:val=&quot;00894BF8&quot;/&gt;&lt;wsp:rsid wsp:val=&quot;008958A2&quot;/&gt;&lt;wsp:rsid wsp:val=&quot;008A23C4&quot;/&gt;&lt;wsp:rsid wsp:val=&quot;008C2E8E&quot;/&gt;&lt;wsp:rsid wsp:val=&quot;008C585C&quot;/&gt;&lt;wsp:rsid wsp:val=&quot;008C723B&quot;/&gt;&lt;wsp:rsid wsp:val=&quot;008D37F4&quot;/&gt;&lt;wsp:rsid wsp:val=&quot;008E0911&quot;/&gt;&lt;wsp:rsid wsp:val=&quot;008E1723&quot;/&gt;&lt;wsp:rsid wsp:val=&quot;008E54D7&quot;/&gt;&lt;wsp:rsid wsp:val=&quot;008E5CF8&quot;/&gt;&lt;wsp:rsid wsp:val=&quot;008F5D21&quot;/&gt;&lt;wsp:rsid wsp:val=&quot;00904760&quot;/&gt;&lt;wsp:rsid wsp:val=&quot;00913EA1&quot;/&gt;&lt;wsp:rsid wsp:val=&quot;00914421&quot;/&gt;&lt;wsp:rsid wsp:val=&quot;00915752&quot;/&gt;&lt;wsp:rsid wsp:val=&quot;009237C3&quot;/&gt;&lt;wsp:rsid wsp:val=&quot;00934B7E&quot;/&gt;&lt;wsp:rsid wsp:val=&quot;0094138F&quot;/&gt;&lt;wsp:rsid wsp:val=&quot;009433A2&quot;/&gt;&lt;wsp:rsid wsp:val=&quot;00966779&quot;/&gt;&lt;wsp:rsid wsp:val=&quot;00977397&quot;/&gt;&lt;wsp:rsid wsp:val=&quot;009779B6&quot;/&gt;&lt;wsp:rsid wsp:val=&quot;00987E41&quot;/&gt;&lt;wsp:rsid wsp:val=&quot;0099430A&quot;/&gt;&lt;wsp:rsid wsp:val=&quot;00996C14&quot;/&gt;&lt;wsp:rsid wsp:val=&quot;009C1616&quot;/&gt;&lt;wsp:rsid wsp:val=&quot;009C2499&quot;/&gt;&lt;wsp:rsid wsp:val=&quot;009C3B18&quot;/&gt;&lt;wsp:rsid wsp:val=&quot;009E6741&quot;/&gt;&lt;wsp:rsid wsp:val=&quot;009F1E8F&quot;/&gt;&lt;wsp:rsid wsp:val=&quot;00A00C51&quot;/&gt;&lt;wsp:rsid wsp:val=&quot;00A02934&quot;/&gt;&lt;wsp:rsid wsp:val=&quot;00A16AF4&quot;/&gt;&lt;wsp:rsid wsp:val=&quot;00A20888&quot;/&gt;&lt;wsp:rsid wsp:val=&quot;00A23767&quot;/&gt;&lt;wsp:rsid wsp:val=&quot;00A30006&quot;/&gt;&lt;wsp:rsid wsp:val=&quot;00A4446A&quot;/&gt;&lt;wsp:rsid wsp:val=&quot;00A55121&quot;/&gt;&lt;wsp:rsid wsp:val=&quot;00A5676D&quot;/&gt;&lt;wsp:rsid wsp:val=&quot;00A57C4E&quot;/&gt;&lt;wsp:rsid wsp:val=&quot;00A6144C&quot;/&gt;&lt;wsp:rsid wsp:val=&quot;00A6496F&quot;/&gt;&lt;wsp:rsid wsp:val=&quot;00A64B9E&quot;/&gt;&lt;wsp:rsid wsp:val=&quot;00A84575&quot;/&gt;&lt;wsp:rsid wsp:val=&quot;00A85062&quot;/&gt;&lt;wsp:rsid wsp:val=&quot;00A943F8&quot;/&gt;&lt;wsp:rsid wsp:val=&quot;00AA27E1&quot;/&gt;&lt;wsp:rsid wsp:val=&quot;00AA3FB3&quot;/&gt;&lt;wsp:rsid wsp:val=&quot;00AE1E36&quot;/&gt;&lt;wsp:rsid wsp:val=&quot;00AE2B49&quot;/&gt;&lt;wsp:rsid wsp:val=&quot;00B1097A&quot;/&gt;&lt;wsp:rsid wsp:val=&quot;00B1581E&quot;/&gt;&lt;wsp:rsid wsp:val=&quot;00B3006C&quot;/&gt;&lt;wsp:rsid wsp:val=&quot;00B32321&quot;/&gt;&lt;wsp:rsid wsp:val=&quot;00B3553F&quot;/&gt;&lt;wsp:rsid wsp:val=&quot;00B36D7B&quot;/&gt;&lt;wsp:rsid wsp:val=&quot;00B629C0&quot;/&gt;&lt;wsp:rsid wsp:val=&quot;00B66E57&quot;/&gt;&lt;wsp:rsid wsp:val=&quot;00B73DE3&quot;/&gt;&lt;wsp:rsid wsp:val=&quot;00B96176&quot;/&gt;&lt;wsp:rsid wsp:val=&quot;00BC141B&quot;/&gt;&lt;wsp:rsid wsp:val=&quot;00BC1C56&quot;/&gt;&lt;wsp:rsid wsp:val=&quot;00BD169D&quot;/&gt;&lt;wsp:rsid wsp:val=&quot;00BD2D2F&quot;/&gt;&lt;wsp:rsid wsp:val=&quot;00BD5A85&quot;/&gt;&lt;wsp:rsid wsp:val=&quot;00C0068B&quot;/&gt;&lt;wsp:rsid wsp:val=&quot;00C00AC4&quot;/&gt;&lt;wsp:rsid wsp:val=&quot;00C04F86&quot;/&gt;&lt;wsp:rsid wsp:val=&quot;00C122FC&quot;/&gt;&lt;wsp:rsid wsp:val=&quot;00C44F70&quot;/&gt;&lt;wsp:rsid wsp:val=&quot;00C52635&quot;/&gt;&lt;wsp:rsid wsp:val=&quot;00C54018&quot;/&gt;&lt;wsp:rsid wsp:val=&quot;00C543EA&quot;/&gt;&lt;wsp:rsid wsp:val=&quot;00C6338D&quot;/&gt;&lt;wsp:rsid wsp:val=&quot;00C70D1B&quot;/&gt;&lt;wsp:rsid wsp:val=&quot;00C72F23&quot;/&gt;&lt;wsp:rsid wsp:val=&quot;00C73116&quot;/&gt;&lt;wsp:rsid wsp:val=&quot;00C823AA&quot;/&gt;&lt;wsp:rsid wsp:val=&quot;00CA3B42&quot;/&gt;&lt;wsp:rsid wsp:val=&quot;00CB4A6E&quot;/&gt;&lt;wsp:rsid wsp:val=&quot;00CD77EE&quot;/&gt;&lt;wsp:rsid wsp:val=&quot;00CE5E5B&quot;/&gt;&lt;wsp:rsid wsp:val=&quot;00D033AA&quot;/&gt;&lt;wsp:rsid wsp:val=&quot;00D0368B&quot;/&gt;&lt;wsp:rsid wsp:val=&quot;00D66545&quot;/&gt;&lt;wsp:rsid wsp:val=&quot;00D74A1C&quot;/&gt;&lt;wsp:rsid wsp:val=&quot;00D904FE&quot;/&gt;&lt;wsp:rsid wsp:val=&quot;00D962BB&quot;/&gt;&lt;wsp:rsid wsp:val=&quot;00DA3202&quot;/&gt;&lt;wsp:rsid wsp:val=&quot;00DB61D3&quot;/&gt;&lt;wsp:rsid wsp:val=&quot;00DB6B32&quot;/&gt;&lt;wsp:rsid wsp:val=&quot;00DC315B&quot;/&gt;&lt;wsp:rsid wsp:val=&quot;00DC34C0&quot;/&gt;&lt;wsp:rsid wsp:val=&quot;00DD6815&quot;/&gt;&lt;wsp:rsid wsp:val=&quot;00DD7A49&quot;/&gt;&lt;wsp:rsid wsp:val=&quot;00DE77C9&quot;/&gt;&lt;wsp:rsid wsp:val=&quot;00DF1203&quot;/&gt;&lt;wsp:rsid wsp:val=&quot;00DF4FF8&quot;/&gt;&lt;wsp:rsid wsp:val=&quot;00DF7FAA&quot;/&gt;&lt;wsp:rsid wsp:val=&quot;00E23A24&quot;/&gt;&lt;wsp:rsid wsp:val=&quot;00E314B1&quot;/&gt;&lt;wsp:rsid wsp:val=&quot;00E40249&quot;/&gt;&lt;wsp:rsid wsp:val=&quot;00E47C91&quot;/&gt;&lt;wsp:rsid wsp:val=&quot;00E51D00&quot;/&gt;&lt;wsp:rsid wsp:val=&quot;00E608BC&quot;/&gt;&lt;wsp:rsid wsp:val=&quot;00E74BBE&quot;/&gt;&lt;wsp:rsid wsp:val=&quot;00EA1965&quot;/&gt;&lt;wsp:rsid wsp:val=&quot;00EA68FD&quot;/&gt;&lt;wsp:rsid wsp:val=&quot;00ED3B81&quot;/&gt;&lt;wsp:rsid wsp:val=&quot;00ED4892&quot;/&gt;&lt;wsp:rsid wsp:val=&quot;00EE3257&quot;/&gt;&lt;wsp:rsid wsp:val=&quot;00EF1A2D&quot;/&gt;&lt;wsp:rsid wsp:val=&quot;00F2142B&quot;/&gt;&lt;wsp:rsid wsp:val=&quot;00F21B4F&quot;/&gt;&lt;wsp:rsid wsp:val=&quot;00F24C65&quot;/&gt;&lt;wsp:rsid wsp:val=&quot;00F43CA6&quot;/&gt;&lt;wsp:rsid wsp:val=&quot;00F4597F&quot;/&gt;&lt;wsp:rsid wsp:val=&quot;00F7098A&quot;/&gt;&lt;wsp:rsid wsp:val=&quot;00F76108&quot;/&gt;&lt;wsp:rsid wsp:val=&quot;00F76FC1&quot;/&gt;&lt;wsp:rsid wsp:val=&quot;00F80A2A&quot;/&gt;&lt;wsp:rsid wsp:val=&quot;00F81843&quot;/&gt;&lt;wsp:rsid wsp:val=&quot;00F83E07&quot;/&gt;&lt;wsp:rsid wsp:val=&quot;00F86305&quot;/&gt;&lt;wsp:rsid wsp:val=&quot;00F8744B&quot;/&gt;&lt;wsp:rsid wsp:val=&quot;00F93513&quot;/&gt;&lt;wsp:rsid wsp:val=&quot;00FB431A&quot;/&gt;&lt;wsp:rsid wsp:val=&quot;00FB7C01&quot;/&gt;&lt;wsp:rsid wsp:val=&quot;00FC76B3&quot;/&gt;&lt;wsp:rsid wsp:val=&quot;00FE4B13&quot;/&gt;&lt;wsp:rsid wsp:val=&quot;00FF05D2&quot;/&gt;&lt;wsp:rsid wsp:val=&quot;00FF72E9&quot;/&gt;&lt;/wsp:rsids&gt;&lt;/w:docPr&gt;&lt;w:body&gt;&lt;w:p wsp:rsidR=&quot;00000000&quot; wsp:rsidRDefault=&quot;00254E68&quot; wsp:rsidP=&quot;00254E68&quot;&gt;&lt;w:pPr&gt;&lt;w:ind w:first-line=&quot;480&quot;/&gt;&lt;/w:pPr&gt;&lt;m:oMathPara&gt;&lt;m:oMath&gt;&lt;m:r&gt;&lt;m:rPr&gt;&lt;m:sty m:val=&quot;p&quot;/&gt;&lt;/m:rPr&gt;&lt;w:rPr&gt;&lt;w:rFonts w:ascii=&quot;Cambria Math&quot;/&gt;&lt;wx:font wx:val=&quot;Cambria Math&quot;/&gt;&lt;/w:rPr&gt;&lt;m:t&gt;(&lt;/m:t&gt;&lt;/m:r&gt;&lt;m:f&gt;&lt;m:fPr&gt;&lt;m:ctrlPr&gt;&lt;w:rPr&gt;&lt;w:rFonts w:ascii=&quot;Cambria Math&quot;/&gt;&lt;wx:font wx:val=&quot;Cambria Math&quot;/&gt;&lt;/w:rPr&gt;&lt;/m:ctrlPr&gt;&lt;/m:fPr&gt;&lt;m:num&gt;&lt;m:r&gt;&lt;m:rPr&gt;&lt;m:sty m:val=&quot;p&quot;/&gt;&lt;/m:rPr&gt;&lt;w:rPr&gt;&lt;w:rFonts w:ascii=&quot;Cambria Math&quot;/&gt;&lt;wx:font wx:val=&quot;Cambria Math&quot;/&gt;&lt;/w:rPr&gt;&lt;m:t&gt;V&lt;/m:t&gt;&lt;/m:r&gt;&lt;/m:num&gt;&lt;m:den&gt;&lt;m:r&gt;&lt;m:rPr&gt;&lt;m:sty m:val=&quot;p&quot;/&gt;&lt;/m:rPr&gt;&lt;w:rPr&gt;&lt;w:rFonts w:ascii=&quot;Cambria Math&quot;/&gt;&lt;wx:font wx:val=&quot;Cambria Math&quot;/&gt;&lt;/w:rPr&gt;&lt;m:t&gt;5&lt;/m:t&gt;&lt;/m:r&gt;&lt;/m:den&gt;&lt;/m:f&gt;&lt;m:r&gt;&lt;m:rPr&gt;&lt;m:sty m:val=&quot;p&quot;/&gt;&lt;/m:rPr&gt;&lt;w:rPr&gt;&lt;w:rFonts w:ascii=&quot;Cambria Math&quot;/&gt;&lt;wx:font wx:val=&quot;Cambria Math&quot;/&gt;&lt;/w:rPr&gt;&lt;m:t&gt;)&lt;/m:t&gt;&lt;/m:r&gt;&lt;m:sSup&gt;&lt;m:sSupPr&gt;&lt;m:ctrlPr&gt;&lt;w:rPr&gt;&lt;w:rFonts w:ascii=&quot;Cambria Math&quot;/&gt;&lt;wx:font wx:val=&quot;Cambria Math&quot;/&gt;&lt;/w:rPr&gt;&lt;/m:ctrlPr&gt;&lt;/m:sSupPr&gt;&lt;m:e&gt;&lt;m:r&gt;&lt;m:rPr&gt;&lt;m:sty m:val=&quot;p&quot;/&gt;&lt;/m:rPr&gt;&lt;w:rPr&gt;&lt;w:rFonts w:ascii=&quot;Cambria Math&quot;/&gt;&lt;wx:font wx:val=&quot;Cambria Math&quot;/&gt;&lt;/w:rPr&gt;&lt;m:t&gt;(&lt;/m:t&gt;&lt;/m:r&gt;&lt;m:f&gt;&lt;m:fPr&gt;&lt;m:ctrlPr&gt;&lt;w:rPr&gt;&lt;w:rFonts w:ascii=&quot;Cambria Math&quot;/&gt;&lt;wx:font wx:val=&quot;Cambria Math&quot;/&gt;&lt;/w:rPr&gt;&lt;/m:ctrlPr&gt;&lt;/m:fPr&gt;&lt;m:num&gt;&lt;m:r&gt;&lt;m:rPr&gt;&lt;m:sty m:val=&quot;p&quot;/&gt;&lt;/m:rPr&gt;&lt;w:rPr&gt;&lt;w:rFonts w:ascii=&quot;Cambria Math&quot;/&gt;&lt;wx:font wx:val=&quot;Cambria Math&quot;/&gt;&lt;/w:rPr&gt;&lt;m:t&gt;W&lt;/m:t&gt;&lt;/m:r&gt;&lt;/m:num&gt;&lt;m:den&gt;&lt;m:r&gt;&lt;m:rPr&gt;&lt;m:sty m:val=&quot;p&quot;/&gt;&lt;/m:rPr&gt;&lt;w:rPr&gt;&lt;w:rFonts w:ascii=&quot;Cambria Math&quot;/&gt;&lt;wx:font wx:val=&quot;Cambria Math&quot;/&gt;&lt;/w:rPr&gt;&lt;m:t&gt;6.8&lt;/m:t&gt;&lt;/m:r&gt;&lt;/m:den&gt;&lt;/m:f&gt;&lt;m:r&gt;&lt;m:rPr&gt;&lt;m:sty m:val=&quot;p&quot;/&gt;&lt;/m:rPr&gt;&lt;w:rPr&gt;&lt;w:rFonts w:ascii=&quot;Cambria Math&quot;/&gt;&lt;wx:font wx:val=&quot;Cambria Math&quot;/&gt;&lt;/w:rPr&gt;&lt;m:t&gt;)&lt;/m:t&gt;&lt;/m:r&gt;&lt;/m:e&gt;&lt;m:sup&gt;&lt;m:r&gt;&lt;m:rPr&gt;&lt;m:sty m:val=&quot;p&quot;/&gt;&lt;/m:rPr&gt;&lt;w:rPr&gt;&lt;w:rFonts w:ascii=&quot;Cambria Math&quot;/&gt;&lt;wx:font wx:val=&quot;Cambria Math&quot;/&gt;&lt;/w:rPr&gt;&lt;m:t&gt;0.85&lt;/m:t&gt;&lt;/m:r&gt;&lt;/m:sup&gt;&lt;/m:sSup&gt;&lt;m:sSup&gt;&lt;m:sSupPr&gt;&lt;m:ctrlPr&gt;&lt;w:rPr&gt;&lt;w:rFonts w:ascii=&quot;Cambria Math&quot;/&gt;&lt;wx:font wx:val=&quot;Cambria Math&quot;/&gt;&lt;/w:rPr&gt;&lt;/m:ctrlPr&gt;&lt;/m:sSupPr&gt;&lt;m:e&gt;&lt;m:r&gt;&lt;m:rPr&gt;&lt;m:sty m:val=&quot;p&quot;/&gt;&lt;/m:rPr&gt;&lt;w:rPr&gt;&lt;w:rFonts w:ascii=&quot;Cambria Math&quot;/&gt;&lt;wx:font wx:val=&quot;Cambria Math&quot;/&gt;&lt;/w:rPr&gt;&lt;m:t&gt;(&lt;/m:t&gt;&lt;/m:r&gt;&lt;m:f&gt;&lt;m:fPr&gt;&lt;m:ctrlPr&gt;&lt;w:rPr&gt;&lt;w:rFonts w:ascii=&quot;Cambria Math&quot;/&gt;&lt;wx:font wx:val=&quot;Cambria Math&quot;/&gt;&lt;/w:rPr&gt;&lt;/m:ctrlPr&gt;&lt;/m:fPr&gt;&lt;m:num&gt;&lt;m:r&gt;&lt;m:rPr&gt;&lt;m:sty m:val=&quot;p&quot;/&gt;&lt;/m:rPr&gt;&lt;w:rPr&gt;&lt;w:rFonts w:ascii=&quot;Cambria Math&quot;/&gt;&lt;wx:font wx:val=&quot;Cambria Math&quot;/&gt;&lt;/w:rPr&gt;&lt;m:t&gt;P&lt;/m:t&gt;&lt;/m:r&gt;&lt;/m:num&gt;&lt;m:den&gt;&lt;m:r&gt;&lt;m:rPr&gt;&lt;m:sty m:val=&quot;p&quot;/&gt;&lt;/m:rPr&gt;&lt;w:rPr&gt;&lt;w:rFonts w:ascii=&quot;Cambria Math&quot;/&gt;&lt;wx:font wx:val=&quot;Cambria Math&quot;/&gt;&lt;/w:rPr&gt;&lt;m:t&gt;0.5&lt;/m:t&gt;&lt;/m:r&gt;&lt;/m:den&gt;&lt;/m:f&gt;&lt;m:r&gt;&lt;m:rPr&gt;&lt;m:sty m:val=&quot;p&quot;/&gt;&lt;/m:rPr&gt;&lt;w:rPr&gt;&lt;w:rFonts w:ascii=&quot;Cambria Math&quot;/&gt;&lt;wx:font wx:val=&quot;Cambria Math&quot;/&gt;&lt;/w:rPr&gt;&lt;m:t&gt;)&lt;/m:t&gt;&lt;/m:r&gt;&lt;/m:e&gt;&lt;m:sup&gt;&lt;m:r&gt;&lt;m:rPr&gt;&lt;m:sty m:val=&quot;p&quot;/&gt;&lt;/m:rPr&gt;&lt;w:rPr&gt;&lt;w:rFonts w:ascii=&quot;Cambria Math&quot;/&gt;&lt;wx:font wx:val=&quot;Cambria Math&quot;/&gt;&lt;/w:rPr&gt;&lt;m:t&gt;0.75&lt;/m:t&gt;&lt;/m:r&gt;&lt;/m:sup&gt;&lt;/m:s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42" chromakey="#FFFFFF" o:title=""/>
            <o:lock v:ext="edit" aspectratio="t"/>
            <w10:wrap type="none"/>
            <w10:anchorlock/>
          </v:shape>
        </w:pict>
      </w:r>
      <w:r>
        <w:rPr>
          <w:b/>
          <w:color w:val="auto"/>
          <w:kern w:val="0"/>
          <w:u w:val="none"/>
        </w:rPr>
        <w:fldChar w:fldCharType="end"/>
      </w:r>
    </w:p>
    <w:p>
      <w:pPr>
        <w:ind w:firstLine="480"/>
        <w:rPr>
          <w:color w:val="auto"/>
          <w:kern w:val="0"/>
          <w:u w:val="none"/>
        </w:rPr>
      </w:pPr>
      <w:r>
        <w:rPr>
          <w:rFonts w:hint="eastAsia"/>
          <w:color w:val="auto"/>
          <w:kern w:val="0"/>
          <w:u w:val="none"/>
        </w:rPr>
        <w:t>其中：Q——汽车行驶时的扬尘，kg/km·辆；</w:t>
      </w:r>
    </w:p>
    <w:p>
      <w:pPr>
        <w:ind w:firstLine="1200" w:firstLineChars="500"/>
        <w:rPr>
          <w:color w:val="auto"/>
          <w:kern w:val="0"/>
          <w:u w:val="none"/>
        </w:rPr>
      </w:pPr>
      <w:r>
        <w:rPr>
          <w:rFonts w:hint="eastAsia"/>
          <w:color w:val="auto"/>
          <w:kern w:val="0"/>
          <w:u w:val="none"/>
        </w:rPr>
        <w:t>V——汽车车速，km/h；</w:t>
      </w:r>
    </w:p>
    <w:p>
      <w:pPr>
        <w:ind w:firstLine="1200" w:firstLineChars="500"/>
        <w:rPr>
          <w:color w:val="auto"/>
          <w:kern w:val="0"/>
          <w:u w:val="none"/>
        </w:rPr>
      </w:pPr>
      <w:r>
        <w:rPr>
          <w:rFonts w:hint="eastAsia"/>
          <w:color w:val="auto"/>
          <w:kern w:val="0"/>
          <w:u w:val="none"/>
        </w:rPr>
        <w:t>W——汽车载重量，吨；</w:t>
      </w:r>
    </w:p>
    <w:p>
      <w:pPr>
        <w:ind w:firstLine="1200" w:firstLineChars="500"/>
        <w:rPr>
          <w:color w:val="auto"/>
          <w:kern w:val="0"/>
          <w:u w:val="none"/>
          <w:vertAlign w:val="superscript"/>
        </w:rPr>
      </w:pPr>
      <w:r>
        <w:rPr>
          <w:rFonts w:hint="eastAsia"/>
          <w:color w:val="auto"/>
          <w:kern w:val="0"/>
          <w:u w:val="none"/>
        </w:rPr>
        <w:t>P——道路表面粉尘量，kg/m</w:t>
      </w:r>
      <w:r>
        <w:rPr>
          <w:rFonts w:hint="eastAsia"/>
          <w:color w:val="auto"/>
          <w:kern w:val="0"/>
          <w:u w:val="none"/>
          <w:vertAlign w:val="superscript"/>
        </w:rPr>
        <w:t>2</w:t>
      </w:r>
    </w:p>
    <w:p>
      <w:pPr>
        <w:ind w:firstLine="480"/>
        <w:jc w:val="both"/>
        <w:rPr>
          <w:color w:val="auto"/>
          <w:kern w:val="0"/>
          <w:u w:val="none"/>
        </w:rPr>
      </w:pPr>
      <w:r>
        <w:rPr>
          <w:rFonts w:hint="eastAsia"/>
          <w:color w:val="auto"/>
          <w:kern w:val="0"/>
          <w:u w:val="none"/>
        </w:rPr>
        <w:t>表4.1-1中为一辆10吨卡车，通过长度为1km的一段路面时，路面不同清洁程度，不同行驶速度情况下的扬尘量。由此可见，在路面同样清洁程度下，车速越快，扬尘量越大；而在同样车速情况下，路面越脏，扬尘量越大。因此限速行驶及保持路面的清洁是减少汽车扬尘的有效办法。</w:t>
      </w:r>
    </w:p>
    <w:p>
      <w:pPr>
        <w:ind w:firstLine="422"/>
        <w:jc w:val="center"/>
        <w:rPr>
          <w:b/>
          <w:color w:val="auto"/>
          <w:kern w:val="0"/>
          <w:sz w:val="21"/>
          <w:szCs w:val="21"/>
          <w:u w:val="none"/>
        </w:rPr>
      </w:pPr>
      <w:r>
        <w:rPr>
          <w:rFonts w:hint="eastAsia"/>
          <w:b/>
          <w:color w:val="auto"/>
          <w:kern w:val="0"/>
          <w:sz w:val="21"/>
          <w:szCs w:val="21"/>
          <w:u w:val="none"/>
        </w:rPr>
        <w:t>表4.1-1</w:t>
      </w:r>
      <w:r>
        <w:rPr>
          <w:b/>
          <w:color w:val="auto"/>
          <w:kern w:val="0"/>
          <w:sz w:val="21"/>
          <w:szCs w:val="21"/>
          <w:u w:val="none"/>
        </w:rPr>
        <w:t xml:space="preserve"> </w:t>
      </w:r>
      <w:r>
        <w:rPr>
          <w:rFonts w:hint="eastAsia"/>
          <w:b/>
          <w:color w:val="auto"/>
          <w:kern w:val="0"/>
          <w:sz w:val="21"/>
          <w:szCs w:val="21"/>
          <w:u w:val="none"/>
        </w:rPr>
        <w:t>在不同车速和地面清洁程度下的汽车扬尘（kg/km·辆）</w:t>
      </w:r>
    </w:p>
    <w:tbl>
      <w:tblPr>
        <w:tblStyle w:val="36"/>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35"/>
        <w:gridCol w:w="1018"/>
        <w:gridCol w:w="1019"/>
        <w:gridCol w:w="1164"/>
        <w:gridCol w:w="1162"/>
        <w:gridCol w:w="1164"/>
        <w:gridCol w:w="96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94" w:type="pct"/>
            <w:tcBorders>
              <w:left w:val="single" w:color="000000" w:sz="4" w:space="0"/>
              <w:tl2br w:val="single" w:color="000000" w:sz="4"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 xml:space="preserve">        P（kg/m</w:t>
            </w:r>
            <w:r>
              <w:rPr>
                <w:rFonts w:hint="default" w:ascii="Times New Roman" w:hAnsi="Times New Roman" w:cs="Times New Roman"/>
                <w:b/>
                <w:bCs/>
                <w:color w:val="auto"/>
                <w:u w:val="none"/>
                <w:vertAlign w:val="superscript"/>
              </w:rPr>
              <w:t>2</w:t>
            </w:r>
            <w:r>
              <w:rPr>
                <w:rFonts w:hint="default" w:ascii="Times New Roman" w:hAnsi="Times New Roman" w:cs="Times New Roman"/>
                <w:b/>
                <w:bCs/>
                <w:color w:val="auto"/>
                <w:u w:val="none"/>
              </w:rPr>
              <w:t>）</w:t>
            </w:r>
          </w:p>
          <w:p>
            <w:pPr>
              <w:pStyle w:val="73"/>
              <w:jc w:val="left"/>
              <w:rPr>
                <w:rFonts w:hint="default" w:ascii="Times New Roman" w:hAnsi="Times New Roman" w:cs="Times New Roman"/>
                <w:b/>
                <w:bCs/>
                <w:color w:val="auto"/>
                <w:u w:val="none"/>
              </w:rPr>
            </w:pPr>
            <w:r>
              <w:rPr>
                <w:rFonts w:hint="default" w:ascii="Times New Roman" w:hAnsi="Times New Roman" w:cs="Times New Roman"/>
                <w:b/>
                <w:bCs/>
                <w:color w:val="auto"/>
                <w:u w:val="none"/>
              </w:rPr>
              <w:t>车速（km/h）</w:t>
            </w:r>
          </w:p>
        </w:tc>
        <w:tc>
          <w:tcPr>
            <w:tcW w:w="597"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0.1</w:t>
            </w:r>
          </w:p>
        </w:tc>
        <w:tc>
          <w:tcPr>
            <w:tcW w:w="598"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0.2</w:t>
            </w:r>
          </w:p>
        </w:tc>
        <w:tc>
          <w:tcPr>
            <w:tcW w:w="683"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0.3</w:t>
            </w:r>
          </w:p>
        </w:tc>
        <w:tc>
          <w:tcPr>
            <w:tcW w:w="682"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0.4</w:t>
            </w:r>
          </w:p>
        </w:tc>
        <w:tc>
          <w:tcPr>
            <w:tcW w:w="683" w:type="pc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0.5</w:t>
            </w:r>
          </w:p>
        </w:tc>
        <w:tc>
          <w:tcPr>
            <w:tcW w:w="563" w:type="pct"/>
            <w:tcBorders>
              <w:right w:val="single" w:color="000000" w:sz="4"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94" w:type="pct"/>
            <w:tcBorders>
              <w:left w:val="single" w:color="000000"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59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0.0283</w:t>
            </w:r>
          </w:p>
        </w:tc>
        <w:tc>
          <w:tcPr>
            <w:tcW w:w="598"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0.0476</w:t>
            </w:r>
          </w:p>
        </w:tc>
        <w:tc>
          <w:tcPr>
            <w:tcW w:w="683"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0.0646</w:t>
            </w:r>
          </w:p>
        </w:tc>
        <w:tc>
          <w:tcPr>
            <w:tcW w:w="68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0.0801</w:t>
            </w:r>
          </w:p>
        </w:tc>
        <w:tc>
          <w:tcPr>
            <w:tcW w:w="683"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0.0947</w:t>
            </w:r>
          </w:p>
        </w:tc>
        <w:tc>
          <w:tcPr>
            <w:tcW w:w="563" w:type="pct"/>
            <w:tcBorders>
              <w:right w:val="single" w:color="000000"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0.1593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94" w:type="pct"/>
            <w:tcBorders>
              <w:left w:val="single" w:color="000000"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59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0.0566</w:t>
            </w:r>
          </w:p>
        </w:tc>
        <w:tc>
          <w:tcPr>
            <w:tcW w:w="598"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0.0953</w:t>
            </w:r>
          </w:p>
        </w:tc>
        <w:tc>
          <w:tcPr>
            <w:tcW w:w="683"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0.1291</w:t>
            </w:r>
          </w:p>
        </w:tc>
        <w:tc>
          <w:tcPr>
            <w:tcW w:w="68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0.1602</w:t>
            </w:r>
          </w:p>
        </w:tc>
        <w:tc>
          <w:tcPr>
            <w:tcW w:w="683"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0.1894</w:t>
            </w:r>
          </w:p>
        </w:tc>
        <w:tc>
          <w:tcPr>
            <w:tcW w:w="563" w:type="pct"/>
            <w:tcBorders>
              <w:right w:val="single" w:color="000000"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0.3186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94" w:type="pct"/>
            <w:tcBorders>
              <w:left w:val="single" w:color="000000"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59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0.0850</w:t>
            </w:r>
          </w:p>
        </w:tc>
        <w:tc>
          <w:tcPr>
            <w:tcW w:w="598"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0.1429</w:t>
            </w:r>
          </w:p>
        </w:tc>
        <w:tc>
          <w:tcPr>
            <w:tcW w:w="683"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0.1937</w:t>
            </w:r>
          </w:p>
        </w:tc>
        <w:tc>
          <w:tcPr>
            <w:tcW w:w="68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0.2403</w:t>
            </w:r>
          </w:p>
        </w:tc>
        <w:tc>
          <w:tcPr>
            <w:tcW w:w="683"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0.2841</w:t>
            </w:r>
          </w:p>
        </w:tc>
        <w:tc>
          <w:tcPr>
            <w:tcW w:w="563" w:type="pct"/>
            <w:tcBorders>
              <w:right w:val="single" w:color="000000"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0.4778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94" w:type="pct"/>
            <w:tcBorders>
              <w:left w:val="single" w:color="000000"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w:t>
            </w:r>
          </w:p>
        </w:tc>
        <w:tc>
          <w:tcPr>
            <w:tcW w:w="597"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0.1133</w:t>
            </w:r>
          </w:p>
        </w:tc>
        <w:tc>
          <w:tcPr>
            <w:tcW w:w="598"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0.1905</w:t>
            </w:r>
          </w:p>
        </w:tc>
        <w:tc>
          <w:tcPr>
            <w:tcW w:w="683"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0.2583</w:t>
            </w:r>
          </w:p>
        </w:tc>
        <w:tc>
          <w:tcPr>
            <w:tcW w:w="682"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0.3204</w:t>
            </w:r>
          </w:p>
        </w:tc>
        <w:tc>
          <w:tcPr>
            <w:tcW w:w="683"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0.3788</w:t>
            </w:r>
          </w:p>
        </w:tc>
        <w:tc>
          <w:tcPr>
            <w:tcW w:w="563" w:type="pct"/>
            <w:tcBorders>
              <w:right w:val="single" w:color="000000"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0.6371</w:t>
            </w:r>
          </w:p>
        </w:tc>
      </w:tr>
    </w:tbl>
    <w:p>
      <w:pPr>
        <w:ind w:firstLine="480"/>
        <w:jc w:val="both"/>
        <w:rPr>
          <w:color w:val="auto"/>
          <w:kern w:val="0"/>
          <w:u w:val="none"/>
        </w:rPr>
      </w:pPr>
      <w:r>
        <w:rPr>
          <w:rFonts w:hint="eastAsia"/>
          <w:color w:val="auto"/>
          <w:kern w:val="0"/>
          <w:u w:val="none"/>
        </w:rPr>
        <w:t>综上所述，扬尘的产生量与施工队的文明作业程度和管理水平密切相关，扬尘量也受当时的风速、湿度、温度等气象要素影响。一般情况下，施工工地、施工道路在自然风作用下产生的扬尘所影响的范围在100m以内。如果在施工期间对车辆行驶的路面实施洒水抑尘，每天洒水4~5次，可使扬尘减少70%左右，表4.1-2为施工场地洒水降尘的实验结果。可见每天洒水4~5次，可有效控制施工扬尘，可将TSP的污染距离缩小到20~50m范围。</w:t>
      </w:r>
    </w:p>
    <w:p>
      <w:pPr>
        <w:ind w:firstLine="422"/>
        <w:jc w:val="center"/>
        <w:rPr>
          <w:b/>
          <w:color w:val="auto"/>
          <w:kern w:val="0"/>
          <w:sz w:val="21"/>
          <w:szCs w:val="21"/>
          <w:u w:val="none"/>
        </w:rPr>
      </w:pPr>
      <w:r>
        <w:rPr>
          <w:rFonts w:hint="eastAsia"/>
          <w:b/>
          <w:color w:val="auto"/>
          <w:kern w:val="0"/>
          <w:sz w:val="21"/>
          <w:szCs w:val="21"/>
          <w:u w:val="none"/>
        </w:rPr>
        <w:t>表4.1-2</w:t>
      </w:r>
      <w:r>
        <w:rPr>
          <w:b/>
          <w:color w:val="auto"/>
          <w:kern w:val="0"/>
          <w:sz w:val="21"/>
          <w:szCs w:val="21"/>
          <w:u w:val="none"/>
        </w:rPr>
        <w:t xml:space="preserve"> </w:t>
      </w:r>
      <w:r>
        <w:rPr>
          <w:rFonts w:hint="eastAsia"/>
          <w:b/>
          <w:color w:val="auto"/>
          <w:kern w:val="0"/>
          <w:sz w:val="21"/>
          <w:szCs w:val="21"/>
          <w:u w:val="none"/>
        </w:rPr>
        <w:t>施工场地洒水降尘实验结果</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01"/>
        <w:gridCol w:w="1241"/>
        <w:gridCol w:w="1420"/>
        <w:gridCol w:w="1420"/>
        <w:gridCol w:w="1420"/>
        <w:gridCol w:w="1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67" w:type="pct"/>
            <w:gridSpan w:val="2"/>
            <w:noWrap w:val="0"/>
            <w:vAlign w:val="top"/>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距离</w:t>
            </w:r>
          </w:p>
        </w:tc>
        <w:tc>
          <w:tcPr>
            <w:tcW w:w="833" w:type="pct"/>
            <w:noWrap w:val="0"/>
            <w:vAlign w:val="top"/>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5</w:t>
            </w:r>
          </w:p>
        </w:tc>
        <w:tc>
          <w:tcPr>
            <w:tcW w:w="833" w:type="pct"/>
            <w:noWrap w:val="0"/>
            <w:vAlign w:val="top"/>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20</w:t>
            </w:r>
          </w:p>
        </w:tc>
        <w:tc>
          <w:tcPr>
            <w:tcW w:w="833" w:type="pct"/>
            <w:noWrap w:val="0"/>
            <w:vAlign w:val="top"/>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50</w:t>
            </w:r>
          </w:p>
        </w:tc>
        <w:tc>
          <w:tcPr>
            <w:tcW w:w="833" w:type="pct"/>
            <w:noWrap w:val="0"/>
            <w:vAlign w:val="top"/>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0" w:type="pct"/>
            <w:vMerge w:val="restar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TSP小时平均浓度（mg/m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w:t>
            </w:r>
          </w:p>
        </w:tc>
        <w:tc>
          <w:tcPr>
            <w:tcW w:w="728" w:type="pc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不洒水</w:t>
            </w:r>
          </w:p>
        </w:tc>
        <w:tc>
          <w:tcPr>
            <w:tcW w:w="833" w:type="pc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10.14</w:t>
            </w:r>
          </w:p>
        </w:tc>
        <w:tc>
          <w:tcPr>
            <w:tcW w:w="833" w:type="pc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2.89</w:t>
            </w:r>
          </w:p>
        </w:tc>
        <w:tc>
          <w:tcPr>
            <w:tcW w:w="833" w:type="pc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1.15</w:t>
            </w:r>
          </w:p>
        </w:tc>
        <w:tc>
          <w:tcPr>
            <w:tcW w:w="833" w:type="pc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0" w:type="pct"/>
            <w:vMerge w:val="continue"/>
            <w:noWrap w:val="0"/>
            <w:vAlign w:val="top"/>
          </w:tcPr>
          <w:p>
            <w:pPr>
              <w:pStyle w:val="73"/>
              <w:rPr>
                <w:rFonts w:hint="default" w:ascii="Times New Roman" w:hAnsi="Times New Roman" w:cs="Times New Roman"/>
                <w:color w:val="auto"/>
                <w:u w:val="none"/>
              </w:rPr>
            </w:pPr>
          </w:p>
        </w:tc>
        <w:tc>
          <w:tcPr>
            <w:tcW w:w="728" w:type="pc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洒水</w:t>
            </w:r>
          </w:p>
        </w:tc>
        <w:tc>
          <w:tcPr>
            <w:tcW w:w="833" w:type="pc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2.01</w:t>
            </w:r>
          </w:p>
        </w:tc>
        <w:tc>
          <w:tcPr>
            <w:tcW w:w="833" w:type="pc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1.40</w:t>
            </w:r>
          </w:p>
        </w:tc>
        <w:tc>
          <w:tcPr>
            <w:tcW w:w="833" w:type="pc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0.67</w:t>
            </w:r>
          </w:p>
        </w:tc>
        <w:tc>
          <w:tcPr>
            <w:tcW w:w="833" w:type="pct"/>
            <w:noWrap w:val="0"/>
            <w:vAlign w:val="top"/>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0.60</w:t>
            </w:r>
          </w:p>
        </w:tc>
      </w:tr>
    </w:tbl>
    <w:p>
      <w:pPr>
        <w:ind w:firstLine="480"/>
        <w:jc w:val="both"/>
        <w:rPr>
          <w:color w:val="auto"/>
          <w:kern w:val="0"/>
          <w:u w:val="none"/>
        </w:rPr>
      </w:pPr>
      <w:r>
        <w:rPr>
          <w:rFonts w:hint="eastAsia"/>
          <w:color w:val="auto"/>
          <w:kern w:val="0"/>
          <w:u w:val="none"/>
        </w:rPr>
        <w:t>项目最近</w:t>
      </w:r>
      <w:r>
        <w:rPr>
          <w:rFonts w:hint="eastAsia"/>
          <w:color w:val="auto"/>
          <w:u w:val="none"/>
          <w:lang w:eastAsia="zh-CN"/>
        </w:rPr>
        <w:t>公租房</w:t>
      </w:r>
      <w:r>
        <w:rPr>
          <w:rFonts w:hint="eastAsia"/>
          <w:color w:val="auto"/>
          <w:kern w:val="0"/>
          <w:u w:val="none"/>
        </w:rPr>
        <w:t>居民点，位于项目建设地</w:t>
      </w:r>
      <w:r>
        <w:rPr>
          <w:rFonts w:hint="eastAsia"/>
          <w:color w:val="auto"/>
          <w:kern w:val="0"/>
          <w:u w:val="none"/>
          <w:lang w:eastAsia="zh-CN"/>
        </w:rPr>
        <w:t>西</w:t>
      </w:r>
      <w:r>
        <w:rPr>
          <w:rFonts w:hint="eastAsia"/>
          <w:color w:val="auto"/>
          <w:kern w:val="0"/>
          <w:u w:val="none"/>
        </w:rPr>
        <w:t>北侧约</w:t>
      </w:r>
      <w:r>
        <w:rPr>
          <w:rFonts w:hint="eastAsia"/>
          <w:color w:val="auto"/>
          <w:kern w:val="0"/>
          <w:u w:val="none"/>
          <w:lang w:val="en-US" w:eastAsia="zh-CN"/>
        </w:rPr>
        <w:t>50</w:t>
      </w:r>
      <w:r>
        <w:rPr>
          <w:rFonts w:hint="eastAsia"/>
          <w:color w:val="auto"/>
          <w:kern w:val="0"/>
          <w:u w:val="none"/>
        </w:rPr>
        <w:t>m处，综合上述分析结合本项目建设的实际情况，项目建设施工过程中通过加强洒水降尘同时合理堆放建筑材料以及建筑垃圾、设置相应的车辆冲洗设施等措施后，项目施工期扬尘对附近居民点以及环境保护目标影响较小。</w:t>
      </w:r>
    </w:p>
    <w:p>
      <w:pPr>
        <w:ind w:firstLine="480"/>
        <w:rPr>
          <w:color w:val="auto"/>
          <w:kern w:val="0"/>
          <w:u w:val="none"/>
        </w:rPr>
      </w:pPr>
      <w:r>
        <w:rPr>
          <w:rFonts w:hint="eastAsia"/>
          <w:color w:val="auto"/>
          <w:kern w:val="0"/>
          <w:u w:val="none"/>
        </w:rPr>
        <w:t>（2）</w:t>
      </w:r>
      <w:r>
        <w:rPr>
          <w:color w:val="auto"/>
          <w:kern w:val="0"/>
          <w:u w:val="none"/>
        </w:rPr>
        <w:t>机械和运输车辆尾气</w:t>
      </w:r>
    </w:p>
    <w:p>
      <w:pPr>
        <w:ind w:firstLine="480"/>
        <w:jc w:val="both"/>
        <w:rPr>
          <w:rFonts w:hint="eastAsia"/>
          <w:color w:val="auto"/>
          <w:kern w:val="0"/>
          <w:u w:val="none"/>
        </w:rPr>
      </w:pPr>
      <w:r>
        <w:rPr>
          <w:rFonts w:hint="eastAsia"/>
          <w:color w:val="auto"/>
          <w:kern w:val="0"/>
          <w:u w:val="none"/>
        </w:rPr>
        <w:t>尾气污染产生的主要决定因素为燃料油种类、机械性能、作业方式和风力等，其中机械性能、作业方式因素的影响最大。运输车辆和部分施工机械在怠速、减速和加速时产生的污染最为严重。施工区环境空气质量现状良好，废气有一定扩散条件，在短时对区域环境空气有一定影响，但不会造成污染性影响。施工期汽车产生的NOx、CO和烃类物质对周围环境影响在施工结束后即可消除。</w:t>
      </w:r>
    </w:p>
    <w:p>
      <w:pPr>
        <w:pStyle w:val="69"/>
        <w:rPr>
          <w:rFonts w:hint="eastAsia"/>
          <w:color w:val="auto"/>
          <w:u w:val="none"/>
        </w:rPr>
      </w:pPr>
      <w:r>
        <w:rPr>
          <w:rFonts w:hint="eastAsia"/>
          <w:color w:val="auto"/>
          <w:u w:val="none"/>
        </w:rPr>
        <w:t>4.1.1.2管道铺设工程大气环境影响分析</w:t>
      </w:r>
    </w:p>
    <w:p>
      <w:pPr>
        <w:ind w:firstLine="480"/>
        <w:jc w:val="both"/>
        <w:rPr>
          <w:color w:val="auto"/>
          <w:kern w:val="0"/>
          <w:u w:val="none"/>
        </w:rPr>
      </w:pPr>
      <w:r>
        <w:rPr>
          <w:rFonts w:hint="eastAsia"/>
          <w:color w:val="auto"/>
          <w:kern w:val="0"/>
          <w:u w:val="none"/>
          <w:lang w:eastAsia="zh-CN"/>
        </w:rPr>
        <w:t>管道铺设</w:t>
      </w:r>
      <w:r>
        <w:rPr>
          <w:color w:val="auto"/>
          <w:kern w:val="0"/>
          <w:u w:val="none"/>
        </w:rPr>
        <w:t>工程施工造成的短时期内影响对区内</w:t>
      </w:r>
      <w:r>
        <w:rPr>
          <w:rFonts w:hint="eastAsia"/>
          <w:color w:val="auto"/>
          <w:kern w:val="0"/>
          <w:u w:val="none"/>
        </w:rPr>
        <w:t>大气</w:t>
      </w:r>
      <w:r>
        <w:rPr>
          <w:color w:val="auto"/>
          <w:kern w:val="0"/>
          <w:u w:val="none"/>
        </w:rPr>
        <w:t>环境不会</w:t>
      </w:r>
      <w:r>
        <w:rPr>
          <w:rFonts w:hint="eastAsia"/>
          <w:color w:val="auto"/>
          <w:kern w:val="0"/>
          <w:u w:val="none"/>
          <w:lang w:eastAsia="zh-CN"/>
        </w:rPr>
        <w:t>有</w:t>
      </w:r>
      <w:r>
        <w:rPr>
          <w:color w:val="auto"/>
          <w:kern w:val="0"/>
          <w:u w:val="none"/>
        </w:rPr>
        <w:t>很大的影响</w:t>
      </w:r>
      <w:r>
        <w:rPr>
          <w:rFonts w:hint="eastAsia"/>
          <w:color w:val="auto"/>
          <w:kern w:val="0"/>
          <w:u w:val="none"/>
        </w:rPr>
        <w:t>。施工期间的主体工程基础开挖、土石方回填等施工过程产生的粉尘和扬尘，都将对周边环境空气造成影响。但因施工现场工程基础开挖、土石方回填，骨料加工筛分、水泥装卸等作业点多面广，因此污染物将以面源无组织排放为主，受影响的为现场施工人员。</w:t>
      </w:r>
    </w:p>
    <w:p>
      <w:pPr>
        <w:ind w:firstLine="480"/>
        <w:jc w:val="both"/>
        <w:rPr>
          <w:color w:val="auto"/>
          <w:kern w:val="0"/>
          <w:u w:val="none"/>
        </w:rPr>
      </w:pPr>
      <w:r>
        <w:rPr>
          <w:color w:val="auto"/>
          <w:kern w:val="0"/>
          <w:u w:val="none"/>
        </w:rPr>
        <w:t>根据相关资料，一般气象条件下，平均风速2.5m/s，建筑工地的TSP浓度为其上风向的2～2.5倍，建筑施工扬尘的影响范围在其下风向可达150m，影响范围内TSP的浓度均值可达0.49mg/m</w:t>
      </w:r>
      <w:r>
        <w:rPr>
          <w:color w:val="auto"/>
          <w:kern w:val="0"/>
          <w:u w:val="none"/>
          <w:vertAlign w:val="superscript"/>
        </w:rPr>
        <w:t>3</w:t>
      </w:r>
      <w:r>
        <w:rPr>
          <w:color w:val="auto"/>
          <w:kern w:val="0"/>
          <w:u w:val="none"/>
        </w:rPr>
        <w:t>，相当于空气质量标准的1.6倍。当有围栏时，在同等条件下，其影响距离可缩短40%，即60m。</w:t>
      </w:r>
      <w:r>
        <w:rPr>
          <w:rFonts w:hint="eastAsia"/>
          <w:color w:val="auto"/>
          <w:kern w:val="0"/>
          <w:u w:val="none"/>
        </w:rPr>
        <w:t>通过采取喷水降尘措施，粉尘排放浓度、排放量较小，仅对工作区施工人员产生不利影响，对当地的大气环境影响很小。</w:t>
      </w:r>
    </w:p>
    <w:p>
      <w:pPr>
        <w:ind w:firstLine="480"/>
        <w:jc w:val="both"/>
        <w:rPr>
          <w:rFonts w:hint="eastAsia"/>
          <w:color w:val="auto"/>
          <w:kern w:val="0"/>
          <w:u w:val="none"/>
        </w:rPr>
      </w:pPr>
      <w:r>
        <w:rPr>
          <w:rFonts w:hint="eastAsia"/>
          <w:color w:val="auto"/>
          <w:kern w:val="0"/>
          <w:u w:val="none"/>
        </w:rPr>
        <w:t>施工机械和运输车辆运行时会产生道路扬尘及排放汽车尾气，车辆场内、外运输时所排放扬尘和尾气主要对道路运输路线两侧及作业点周围局部范围产生一定影响，只要做好道路洒水措施，扬尘和尾气对周围环境不会产生明显影响。</w:t>
      </w:r>
    </w:p>
    <w:p>
      <w:pPr>
        <w:ind w:firstLine="480"/>
        <w:jc w:val="both"/>
        <w:rPr>
          <w:rFonts w:hint="eastAsia"/>
          <w:color w:val="auto"/>
          <w:kern w:val="0"/>
          <w:u w:val="none"/>
        </w:rPr>
      </w:pPr>
      <w:r>
        <w:rPr>
          <w:rFonts w:hint="eastAsia"/>
          <w:color w:val="auto"/>
          <w:kern w:val="0"/>
          <w:u w:val="none"/>
        </w:rPr>
        <w:t>与</w:t>
      </w:r>
      <w:r>
        <w:rPr>
          <w:color w:val="auto"/>
          <w:kern w:val="0"/>
          <w:u w:val="none"/>
        </w:rPr>
        <w:t>工程施工相关的环境敏感点主要是</w:t>
      </w:r>
      <w:r>
        <w:rPr>
          <w:rFonts w:hint="eastAsia"/>
          <w:color w:val="auto"/>
          <w:kern w:val="0"/>
          <w:u w:val="none"/>
          <w:lang w:eastAsia="zh-CN"/>
        </w:rPr>
        <w:t>下风向的曾家湾居民点</w:t>
      </w:r>
      <w:r>
        <w:rPr>
          <w:rFonts w:hint="eastAsia"/>
          <w:color w:val="auto"/>
          <w:kern w:val="0"/>
          <w:u w:val="none"/>
        </w:rPr>
        <w:t>，</w:t>
      </w:r>
      <w:r>
        <w:rPr>
          <w:color w:val="auto"/>
          <w:kern w:val="0"/>
          <w:u w:val="none"/>
        </w:rPr>
        <w:t>施工期间</w:t>
      </w:r>
      <w:r>
        <w:rPr>
          <w:rFonts w:hint="eastAsia"/>
          <w:color w:val="auto"/>
          <w:kern w:val="0"/>
          <w:u w:val="none"/>
        </w:rPr>
        <w:t>将</w:t>
      </w:r>
      <w:r>
        <w:rPr>
          <w:color w:val="auto"/>
          <w:kern w:val="0"/>
          <w:u w:val="none"/>
        </w:rPr>
        <w:t>受到</w:t>
      </w:r>
      <w:r>
        <w:rPr>
          <w:rFonts w:hint="eastAsia"/>
          <w:color w:val="auto"/>
          <w:kern w:val="0"/>
          <w:u w:val="none"/>
        </w:rPr>
        <w:t>一定</w:t>
      </w:r>
      <w:r>
        <w:rPr>
          <w:color w:val="auto"/>
          <w:kern w:val="0"/>
          <w:u w:val="none"/>
        </w:rPr>
        <w:t>影响</w:t>
      </w:r>
      <w:r>
        <w:rPr>
          <w:rFonts w:hint="eastAsia"/>
          <w:color w:val="auto"/>
          <w:kern w:val="0"/>
          <w:u w:val="none"/>
          <w:lang w:eastAsia="zh-CN"/>
        </w:rPr>
        <w:t>。</w:t>
      </w:r>
      <w:r>
        <w:rPr>
          <w:rFonts w:hint="eastAsia"/>
          <w:color w:val="auto"/>
          <w:kern w:val="0"/>
          <w:u w:val="none"/>
        </w:rPr>
        <w:t>由于施工区的空气环境质量较好，大气稀释能力和环境容量都比较大，施工不会对当地的大气环境产生明显的影响。</w:t>
      </w:r>
    </w:p>
    <w:p>
      <w:pPr>
        <w:pStyle w:val="6"/>
        <w:bidi w:val="0"/>
        <w:rPr>
          <w:rFonts w:hint="eastAsia"/>
        </w:rPr>
      </w:pPr>
      <w:r>
        <w:rPr>
          <w:rFonts w:hint="eastAsia"/>
        </w:rPr>
        <w:t>4.1.2施工期水环境影响分析</w:t>
      </w:r>
    </w:p>
    <w:p>
      <w:pPr>
        <w:pStyle w:val="69"/>
        <w:rPr>
          <w:rFonts w:hint="eastAsia"/>
          <w:color w:val="auto"/>
          <w:u w:val="none"/>
        </w:rPr>
      </w:pPr>
      <w:r>
        <w:rPr>
          <w:rFonts w:hint="eastAsia"/>
          <w:color w:val="auto"/>
          <w:u w:val="none"/>
        </w:rPr>
        <w:t>4.1.2.1污水处理厂建设工程水环境影响分析</w:t>
      </w:r>
    </w:p>
    <w:p>
      <w:pPr>
        <w:ind w:firstLine="480"/>
        <w:rPr>
          <w:rFonts w:hint="eastAsia"/>
          <w:color w:val="auto"/>
          <w:u w:val="none"/>
        </w:rPr>
      </w:pPr>
      <w:r>
        <w:rPr>
          <w:rFonts w:hint="eastAsia"/>
          <w:color w:val="auto"/>
          <w:u w:val="none"/>
        </w:rPr>
        <w:t>污水处理厂施工期废水</w:t>
      </w:r>
      <w:r>
        <w:rPr>
          <w:rFonts w:hint="eastAsia"/>
          <w:color w:val="auto"/>
          <w:u w:val="none"/>
          <w:lang w:eastAsia="zh-CN"/>
        </w:rPr>
        <w:t>为</w:t>
      </w:r>
      <w:r>
        <w:rPr>
          <w:rFonts w:hint="eastAsia"/>
          <w:color w:val="auto"/>
          <w:u w:val="none"/>
        </w:rPr>
        <w:t>施工废水</w:t>
      </w:r>
      <w:r>
        <w:rPr>
          <w:rFonts w:hint="eastAsia"/>
          <w:color w:val="auto"/>
          <w:u w:val="none"/>
          <w:lang w:eastAsia="zh-CN"/>
        </w:rPr>
        <w:t>，施工期施工人员食宿依靠园区管委会，故在场内不产生生活废水</w:t>
      </w:r>
      <w:r>
        <w:rPr>
          <w:rFonts w:hint="eastAsia"/>
          <w:color w:val="auto"/>
          <w:u w:val="none"/>
        </w:rPr>
        <w:t>。</w:t>
      </w:r>
    </w:p>
    <w:p>
      <w:pPr>
        <w:ind w:firstLine="480"/>
        <w:jc w:val="both"/>
        <w:rPr>
          <w:color w:val="auto"/>
          <w:u w:val="none"/>
        </w:rPr>
      </w:pPr>
      <w:r>
        <w:rPr>
          <w:color w:val="auto"/>
          <w:u w:val="none"/>
        </w:rPr>
        <w:t>施工废水</w:t>
      </w:r>
      <w:r>
        <w:rPr>
          <w:rFonts w:hint="eastAsia"/>
          <w:color w:val="auto"/>
          <w:u w:val="none"/>
        </w:rPr>
        <w:t>主要为地基挖掘时的地下水和浇注浆等的冲洗水。地基挖掘时的地下水量和地质情况有关，浇注浆的冲洗水量和天气状况有关，其排放量均难以估算，主要污染因子是SS，据调查类比结果，预计施工期施工污水排放量约为</w:t>
      </w:r>
      <w:r>
        <w:rPr>
          <w:rFonts w:hint="eastAsia"/>
          <w:color w:val="auto"/>
          <w:u w:val="none"/>
          <w:lang w:val="en-US" w:eastAsia="zh-CN"/>
        </w:rPr>
        <w:t>1.5</w:t>
      </w:r>
      <w:r>
        <w:rPr>
          <w:color w:val="auto"/>
          <w:u w:val="none"/>
        </w:rPr>
        <w:t>m</w:t>
      </w:r>
      <w:r>
        <w:rPr>
          <w:color w:val="auto"/>
          <w:u w:val="none"/>
          <w:vertAlign w:val="superscript"/>
        </w:rPr>
        <w:t>3</w:t>
      </w:r>
      <w:r>
        <w:rPr>
          <w:rFonts w:hint="eastAsia"/>
          <w:color w:val="auto"/>
          <w:u w:val="none"/>
        </w:rPr>
        <w:t>/d，</w:t>
      </w:r>
      <w:r>
        <w:rPr>
          <w:rFonts w:hint="eastAsia"/>
          <w:color w:val="auto"/>
        </w:rPr>
        <w:t>项目临近地表水体</w:t>
      </w:r>
      <w:r>
        <w:rPr>
          <w:rFonts w:hint="eastAsia"/>
          <w:color w:val="auto"/>
          <w:lang w:eastAsia="zh-CN"/>
        </w:rPr>
        <w:t>猛洞河</w:t>
      </w:r>
      <w:r>
        <w:rPr>
          <w:rFonts w:hint="eastAsia"/>
          <w:color w:val="auto"/>
        </w:rPr>
        <w:t>，施工废水不合理排放将会对地表水体造成不良影响，</w:t>
      </w:r>
      <w:r>
        <w:rPr>
          <w:rFonts w:hint="eastAsia"/>
          <w:color w:val="auto"/>
          <w:u w:val="none"/>
        </w:rPr>
        <w:t>本环评建议建设方应在施工场地内开挖临时雨水排水沟，在雨水排水口处设置沉淀池，对施工废水进行简易沉淀处理，并在排水口设置土工布，拦截大的块状物以及泥沙。施工期生产废水应经临时沉淀池沉淀后上清液用于道路和场地洒水降尘或排放，底层沉淀的泥浆干燥后作为建筑垃圾清运，通过上述措施施工期本工程对附近</w:t>
      </w:r>
      <w:r>
        <w:rPr>
          <w:rFonts w:hint="eastAsia"/>
          <w:color w:val="auto"/>
          <w:u w:val="none"/>
          <w:lang w:eastAsia="zh-CN"/>
        </w:rPr>
        <w:t>地表水</w:t>
      </w:r>
      <w:r>
        <w:rPr>
          <w:rFonts w:hint="eastAsia"/>
          <w:color w:val="auto"/>
          <w:u w:val="none"/>
        </w:rPr>
        <w:t>环境影响较小。</w:t>
      </w:r>
    </w:p>
    <w:p>
      <w:pPr>
        <w:pStyle w:val="69"/>
        <w:rPr>
          <w:rFonts w:hint="eastAsia"/>
          <w:color w:val="auto"/>
          <w:u w:val="none"/>
        </w:rPr>
      </w:pPr>
      <w:r>
        <w:rPr>
          <w:rFonts w:hint="eastAsia"/>
          <w:color w:val="auto"/>
          <w:u w:val="none"/>
        </w:rPr>
        <w:t>4.1.2.2管道铺设工程水环境影响分析</w:t>
      </w:r>
    </w:p>
    <w:p>
      <w:pPr>
        <w:ind w:firstLine="480"/>
        <w:rPr>
          <w:rFonts w:hint="eastAsia"/>
          <w:color w:val="auto"/>
          <w:kern w:val="0"/>
          <w:u w:val="none"/>
        </w:rPr>
      </w:pPr>
      <w:r>
        <w:rPr>
          <w:rFonts w:hint="eastAsia"/>
          <w:color w:val="auto"/>
          <w:kern w:val="0"/>
          <w:u w:val="none"/>
        </w:rPr>
        <w:t>管道铺设工程中的废水主要为管道开挖废水、管道铺设后的闭水试验废水。</w:t>
      </w:r>
    </w:p>
    <w:p>
      <w:pPr>
        <w:ind w:firstLine="480"/>
        <w:rPr>
          <w:rFonts w:hint="eastAsia"/>
          <w:color w:val="auto"/>
          <w:kern w:val="0"/>
          <w:u w:val="none"/>
        </w:rPr>
      </w:pPr>
      <w:r>
        <w:rPr>
          <w:rFonts w:hint="eastAsia"/>
          <w:color w:val="auto"/>
          <w:kern w:val="0"/>
          <w:u w:val="none"/>
        </w:rPr>
        <w:t>管道开挖废水为开挖基础时排出的泥浆水，以及冲洗机械和车辆产生的泥浆水，一般水量较小，主要污染物为悬浮物，管道闭水实验废水为管道施工完成后需进行分段管道闭水试验，类比相似工程本工程管道闭水实验废水量约为</w:t>
      </w:r>
      <w:r>
        <w:rPr>
          <w:rFonts w:hint="eastAsia"/>
          <w:color w:val="auto"/>
          <w:kern w:val="0"/>
          <w:u w:val="none"/>
          <w:lang w:val="en-US" w:eastAsia="zh-CN"/>
        </w:rPr>
        <w:t>7</w:t>
      </w:r>
      <w:r>
        <w:rPr>
          <w:rFonts w:hint="eastAsia"/>
          <w:color w:val="auto"/>
          <w:kern w:val="0"/>
          <w:u w:val="none"/>
        </w:rPr>
        <w:t>t，闭水实验废水较为简单，其成分主要为少量悬浮物，管道开挖废水以及冲洗废水可用于地面洒水降尘，管道实验废水设置合理废水排放口，在排放口设置简易沉淀池，实验废水可沉淀后用于道路洒水降尘，不会对水体造成不良影响，通过上述措施施工期本工程对附近</w:t>
      </w:r>
      <w:r>
        <w:rPr>
          <w:rFonts w:hint="eastAsia"/>
          <w:color w:val="auto"/>
          <w:kern w:val="0"/>
          <w:u w:val="none"/>
          <w:lang w:eastAsia="zh-CN"/>
        </w:rPr>
        <w:t>地表水</w:t>
      </w:r>
      <w:r>
        <w:rPr>
          <w:rFonts w:hint="eastAsia"/>
          <w:color w:val="auto"/>
          <w:kern w:val="0"/>
          <w:u w:val="none"/>
        </w:rPr>
        <w:t>环境影响较小。</w:t>
      </w:r>
    </w:p>
    <w:p>
      <w:pPr>
        <w:pStyle w:val="6"/>
        <w:bidi w:val="0"/>
      </w:pPr>
      <w:r>
        <w:rPr>
          <w:rFonts w:hint="eastAsia"/>
        </w:rPr>
        <w:t>4.1.3施工期噪声环境影响分析</w:t>
      </w:r>
    </w:p>
    <w:p>
      <w:pPr>
        <w:bidi w:val="0"/>
        <w:rPr>
          <w:rFonts w:hint="eastAsia"/>
        </w:rPr>
      </w:pPr>
      <w:r>
        <w:rPr>
          <w:rFonts w:hint="eastAsia"/>
          <w:color w:val="auto"/>
          <w:kern w:val="0"/>
          <w:u w:val="single"/>
          <w:lang w:eastAsia="zh-CN"/>
        </w:rPr>
        <w:t>本项目分两期建设，一期工程包含污水处理厂建设及污水管网建设，二期工程仅增加</w:t>
      </w:r>
      <w:r>
        <w:rPr>
          <w:rFonts w:hint="eastAsia"/>
          <w:color w:val="auto"/>
          <w:kern w:val="0"/>
          <w:u w:val="single"/>
          <w:lang w:val="en-US" w:eastAsia="zh-CN"/>
        </w:rPr>
        <w:t>3套MBR一体化设备，且一期工程已预留二期设备基台，故本环评主要针对一期工程声环境影响进行分析。</w:t>
      </w:r>
    </w:p>
    <w:p>
      <w:pPr>
        <w:pStyle w:val="69"/>
        <w:rPr>
          <w:rFonts w:hint="eastAsia"/>
          <w:color w:val="auto"/>
          <w:u w:val="none"/>
        </w:rPr>
      </w:pPr>
      <w:r>
        <w:rPr>
          <w:rFonts w:hint="eastAsia"/>
          <w:color w:val="auto"/>
          <w:u w:val="none"/>
        </w:rPr>
        <w:t>4.1.3.1污水处理厂建设工程声环境影响分析</w:t>
      </w:r>
    </w:p>
    <w:p>
      <w:pPr>
        <w:ind w:firstLine="480"/>
        <w:jc w:val="both"/>
        <w:rPr>
          <w:b/>
          <w:color w:val="auto"/>
          <w:kern w:val="0"/>
          <w:u w:val="none"/>
        </w:rPr>
      </w:pPr>
      <w:r>
        <w:rPr>
          <w:color w:val="auto"/>
          <w:kern w:val="0"/>
          <w:u w:val="none"/>
        </w:rPr>
        <w:t>工程在施工期的主要噪声源是各类施工机械的辐射噪声以及原材料运输时车辆引起的交通噪声。施工机械都具有噪声高、无规则、突发性等特点。</w:t>
      </w:r>
    </w:p>
    <w:p>
      <w:pPr>
        <w:ind w:firstLine="480"/>
        <w:jc w:val="both"/>
        <w:rPr>
          <w:color w:val="auto"/>
          <w:kern w:val="0"/>
          <w:u w:val="none"/>
        </w:rPr>
      </w:pPr>
      <w:r>
        <w:rPr>
          <w:rFonts w:hint="eastAsia"/>
          <w:color w:val="auto"/>
          <w:kern w:val="0"/>
          <w:u w:val="none"/>
        </w:rPr>
        <w:t>①</w:t>
      </w:r>
      <w:r>
        <w:rPr>
          <w:color w:val="auto"/>
          <w:kern w:val="0"/>
          <w:u w:val="none"/>
        </w:rPr>
        <w:t>预测公式</w:t>
      </w:r>
    </w:p>
    <w:p>
      <w:pPr>
        <w:ind w:firstLine="480"/>
        <w:jc w:val="both"/>
        <w:rPr>
          <w:rFonts w:hint="eastAsia"/>
          <w:color w:val="auto"/>
          <w:kern w:val="0"/>
          <w:u w:val="none"/>
        </w:rPr>
      </w:pPr>
      <w:r>
        <w:rPr>
          <w:color w:val="auto"/>
          <w:kern w:val="0"/>
          <w:u w:val="none"/>
        </w:rPr>
        <w:t>噪声随着距离的衰减按下式计算</w:t>
      </w:r>
      <w:r>
        <w:rPr>
          <w:rFonts w:hint="eastAsia"/>
          <w:color w:val="auto"/>
          <w:kern w:val="0"/>
          <w:u w:val="none"/>
        </w:rPr>
        <w:t>。</w:t>
      </w:r>
    </w:p>
    <w:p>
      <w:pPr>
        <w:ind w:firstLine="1680" w:firstLineChars="700"/>
        <w:jc w:val="both"/>
        <w:rPr>
          <w:color w:val="auto"/>
          <w:kern w:val="0"/>
          <w:u w:val="none"/>
        </w:rPr>
      </w:pPr>
      <w:r>
        <w:rPr>
          <w:rFonts w:hint="eastAsia"/>
          <w:color w:val="auto"/>
          <w:kern w:val="0"/>
          <w:u w:val="none"/>
        </w:rPr>
        <w:t>L</w:t>
      </w:r>
      <w:r>
        <w:rPr>
          <w:rFonts w:hint="eastAsia"/>
          <w:color w:val="auto"/>
          <w:kern w:val="0"/>
          <w:u w:val="none"/>
          <w:vertAlign w:val="subscript"/>
        </w:rPr>
        <w:t>(r)</w:t>
      </w:r>
      <w:r>
        <w:rPr>
          <w:rFonts w:hint="eastAsia"/>
          <w:color w:val="auto"/>
          <w:kern w:val="0"/>
          <w:u w:val="none"/>
        </w:rPr>
        <w:t>=L</w:t>
      </w:r>
      <w:r>
        <w:rPr>
          <w:rFonts w:hint="eastAsia"/>
          <w:color w:val="auto"/>
          <w:kern w:val="0"/>
          <w:u w:val="none"/>
          <w:vertAlign w:val="subscript"/>
        </w:rPr>
        <w:t>(r0)</w:t>
      </w:r>
      <w:r>
        <w:rPr>
          <w:rFonts w:hint="eastAsia"/>
          <w:color w:val="auto"/>
          <w:kern w:val="0"/>
          <w:u w:val="none"/>
        </w:rPr>
        <w:t>－20lg（r/r</w:t>
      </w:r>
      <w:r>
        <w:rPr>
          <w:rFonts w:hint="eastAsia"/>
          <w:color w:val="auto"/>
          <w:kern w:val="0"/>
          <w:u w:val="none"/>
          <w:vertAlign w:val="subscript"/>
        </w:rPr>
        <w:t>0</w:t>
      </w:r>
      <w:r>
        <w:rPr>
          <w:rFonts w:hint="eastAsia"/>
          <w:color w:val="auto"/>
          <w:kern w:val="0"/>
          <w:u w:val="none"/>
        </w:rPr>
        <w:t>）</w:t>
      </w:r>
    </w:p>
    <w:p>
      <w:pPr>
        <w:ind w:firstLine="960" w:firstLineChars="400"/>
        <w:jc w:val="both"/>
        <w:rPr>
          <w:color w:val="auto"/>
          <w:kern w:val="0"/>
          <w:u w:val="none"/>
        </w:rPr>
      </w:pPr>
      <w:r>
        <w:rPr>
          <w:color w:val="auto"/>
          <w:kern w:val="0"/>
          <w:u w:val="none"/>
        </w:rPr>
        <w:t>式中：r、r</w:t>
      </w:r>
      <w:r>
        <w:rPr>
          <w:rFonts w:hint="eastAsia"/>
          <w:color w:val="auto"/>
          <w:kern w:val="0"/>
          <w:u w:val="none"/>
          <w:vertAlign w:val="subscript"/>
        </w:rPr>
        <w:t>0</w:t>
      </w:r>
      <w:r>
        <w:rPr>
          <w:color w:val="auto"/>
          <w:kern w:val="0"/>
          <w:u w:val="none"/>
        </w:rPr>
        <w:t>——距声源的距离，m；</w:t>
      </w:r>
    </w:p>
    <w:p>
      <w:pPr>
        <w:ind w:firstLine="1680" w:firstLineChars="700"/>
        <w:jc w:val="both"/>
        <w:rPr>
          <w:color w:val="auto"/>
          <w:kern w:val="0"/>
          <w:u w:val="none"/>
        </w:rPr>
      </w:pPr>
      <w:r>
        <w:rPr>
          <w:color w:val="auto"/>
          <w:kern w:val="0"/>
          <w:u w:val="none"/>
        </w:rPr>
        <w:t>L(r)、L(r</w:t>
      </w:r>
      <w:r>
        <w:rPr>
          <w:rFonts w:hint="eastAsia"/>
          <w:color w:val="auto"/>
          <w:kern w:val="0"/>
          <w:u w:val="none"/>
          <w:vertAlign w:val="subscript"/>
        </w:rPr>
        <w:t>0</w:t>
      </w:r>
      <w:r>
        <w:rPr>
          <w:color w:val="auto"/>
          <w:kern w:val="0"/>
          <w:u w:val="none"/>
        </w:rPr>
        <w:t>)――r、r</w:t>
      </w:r>
      <w:r>
        <w:rPr>
          <w:rFonts w:hint="eastAsia"/>
          <w:color w:val="auto"/>
          <w:kern w:val="0"/>
          <w:u w:val="none"/>
          <w:vertAlign w:val="subscript"/>
        </w:rPr>
        <w:t>0</w:t>
      </w:r>
      <w:r>
        <w:rPr>
          <w:color w:val="auto"/>
          <w:kern w:val="0"/>
          <w:u w:val="none"/>
        </w:rPr>
        <w:t>处的声强级，dB(A)</w:t>
      </w:r>
    </w:p>
    <w:p>
      <w:pPr>
        <w:ind w:firstLine="480"/>
        <w:jc w:val="both"/>
        <w:rPr>
          <w:rFonts w:hint="eastAsia"/>
          <w:color w:val="auto"/>
          <w:kern w:val="0"/>
          <w:u w:val="none"/>
        </w:rPr>
      </w:pPr>
      <w:r>
        <w:rPr>
          <w:rFonts w:hint="eastAsia"/>
          <w:color w:val="auto"/>
          <w:kern w:val="0"/>
          <w:u w:val="none"/>
        </w:rPr>
        <w:t>②</w:t>
      </w:r>
      <w:r>
        <w:rPr>
          <w:color w:val="auto"/>
          <w:kern w:val="0"/>
          <w:u w:val="none"/>
        </w:rPr>
        <w:t>评价标准</w:t>
      </w:r>
    </w:p>
    <w:p>
      <w:pPr>
        <w:ind w:firstLine="480"/>
        <w:jc w:val="both"/>
        <w:rPr>
          <w:color w:val="auto"/>
          <w:kern w:val="0"/>
          <w:u w:val="none"/>
        </w:rPr>
      </w:pPr>
      <w:r>
        <w:rPr>
          <w:color w:val="auto"/>
          <w:kern w:val="0"/>
          <w:u w:val="none"/>
        </w:rPr>
        <w:t>本项目施工期环境噪声评价范围为施工场地外缘200m范围内。工程建设期不同阶段机械设备噪声对环境的影响执行《建筑施工场界环境噪声排放标准》（GB12523-2011）。</w:t>
      </w:r>
    </w:p>
    <w:p>
      <w:pPr>
        <w:ind w:firstLine="480"/>
        <w:jc w:val="both"/>
        <w:rPr>
          <w:color w:val="auto"/>
          <w:kern w:val="0"/>
          <w:u w:val="none"/>
        </w:rPr>
      </w:pPr>
      <w:r>
        <w:rPr>
          <w:rFonts w:hint="eastAsia"/>
          <w:color w:val="auto"/>
          <w:kern w:val="0"/>
          <w:u w:val="none"/>
        </w:rPr>
        <w:t>③</w:t>
      </w:r>
      <w:r>
        <w:rPr>
          <w:color w:val="auto"/>
          <w:kern w:val="0"/>
          <w:u w:val="none"/>
        </w:rPr>
        <w:t>预测结果与评价</w:t>
      </w:r>
    </w:p>
    <w:p>
      <w:pPr>
        <w:ind w:firstLine="480"/>
        <w:rPr>
          <w:color w:val="auto"/>
          <w:kern w:val="0"/>
          <w:u w:val="none"/>
        </w:rPr>
      </w:pPr>
      <w:r>
        <w:rPr>
          <w:color w:val="auto"/>
          <w:kern w:val="0"/>
          <w:u w:val="none"/>
        </w:rPr>
        <w:t>施工期噪声影响预测结果见表</w:t>
      </w:r>
      <w:r>
        <w:rPr>
          <w:rFonts w:hint="eastAsia"/>
          <w:color w:val="auto"/>
          <w:kern w:val="0"/>
          <w:u w:val="none"/>
        </w:rPr>
        <w:t>4</w:t>
      </w:r>
      <w:r>
        <w:rPr>
          <w:color w:val="auto"/>
          <w:kern w:val="0"/>
          <w:u w:val="none"/>
        </w:rPr>
        <w:t>.</w:t>
      </w:r>
      <w:r>
        <w:rPr>
          <w:rFonts w:hint="eastAsia"/>
          <w:color w:val="auto"/>
          <w:kern w:val="0"/>
          <w:u w:val="none"/>
        </w:rPr>
        <w:t>1</w:t>
      </w:r>
      <w:r>
        <w:rPr>
          <w:color w:val="auto"/>
          <w:kern w:val="0"/>
          <w:u w:val="none"/>
        </w:rPr>
        <w:t>-3。</w:t>
      </w:r>
    </w:p>
    <w:p>
      <w:pPr>
        <w:ind w:firstLine="422"/>
        <w:jc w:val="center"/>
        <w:rPr>
          <w:rFonts w:hint="eastAsia"/>
          <w:color w:val="auto"/>
          <w:kern w:val="0"/>
          <w:u w:val="none"/>
        </w:rPr>
      </w:pPr>
      <w:r>
        <w:rPr>
          <w:b/>
          <w:color w:val="auto"/>
          <w:kern w:val="0"/>
          <w:sz w:val="21"/>
          <w:szCs w:val="21"/>
          <w:u w:val="none"/>
        </w:rPr>
        <w:t>表</w:t>
      </w:r>
      <w:r>
        <w:rPr>
          <w:rFonts w:hint="eastAsia"/>
          <w:b/>
          <w:color w:val="auto"/>
          <w:kern w:val="0"/>
          <w:sz w:val="21"/>
          <w:szCs w:val="21"/>
          <w:u w:val="none"/>
        </w:rPr>
        <w:t>4</w:t>
      </w:r>
      <w:r>
        <w:rPr>
          <w:b/>
          <w:color w:val="auto"/>
          <w:kern w:val="0"/>
          <w:sz w:val="21"/>
          <w:szCs w:val="21"/>
          <w:u w:val="none"/>
        </w:rPr>
        <w:t>.</w:t>
      </w:r>
      <w:r>
        <w:rPr>
          <w:rFonts w:hint="eastAsia"/>
          <w:b/>
          <w:color w:val="auto"/>
          <w:kern w:val="0"/>
          <w:sz w:val="21"/>
          <w:szCs w:val="21"/>
          <w:u w:val="none"/>
        </w:rPr>
        <w:t>1</w:t>
      </w:r>
      <w:r>
        <w:rPr>
          <w:b/>
          <w:color w:val="auto"/>
          <w:kern w:val="0"/>
          <w:sz w:val="21"/>
          <w:szCs w:val="21"/>
          <w:u w:val="none"/>
        </w:rPr>
        <w:t>-3 环境噪声影响预测结果表（单位：dB(A)</w:t>
      </w:r>
      <w:r>
        <w:rPr>
          <w:color w:val="auto"/>
          <w:kern w:val="0"/>
          <w:u w:val="none"/>
        </w:rPr>
        <w:t>）</w:t>
      </w:r>
    </w:p>
    <w:tbl>
      <w:tblPr>
        <w:tblStyle w:val="36"/>
        <w:tblW w:w="8301"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4"/>
        <w:gridCol w:w="1135"/>
        <w:gridCol w:w="636"/>
        <w:gridCol w:w="686"/>
        <w:gridCol w:w="582"/>
        <w:gridCol w:w="543"/>
        <w:gridCol w:w="622"/>
        <w:gridCol w:w="582"/>
        <w:gridCol w:w="584"/>
        <w:gridCol w:w="650"/>
        <w:gridCol w:w="580"/>
        <w:gridCol w:w="88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7" w:hRule="exact"/>
          <w:jc w:val="center"/>
        </w:trPr>
        <w:tc>
          <w:tcPr>
            <w:tcW w:w="814" w:type="dxa"/>
            <w:vMerge w:val="restart"/>
            <w:tcBorders>
              <w:top w:val="single" w:color="000000" w:sz="6" w:space="0"/>
              <w:left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施工阶段</w:t>
            </w:r>
          </w:p>
        </w:tc>
        <w:tc>
          <w:tcPr>
            <w:tcW w:w="1135" w:type="dxa"/>
            <w:vMerge w:val="restart"/>
            <w:tcBorders>
              <w:top w:val="single" w:color="000000" w:sz="6" w:space="0"/>
              <w:left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声源</w:t>
            </w:r>
          </w:p>
        </w:tc>
        <w:tc>
          <w:tcPr>
            <w:tcW w:w="636" w:type="dxa"/>
            <w:vMerge w:val="restart"/>
            <w:tcBorders>
              <w:top w:val="single" w:color="000000" w:sz="6" w:space="0"/>
              <w:left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噪声强度</w:t>
            </w:r>
          </w:p>
        </w:tc>
        <w:tc>
          <w:tcPr>
            <w:tcW w:w="4249" w:type="dxa"/>
            <w:gridSpan w:val="7"/>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距声源距离（m）</w:t>
            </w:r>
          </w:p>
        </w:tc>
        <w:tc>
          <w:tcPr>
            <w:tcW w:w="1467" w:type="dxa"/>
            <w:gridSpan w:val="2"/>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达标距离（m）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01" w:hRule="exact"/>
          <w:jc w:val="center"/>
        </w:trPr>
        <w:tc>
          <w:tcPr>
            <w:tcW w:w="814" w:type="dxa"/>
            <w:vMerge w:val="continue"/>
            <w:tcBorders>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p>
        </w:tc>
        <w:tc>
          <w:tcPr>
            <w:tcW w:w="1135" w:type="dxa"/>
            <w:vMerge w:val="continue"/>
            <w:tcBorders>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p>
        </w:tc>
        <w:tc>
          <w:tcPr>
            <w:tcW w:w="636" w:type="dxa"/>
            <w:vMerge w:val="continue"/>
            <w:tcBorders>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p>
        </w:tc>
        <w:tc>
          <w:tcPr>
            <w:tcW w:w="68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10</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20</w:t>
            </w:r>
          </w:p>
        </w:tc>
        <w:tc>
          <w:tcPr>
            <w:tcW w:w="543"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40</w:t>
            </w:r>
          </w:p>
        </w:tc>
        <w:tc>
          <w:tcPr>
            <w:tcW w:w="62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60</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80</w:t>
            </w:r>
          </w:p>
        </w:tc>
        <w:tc>
          <w:tcPr>
            <w:tcW w:w="584"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100</w:t>
            </w:r>
          </w:p>
        </w:tc>
        <w:tc>
          <w:tcPr>
            <w:tcW w:w="65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200</w:t>
            </w:r>
          </w:p>
        </w:tc>
        <w:tc>
          <w:tcPr>
            <w:tcW w:w="58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昼间</w:t>
            </w:r>
          </w:p>
        </w:tc>
        <w:tc>
          <w:tcPr>
            <w:tcW w:w="887"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夜间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3" w:hRule="exact"/>
          <w:jc w:val="center"/>
        </w:trPr>
        <w:tc>
          <w:tcPr>
            <w:tcW w:w="814" w:type="dxa"/>
            <w:vMerge w:val="restart"/>
            <w:tcBorders>
              <w:top w:val="single" w:color="000000" w:sz="6" w:space="0"/>
              <w:left w:val="single" w:color="000000" w:sz="6" w:space="0"/>
              <w:right w:val="single" w:color="000000" w:sz="6" w:space="0"/>
            </w:tcBorders>
            <w:noWrap w:val="0"/>
            <w:vAlign w:val="center"/>
          </w:tcPr>
          <w:p>
            <w:pPr>
              <w:pStyle w:val="73"/>
              <w:rPr>
                <w:rFonts w:hint="eastAsia" w:ascii="Times New Roman" w:hAnsi="Times New Roman" w:eastAsia="宋体" w:cs="Times New Roman"/>
                <w:color w:val="auto"/>
                <w:u w:val="none"/>
                <w:lang w:eastAsia="zh-CN"/>
              </w:rPr>
            </w:pPr>
            <w:r>
              <w:rPr>
                <w:rFonts w:hint="eastAsia" w:cs="Times New Roman"/>
                <w:color w:val="auto"/>
                <w:u w:val="none"/>
                <w:lang w:eastAsia="zh-CN"/>
              </w:rPr>
              <w:t>基础工程</w:t>
            </w:r>
          </w:p>
        </w:tc>
        <w:tc>
          <w:tcPr>
            <w:tcW w:w="1135"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推土机</w:t>
            </w:r>
          </w:p>
        </w:tc>
        <w:tc>
          <w:tcPr>
            <w:tcW w:w="63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86</w:t>
            </w:r>
          </w:p>
        </w:tc>
        <w:tc>
          <w:tcPr>
            <w:tcW w:w="68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66.0</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60.0</w:t>
            </w:r>
          </w:p>
        </w:tc>
        <w:tc>
          <w:tcPr>
            <w:tcW w:w="543"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54.9</w:t>
            </w:r>
          </w:p>
        </w:tc>
        <w:tc>
          <w:tcPr>
            <w:tcW w:w="62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50.4</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47.9</w:t>
            </w:r>
          </w:p>
        </w:tc>
        <w:tc>
          <w:tcPr>
            <w:tcW w:w="584"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46.0</w:t>
            </w:r>
          </w:p>
        </w:tc>
        <w:tc>
          <w:tcPr>
            <w:tcW w:w="65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40.0</w:t>
            </w:r>
          </w:p>
        </w:tc>
        <w:tc>
          <w:tcPr>
            <w:tcW w:w="58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w:t>
            </w:r>
          </w:p>
        </w:tc>
        <w:tc>
          <w:tcPr>
            <w:tcW w:w="887"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3" w:hRule="exact"/>
          <w:jc w:val="center"/>
        </w:trPr>
        <w:tc>
          <w:tcPr>
            <w:tcW w:w="814" w:type="dxa"/>
            <w:vMerge w:val="continue"/>
            <w:tcBorders>
              <w:left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p>
        </w:tc>
        <w:tc>
          <w:tcPr>
            <w:tcW w:w="1135"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挖掘机</w:t>
            </w:r>
          </w:p>
        </w:tc>
        <w:tc>
          <w:tcPr>
            <w:tcW w:w="63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84</w:t>
            </w:r>
          </w:p>
        </w:tc>
        <w:tc>
          <w:tcPr>
            <w:tcW w:w="68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64.0</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58.0</w:t>
            </w:r>
          </w:p>
        </w:tc>
        <w:tc>
          <w:tcPr>
            <w:tcW w:w="543"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52.0</w:t>
            </w:r>
          </w:p>
        </w:tc>
        <w:tc>
          <w:tcPr>
            <w:tcW w:w="62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48.4</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46.0</w:t>
            </w:r>
          </w:p>
        </w:tc>
        <w:tc>
          <w:tcPr>
            <w:tcW w:w="584"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44.0</w:t>
            </w:r>
          </w:p>
        </w:tc>
        <w:tc>
          <w:tcPr>
            <w:tcW w:w="65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38.0</w:t>
            </w:r>
          </w:p>
        </w:tc>
        <w:tc>
          <w:tcPr>
            <w:tcW w:w="58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887"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0" w:hRule="exact"/>
          <w:jc w:val="center"/>
        </w:trPr>
        <w:tc>
          <w:tcPr>
            <w:tcW w:w="814" w:type="dxa"/>
            <w:vMerge w:val="continue"/>
            <w:tcBorders>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p>
        </w:tc>
        <w:tc>
          <w:tcPr>
            <w:tcW w:w="1135"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运载卡车</w:t>
            </w:r>
          </w:p>
        </w:tc>
        <w:tc>
          <w:tcPr>
            <w:tcW w:w="63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83</w:t>
            </w:r>
          </w:p>
        </w:tc>
        <w:tc>
          <w:tcPr>
            <w:tcW w:w="68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63.0</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57.0</w:t>
            </w:r>
          </w:p>
        </w:tc>
        <w:tc>
          <w:tcPr>
            <w:tcW w:w="543"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51.0</w:t>
            </w:r>
          </w:p>
        </w:tc>
        <w:tc>
          <w:tcPr>
            <w:tcW w:w="62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47.4</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44.9</w:t>
            </w:r>
          </w:p>
        </w:tc>
        <w:tc>
          <w:tcPr>
            <w:tcW w:w="584"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43.0</w:t>
            </w:r>
          </w:p>
        </w:tc>
        <w:tc>
          <w:tcPr>
            <w:tcW w:w="65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37.0</w:t>
            </w:r>
          </w:p>
        </w:tc>
        <w:tc>
          <w:tcPr>
            <w:tcW w:w="58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887"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26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7" w:hRule="exact"/>
          <w:jc w:val="center"/>
        </w:trPr>
        <w:tc>
          <w:tcPr>
            <w:tcW w:w="814"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打桩</w:t>
            </w:r>
          </w:p>
        </w:tc>
        <w:tc>
          <w:tcPr>
            <w:tcW w:w="1135"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打桩机</w:t>
            </w:r>
          </w:p>
        </w:tc>
        <w:tc>
          <w:tcPr>
            <w:tcW w:w="63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110</w:t>
            </w:r>
          </w:p>
        </w:tc>
        <w:tc>
          <w:tcPr>
            <w:tcW w:w="68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90</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84.0</w:t>
            </w:r>
          </w:p>
        </w:tc>
        <w:tc>
          <w:tcPr>
            <w:tcW w:w="543"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78.0</w:t>
            </w:r>
          </w:p>
        </w:tc>
        <w:tc>
          <w:tcPr>
            <w:tcW w:w="62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74.4</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71.9</w:t>
            </w:r>
          </w:p>
        </w:tc>
        <w:tc>
          <w:tcPr>
            <w:tcW w:w="584"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70.0</w:t>
            </w:r>
          </w:p>
        </w:tc>
        <w:tc>
          <w:tcPr>
            <w:tcW w:w="65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64.0</w:t>
            </w:r>
          </w:p>
        </w:tc>
        <w:tc>
          <w:tcPr>
            <w:tcW w:w="58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100</w:t>
            </w:r>
          </w:p>
        </w:tc>
        <w:tc>
          <w:tcPr>
            <w:tcW w:w="887"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禁止施工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3" w:hRule="exact"/>
          <w:jc w:val="center"/>
        </w:trPr>
        <w:tc>
          <w:tcPr>
            <w:tcW w:w="814" w:type="dxa"/>
            <w:vMerge w:val="restart"/>
            <w:tcBorders>
              <w:top w:val="single" w:color="000000" w:sz="6" w:space="0"/>
              <w:left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结构</w:t>
            </w:r>
          </w:p>
        </w:tc>
        <w:tc>
          <w:tcPr>
            <w:tcW w:w="1135"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空气压</w:t>
            </w:r>
          </w:p>
        </w:tc>
        <w:tc>
          <w:tcPr>
            <w:tcW w:w="63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88</w:t>
            </w:r>
          </w:p>
        </w:tc>
        <w:tc>
          <w:tcPr>
            <w:tcW w:w="68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68.0</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62.0</w:t>
            </w:r>
          </w:p>
        </w:tc>
        <w:tc>
          <w:tcPr>
            <w:tcW w:w="543"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56.0</w:t>
            </w:r>
          </w:p>
        </w:tc>
        <w:tc>
          <w:tcPr>
            <w:tcW w:w="62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52.4</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50.0</w:t>
            </w:r>
          </w:p>
        </w:tc>
        <w:tc>
          <w:tcPr>
            <w:tcW w:w="584"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48.0</w:t>
            </w:r>
          </w:p>
        </w:tc>
        <w:tc>
          <w:tcPr>
            <w:tcW w:w="65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42.0</w:t>
            </w:r>
          </w:p>
        </w:tc>
        <w:tc>
          <w:tcPr>
            <w:tcW w:w="58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887"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0" w:hRule="exact"/>
          <w:jc w:val="center"/>
        </w:trPr>
        <w:tc>
          <w:tcPr>
            <w:tcW w:w="814" w:type="dxa"/>
            <w:vMerge w:val="continue"/>
            <w:tcBorders>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p>
        </w:tc>
        <w:tc>
          <w:tcPr>
            <w:tcW w:w="1135"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气锤、风钻</w:t>
            </w:r>
          </w:p>
        </w:tc>
        <w:tc>
          <w:tcPr>
            <w:tcW w:w="63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87</w:t>
            </w:r>
          </w:p>
        </w:tc>
        <w:tc>
          <w:tcPr>
            <w:tcW w:w="68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67.0</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61.0</w:t>
            </w:r>
          </w:p>
        </w:tc>
        <w:tc>
          <w:tcPr>
            <w:tcW w:w="543"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55.0</w:t>
            </w:r>
          </w:p>
        </w:tc>
        <w:tc>
          <w:tcPr>
            <w:tcW w:w="62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51.4</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48.9</w:t>
            </w:r>
          </w:p>
        </w:tc>
        <w:tc>
          <w:tcPr>
            <w:tcW w:w="584"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47.0</w:t>
            </w:r>
          </w:p>
        </w:tc>
        <w:tc>
          <w:tcPr>
            <w:tcW w:w="65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41.0</w:t>
            </w:r>
          </w:p>
        </w:tc>
        <w:tc>
          <w:tcPr>
            <w:tcW w:w="58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887"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0" w:hRule="exact"/>
          <w:jc w:val="center"/>
        </w:trPr>
        <w:tc>
          <w:tcPr>
            <w:tcW w:w="814"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装修</w:t>
            </w:r>
          </w:p>
        </w:tc>
        <w:tc>
          <w:tcPr>
            <w:tcW w:w="1135"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卷扬机</w:t>
            </w:r>
          </w:p>
        </w:tc>
        <w:tc>
          <w:tcPr>
            <w:tcW w:w="63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85</w:t>
            </w:r>
          </w:p>
        </w:tc>
        <w:tc>
          <w:tcPr>
            <w:tcW w:w="686"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65.0</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59.0</w:t>
            </w:r>
          </w:p>
        </w:tc>
        <w:tc>
          <w:tcPr>
            <w:tcW w:w="543"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53.0</w:t>
            </w:r>
          </w:p>
        </w:tc>
        <w:tc>
          <w:tcPr>
            <w:tcW w:w="62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49.4</w:t>
            </w:r>
          </w:p>
        </w:tc>
        <w:tc>
          <w:tcPr>
            <w:tcW w:w="582"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46.9</w:t>
            </w:r>
          </w:p>
        </w:tc>
        <w:tc>
          <w:tcPr>
            <w:tcW w:w="584"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45.0</w:t>
            </w:r>
          </w:p>
        </w:tc>
        <w:tc>
          <w:tcPr>
            <w:tcW w:w="65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39.0</w:t>
            </w:r>
          </w:p>
        </w:tc>
        <w:tc>
          <w:tcPr>
            <w:tcW w:w="580"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887" w:type="dxa"/>
            <w:tcBorders>
              <w:top w:val="single" w:color="000000" w:sz="6" w:space="0"/>
              <w:left w:val="single" w:color="000000" w:sz="6" w:space="0"/>
              <w:bottom w:val="single" w:color="000000" w:sz="6" w:space="0"/>
              <w:right w:val="single" w:color="000000" w:sz="6"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32</w:t>
            </w:r>
          </w:p>
        </w:tc>
      </w:tr>
    </w:tbl>
    <w:p>
      <w:pPr>
        <w:ind w:firstLine="480"/>
        <w:jc w:val="both"/>
        <w:rPr>
          <w:color w:val="auto"/>
          <w:kern w:val="0"/>
          <w:u w:val="none"/>
        </w:rPr>
      </w:pPr>
      <w:r>
        <w:rPr>
          <w:color w:val="auto"/>
          <w:kern w:val="0"/>
          <w:u w:val="none"/>
        </w:rPr>
        <w:t>由上表可知，施工期土方工程、打桩及结构工程阶段在距离施工地100m处噪声达标，</w:t>
      </w:r>
      <w:r>
        <w:rPr>
          <w:rFonts w:hint="eastAsia"/>
          <w:color w:val="auto"/>
          <w:kern w:val="0"/>
          <w:u w:val="none"/>
        </w:rPr>
        <w:t>项目最近</w:t>
      </w:r>
      <w:r>
        <w:rPr>
          <w:rFonts w:hint="eastAsia"/>
          <w:color w:val="auto"/>
          <w:kern w:val="0"/>
          <w:u w:val="none"/>
          <w:lang w:eastAsia="zh-CN"/>
        </w:rPr>
        <w:t>公租房</w:t>
      </w:r>
      <w:r>
        <w:rPr>
          <w:rFonts w:hint="eastAsia"/>
          <w:color w:val="auto"/>
          <w:kern w:val="0"/>
          <w:u w:val="none"/>
        </w:rPr>
        <w:t>居民点，位于项目建设地</w:t>
      </w:r>
      <w:r>
        <w:rPr>
          <w:rFonts w:hint="eastAsia"/>
          <w:color w:val="auto"/>
          <w:kern w:val="0"/>
          <w:u w:val="none"/>
          <w:lang w:eastAsia="zh-CN"/>
        </w:rPr>
        <w:t>西</w:t>
      </w:r>
      <w:r>
        <w:rPr>
          <w:rFonts w:hint="eastAsia"/>
          <w:color w:val="auto"/>
          <w:kern w:val="0"/>
          <w:u w:val="none"/>
        </w:rPr>
        <w:t>北侧约</w:t>
      </w:r>
      <w:r>
        <w:rPr>
          <w:rFonts w:hint="eastAsia"/>
          <w:color w:val="auto"/>
          <w:kern w:val="0"/>
          <w:u w:val="none"/>
          <w:lang w:val="en-US" w:eastAsia="zh-CN"/>
        </w:rPr>
        <w:t>50</w:t>
      </w:r>
      <w:r>
        <w:rPr>
          <w:rFonts w:hint="eastAsia"/>
          <w:color w:val="auto"/>
          <w:kern w:val="0"/>
          <w:u w:val="none"/>
        </w:rPr>
        <w:t>m处，</w:t>
      </w:r>
      <w:r>
        <w:rPr>
          <w:rFonts w:hint="eastAsia"/>
          <w:color w:val="auto"/>
          <w:kern w:val="0"/>
          <w:u w:val="none"/>
          <w:lang w:eastAsia="zh-CN"/>
        </w:rPr>
        <w:t>故</w:t>
      </w:r>
      <w:r>
        <w:rPr>
          <w:rFonts w:hint="eastAsia"/>
          <w:color w:val="auto"/>
          <w:kern w:val="0"/>
          <w:u w:val="none"/>
        </w:rPr>
        <w:t>项目对</w:t>
      </w:r>
      <w:r>
        <w:rPr>
          <w:rFonts w:hint="eastAsia"/>
          <w:color w:val="auto"/>
          <w:kern w:val="0"/>
          <w:u w:val="none"/>
          <w:lang w:eastAsia="zh-CN"/>
        </w:rPr>
        <w:t>公租房</w:t>
      </w:r>
      <w:r>
        <w:rPr>
          <w:rFonts w:hint="eastAsia"/>
          <w:color w:val="auto"/>
          <w:kern w:val="0"/>
          <w:u w:val="none"/>
        </w:rPr>
        <w:t>居民点</w:t>
      </w:r>
      <w:r>
        <w:rPr>
          <w:rFonts w:hint="eastAsia"/>
          <w:color w:val="auto"/>
          <w:kern w:val="0"/>
          <w:u w:val="none"/>
          <w:lang w:eastAsia="zh-CN"/>
        </w:rPr>
        <w:t>会</w:t>
      </w:r>
      <w:r>
        <w:rPr>
          <w:rFonts w:hint="eastAsia"/>
          <w:color w:val="auto"/>
          <w:kern w:val="0"/>
          <w:u w:val="none"/>
        </w:rPr>
        <w:t>产生噪声影响。</w:t>
      </w:r>
    </w:p>
    <w:p>
      <w:pPr>
        <w:ind w:firstLine="480"/>
        <w:jc w:val="both"/>
        <w:rPr>
          <w:rFonts w:hint="eastAsia"/>
          <w:color w:val="auto"/>
          <w:kern w:val="0"/>
          <w:u w:val="none"/>
        </w:rPr>
      </w:pPr>
      <w:r>
        <w:rPr>
          <w:rFonts w:hint="eastAsia"/>
          <w:color w:val="auto"/>
          <w:kern w:val="0"/>
          <w:u w:val="none"/>
        </w:rPr>
        <w:t>本环评建议建设方应合理安排施工时间，对于一些噪声大的设备尽量远离居住区，同时对于一些噪声源强大的设备可采用简易隔声屏障削减噪声，通过上述措施，污水处理厂施工过程对</w:t>
      </w:r>
      <w:r>
        <w:rPr>
          <w:rFonts w:hint="eastAsia"/>
          <w:color w:val="auto"/>
          <w:kern w:val="0"/>
          <w:u w:val="none"/>
          <w:lang w:eastAsia="zh-CN"/>
        </w:rPr>
        <w:t>公租房居民点的影响会降低，对</w:t>
      </w:r>
      <w:r>
        <w:rPr>
          <w:rFonts w:hint="eastAsia"/>
          <w:color w:val="auto"/>
          <w:kern w:val="0"/>
          <w:u w:val="none"/>
        </w:rPr>
        <w:t>区域声环境影响</w:t>
      </w:r>
      <w:r>
        <w:rPr>
          <w:rFonts w:hint="eastAsia"/>
          <w:color w:val="auto"/>
          <w:kern w:val="0"/>
          <w:u w:val="none"/>
          <w:lang w:eastAsia="zh-CN"/>
        </w:rPr>
        <w:t>也会减少</w:t>
      </w:r>
      <w:r>
        <w:rPr>
          <w:rFonts w:hint="eastAsia"/>
          <w:color w:val="auto"/>
          <w:kern w:val="0"/>
          <w:u w:val="none"/>
        </w:rPr>
        <w:t>。</w:t>
      </w:r>
    </w:p>
    <w:p>
      <w:pPr>
        <w:pStyle w:val="69"/>
        <w:rPr>
          <w:rFonts w:hint="eastAsia"/>
          <w:color w:val="auto"/>
          <w:u w:val="none"/>
        </w:rPr>
      </w:pPr>
      <w:r>
        <w:rPr>
          <w:rFonts w:hint="eastAsia"/>
          <w:color w:val="auto"/>
          <w:u w:val="none"/>
        </w:rPr>
        <w:t>4.1.3.2管道铺设过程声环境影响分析</w:t>
      </w:r>
    </w:p>
    <w:p>
      <w:pPr>
        <w:ind w:firstLine="480"/>
        <w:jc w:val="both"/>
        <w:rPr>
          <w:color w:val="auto"/>
          <w:kern w:val="0"/>
          <w:u w:val="none"/>
        </w:rPr>
      </w:pPr>
      <w:r>
        <w:rPr>
          <w:color w:val="auto"/>
          <w:kern w:val="0"/>
          <w:u w:val="none"/>
        </w:rPr>
        <w:t>施工场地噪声源主要为各类高噪声施工机械，且各施工阶段均有大量的机械设备于现场运行，单体设备声源声级均在72dB(A)～110dB(A)之间。这些施工设备均无法防护，在露天施工，噪声随着距离的衰减按下式计算：</w:t>
      </w:r>
    </w:p>
    <w:p>
      <w:pPr>
        <w:ind w:firstLine="1680" w:firstLineChars="700"/>
        <w:rPr>
          <w:color w:val="auto"/>
          <w:kern w:val="0"/>
          <w:u w:val="none"/>
        </w:rPr>
      </w:pPr>
      <w:r>
        <w:rPr>
          <w:rFonts w:hint="eastAsia"/>
          <w:color w:val="auto"/>
          <w:kern w:val="0"/>
          <w:u w:val="none"/>
        </w:rPr>
        <w:t>L</w:t>
      </w:r>
      <w:r>
        <w:rPr>
          <w:rFonts w:hint="eastAsia"/>
          <w:color w:val="auto"/>
          <w:kern w:val="0"/>
          <w:u w:val="none"/>
          <w:vertAlign w:val="subscript"/>
        </w:rPr>
        <w:t>(r)</w:t>
      </w:r>
      <w:r>
        <w:rPr>
          <w:rFonts w:hint="eastAsia"/>
          <w:color w:val="auto"/>
          <w:kern w:val="0"/>
          <w:u w:val="none"/>
        </w:rPr>
        <w:t>=L</w:t>
      </w:r>
      <w:r>
        <w:rPr>
          <w:rFonts w:hint="eastAsia"/>
          <w:color w:val="auto"/>
          <w:kern w:val="0"/>
          <w:u w:val="none"/>
          <w:vertAlign w:val="subscript"/>
        </w:rPr>
        <w:t>(r0)</w:t>
      </w:r>
      <w:r>
        <w:rPr>
          <w:rFonts w:hint="eastAsia"/>
          <w:color w:val="auto"/>
          <w:kern w:val="0"/>
          <w:u w:val="none"/>
        </w:rPr>
        <w:t>－20lg（r/r</w:t>
      </w:r>
      <w:r>
        <w:rPr>
          <w:rFonts w:hint="eastAsia"/>
          <w:color w:val="auto"/>
          <w:kern w:val="0"/>
          <w:u w:val="none"/>
          <w:vertAlign w:val="subscript"/>
        </w:rPr>
        <w:t>0</w:t>
      </w:r>
      <w:r>
        <w:rPr>
          <w:rFonts w:hint="eastAsia"/>
          <w:color w:val="auto"/>
          <w:kern w:val="0"/>
          <w:u w:val="none"/>
        </w:rPr>
        <w:t>）</w:t>
      </w:r>
    </w:p>
    <w:p>
      <w:pPr>
        <w:ind w:firstLine="960" w:firstLineChars="400"/>
        <w:rPr>
          <w:color w:val="auto"/>
          <w:kern w:val="0"/>
          <w:u w:val="none"/>
        </w:rPr>
      </w:pPr>
      <w:r>
        <w:rPr>
          <w:color w:val="auto"/>
          <w:kern w:val="0"/>
          <w:u w:val="none"/>
        </w:rPr>
        <w:t>式中：r、r</w:t>
      </w:r>
      <w:r>
        <w:rPr>
          <w:rFonts w:hint="eastAsia"/>
          <w:color w:val="auto"/>
          <w:kern w:val="0"/>
          <w:u w:val="none"/>
          <w:vertAlign w:val="subscript"/>
        </w:rPr>
        <w:t>0</w:t>
      </w:r>
      <w:r>
        <w:rPr>
          <w:color w:val="auto"/>
          <w:kern w:val="0"/>
          <w:u w:val="none"/>
        </w:rPr>
        <w:t>——距声源的距离，m；</w:t>
      </w:r>
    </w:p>
    <w:p>
      <w:pPr>
        <w:ind w:firstLine="1680" w:firstLineChars="700"/>
        <w:rPr>
          <w:color w:val="auto"/>
          <w:kern w:val="0"/>
          <w:u w:val="none"/>
        </w:rPr>
      </w:pPr>
      <w:r>
        <w:rPr>
          <w:color w:val="auto"/>
          <w:kern w:val="0"/>
          <w:u w:val="none"/>
        </w:rPr>
        <w:t>L(r)、L(r</w:t>
      </w:r>
      <w:r>
        <w:rPr>
          <w:rFonts w:hint="eastAsia"/>
          <w:color w:val="auto"/>
          <w:kern w:val="0"/>
          <w:u w:val="none"/>
          <w:vertAlign w:val="subscript"/>
        </w:rPr>
        <w:t>0</w:t>
      </w:r>
      <w:r>
        <w:rPr>
          <w:color w:val="auto"/>
          <w:kern w:val="0"/>
          <w:u w:val="none"/>
        </w:rPr>
        <w:t>)――r、r</w:t>
      </w:r>
      <w:r>
        <w:rPr>
          <w:rFonts w:hint="eastAsia"/>
          <w:color w:val="auto"/>
          <w:kern w:val="0"/>
          <w:u w:val="none"/>
          <w:vertAlign w:val="subscript"/>
        </w:rPr>
        <w:t>0</w:t>
      </w:r>
      <w:r>
        <w:rPr>
          <w:color w:val="auto"/>
          <w:kern w:val="0"/>
          <w:u w:val="none"/>
        </w:rPr>
        <w:t>处的声强级，dB(A)</w:t>
      </w:r>
    </w:p>
    <w:p>
      <w:pPr>
        <w:ind w:firstLine="480"/>
        <w:rPr>
          <w:color w:val="auto"/>
          <w:kern w:val="0"/>
          <w:u w:val="none"/>
        </w:rPr>
      </w:pPr>
      <w:r>
        <w:rPr>
          <w:color w:val="auto"/>
          <w:kern w:val="0"/>
          <w:u w:val="none"/>
        </w:rPr>
        <w:t>各种施工设备在施工时随距离的衰减见表</w:t>
      </w:r>
      <w:r>
        <w:rPr>
          <w:rFonts w:hint="eastAsia"/>
          <w:color w:val="auto"/>
          <w:kern w:val="0"/>
          <w:u w:val="none"/>
        </w:rPr>
        <w:t>4.1-4</w:t>
      </w:r>
      <w:r>
        <w:rPr>
          <w:color w:val="auto"/>
          <w:kern w:val="0"/>
          <w:u w:val="none"/>
        </w:rPr>
        <w:t>。</w:t>
      </w:r>
    </w:p>
    <w:p>
      <w:pPr>
        <w:ind w:firstLine="422"/>
        <w:jc w:val="center"/>
        <w:rPr>
          <w:b/>
          <w:color w:val="auto"/>
          <w:kern w:val="0"/>
          <w:sz w:val="21"/>
          <w:szCs w:val="21"/>
          <w:u w:val="none"/>
        </w:rPr>
      </w:pPr>
      <w:r>
        <w:rPr>
          <w:b/>
          <w:color w:val="auto"/>
          <w:kern w:val="0"/>
          <w:sz w:val="21"/>
          <w:szCs w:val="21"/>
          <w:u w:val="none"/>
        </w:rPr>
        <w:t>表</w:t>
      </w:r>
      <w:r>
        <w:rPr>
          <w:rFonts w:hint="eastAsia"/>
          <w:b/>
          <w:color w:val="auto"/>
          <w:kern w:val="0"/>
          <w:sz w:val="21"/>
          <w:szCs w:val="21"/>
          <w:u w:val="none"/>
        </w:rPr>
        <w:t>4.1-4</w:t>
      </w:r>
      <w:r>
        <w:rPr>
          <w:b/>
          <w:color w:val="auto"/>
          <w:kern w:val="0"/>
          <w:sz w:val="21"/>
          <w:szCs w:val="21"/>
          <w:u w:val="none"/>
        </w:rPr>
        <w:t xml:space="preserve"> 主要施工机械噪声衰减表</w:t>
      </w:r>
    </w:p>
    <w:tbl>
      <w:tblPr>
        <w:tblStyle w:val="36"/>
        <w:tblW w:w="82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816"/>
        <w:gridCol w:w="778"/>
        <w:gridCol w:w="778"/>
        <w:gridCol w:w="778"/>
        <w:gridCol w:w="778"/>
        <w:gridCol w:w="778"/>
        <w:gridCol w:w="778"/>
        <w:gridCol w:w="778"/>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restart"/>
            <w:tcBorders>
              <w:top w:val="single" w:color="auto" w:sz="4" w:space="0"/>
              <w:left w:val="single" w:color="auto" w:sz="4" w:space="0"/>
              <w:bottom w:val="nil"/>
              <w:right w:val="single" w:color="auto" w:sz="4"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声源</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816" w:type="dxa"/>
            <w:vMerge w:val="restart"/>
            <w:tcBorders>
              <w:top w:val="single" w:color="auto" w:sz="4" w:space="0"/>
              <w:left w:val="single" w:color="auto" w:sz="4" w:space="0"/>
              <w:bottom w:val="nil"/>
              <w:right w:val="single" w:color="auto" w:sz="4"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噪声</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强度</w:t>
            </w:r>
          </w:p>
        </w:tc>
        <w:tc>
          <w:tcPr>
            <w:tcW w:w="6225" w:type="dxa"/>
            <w:gridSpan w:val="8"/>
            <w:tcBorders>
              <w:top w:val="single" w:color="auto" w:sz="4" w:space="0"/>
              <w:left w:val="single" w:color="auto" w:sz="4" w:space="0"/>
              <w:bottom w:val="nil"/>
              <w:right w:val="single" w:color="auto" w:sz="4"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距声源不同距离处的噪声值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tcBorders>
              <w:left w:val="single" w:color="auto" w:sz="4" w:space="0"/>
            </w:tcBorders>
            <w:noWrap w:val="0"/>
            <w:vAlign w:val="center"/>
          </w:tcPr>
          <w:p>
            <w:pPr>
              <w:pStyle w:val="73"/>
              <w:rPr>
                <w:rFonts w:hint="default" w:ascii="Times New Roman" w:hAnsi="Times New Roman" w:cs="Times New Roman"/>
                <w:b/>
                <w:bCs/>
                <w:color w:val="auto"/>
                <w:u w:val="none"/>
              </w:rPr>
            </w:pPr>
          </w:p>
        </w:tc>
        <w:tc>
          <w:tcPr>
            <w:tcW w:w="816" w:type="dxa"/>
            <w:vMerge w:val="continue"/>
            <w:noWrap w:val="0"/>
            <w:vAlign w:val="center"/>
          </w:tcPr>
          <w:p>
            <w:pPr>
              <w:pStyle w:val="73"/>
              <w:rPr>
                <w:rFonts w:hint="default" w:ascii="Times New Roman" w:hAnsi="Times New Roman" w:cs="Times New Roman"/>
                <w:b/>
                <w:bCs/>
                <w:color w:val="auto"/>
                <w:u w:val="none"/>
              </w:rPr>
            </w:pPr>
          </w:p>
        </w:tc>
        <w:tc>
          <w:tcPr>
            <w:tcW w:w="778"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20m</w:t>
            </w:r>
          </w:p>
        </w:tc>
        <w:tc>
          <w:tcPr>
            <w:tcW w:w="778"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40m</w:t>
            </w:r>
          </w:p>
        </w:tc>
        <w:tc>
          <w:tcPr>
            <w:tcW w:w="778"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60m</w:t>
            </w:r>
          </w:p>
        </w:tc>
        <w:tc>
          <w:tcPr>
            <w:tcW w:w="778"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80m</w:t>
            </w:r>
          </w:p>
        </w:tc>
        <w:tc>
          <w:tcPr>
            <w:tcW w:w="778"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100m</w:t>
            </w:r>
          </w:p>
        </w:tc>
        <w:tc>
          <w:tcPr>
            <w:tcW w:w="778"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200m</w:t>
            </w:r>
          </w:p>
        </w:tc>
        <w:tc>
          <w:tcPr>
            <w:tcW w:w="778" w:type="dxa"/>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300m</w:t>
            </w:r>
          </w:p>
        </w:tc>
        <w:tc>
          <w:tcPr>
            <w:tcW w:w="779" w:type="dxa"/>
            <w:tcBorders>
              <w:right w:val="single" w:color="auto" w:sz="4" w:space="0"/>
            </w:tcBorders>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空压机</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78</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72</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破碎机</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71</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61</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51</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47</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挖掘机</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83</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51</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45</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43</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推土机</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85</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53</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45</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装载机</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85</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53</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45</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升降机</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72</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46</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36</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卷扬机</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71</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61</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51</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47</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载重汽车</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83</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51</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45</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43</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吊车</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76</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36</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电锯</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90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58</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52</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40</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焊接机</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78</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52</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46</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42</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平铲</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48</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42</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压路机</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58</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52</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48</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46</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打桩机</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110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78</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72</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70</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64</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198" w:type="dxa"/>
            <w:tcBorders>
              <w:lef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震捣棒</w:t>
            </w:r>
          </w:p>
        </w:tc>
        <w:tc>
          <w:tcPr>
            <w:tcW w:w="816"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105</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73</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67</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w:t>
            </w:r>
          </w:p>
        </w:tc>
        <w:tc>
          <w:tcPr>
            <w:tcW w:w="778" w:type="dxa"/>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55</w:t>
            </w:r>
          </w:p>
        </w:tc>
        <w:tc>
          <w:tcPr>
            <w:tcW w:w="779" w:type="dxa"/>
            <w:tcBorders>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tcBorders>
              <w:left w:val="single" w:color="auto" w:sz="4" w:space="0"/>
              <w:bottom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混凝土泵</w:t>
            </w:r>
          </w:p>
        </w:tc>
        <w:tc>
          <w:tcPr>
            <w:tcW w:w="816" w:type="dxa"/>
            <w:tcBorders>
              <w:bottom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85</w:t>
            </w:r>
          </w:p>
        </w:tc>
        <w:tc>
          <w:tcPr>
            <w:tcW w:w="778" w:type="dxa"/>
            <w:tcBorders>
              <w:bottom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59</w:t>
            </w:r>
          </w:p>
        </w:tc>
        <w:tc>
          <w:tcPr>
            <w:tcW w:w="778" w:type="dxa"/>
            <w:tcBorders>
              <w:bottom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53</w:t>
            </w:r>
          </w:p>
        </w:tc>
        <w:tc>
          <w:tcPr>
            <w:tcW w:w="778" w:type="dxa"/>
            <w:tcBorders>
              <w:bottom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49</w:t>
            </w:r>
          </w:p>
        </w:tc>
        <w:tc>
          <w:tcPr>
            <w:tcW w:w="778" w:type="dxa"/>
            <w:tcBorders>
              <w:bottom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47</w:t>
            </w:r>
          </w:p>
        </w:tc>
        <w:tc>
          <w:tcPr>
            <w:tcW w:w="778" w:type="dxa"/>
            <w:tcBorders>
              <w:bottom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45</w:t>
            </w:r>
          </w:p>
        </w:tc>
        <w:tc>
          <w:tcPr>
            <w:tcW w:w="778" w:type="dxa"/>
            <w:tcBorders>
              <w:bottom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39</w:t>
            </w:r>
          </w:p>
        </w:tc>
        <w:tc>
          <w:tcPr>
            <w:tcW w:w="778" w:type="dxa"/>
            <w:tcBorders>
              <w:bottom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9" w:type="dxa"/>
            <w:tcBorders>
              <w:bottom w:val="single" w:color="auto" w:sz="4" w:space="0"/>
              <w:right w:val="single" w:color="auto" w:sz="4" w:space="0"/>
            </w:tcBorders>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pPr>
        <w:ind w:firstLine="480"/>
        <w:jc w:val="both"/>
        <w:rPr>
          <w:rFonts w:hint="eastAsia"/>
          <w:color w:val="auto"/>
          <w:kern w:val="0"/>
          <w:u w:val="none"/>
        </w:rPr>
      </w:pPr>
      <w:r>
        <w:rPr>
          <w:rFonts w:hint="eastAsia"/>
          <w:color w:val="auto"/>
          <w:kern w:val="0"/>
          <w:u w:val="none"/>
        </w:rPr>
        <w:t>由上表可知，在施工过程中，施工机械噪声将成为主要噪声源，在不计树木、空气等的影响下，距施工场地边界100m处</w:t>
      </w:r>
      <w:r>
        <w:rPr>
          <w:rFonts w:hint="eastAsia"/>
          <w:color w:val="auto"/>
          <w:kern w:val="0"/>
          <w:u w:val="none"/>
          <w:lang w:eastAsia="zh-CN"/>
        </w:rPr>
        <w:t>达标</w:t>
      </w:r>
      <w:r>
        <w:rPr>
          <w:rFonts w:hint="eastAsia"/>
          <w:color w:val="auto"/>
          <w:kern w:val="0"/>
          <w:u w:val="none"/>
        </w:rPr>
        <w:t>，其最大影响声级可达70dB(A)，距施工场地边界500m处，其最大影响声级可达56dB(A)，管道工程施工在居民点附近，项目在施工过程中将会对居民点产生噪声影响，因此，本环评建议建设方应合理安排施工时间，对于一些噪声大的设备尽量远离居住区，以削弱噪声对居民区的影响，同时对于一些噪声源强大的设备可采用简易隔声屏障削减噪声，通过上述措施，管道施工过程对区域声环境影响较小。</w:t>
      </w:r>
    </w:p>
    <w:p>
      <w:pPr>
        <w:pStyle w:val="6"/>
        <w:bidi w:val="0"/>
        <w:jc w:val="both"/>
        <w:rPr>
          <w:rFonts w:hint="eastAsia"/>
        </w:rPr>
      </w:pPr>
      <w:r>
        <w:rPr>
          <w:rFonts w:hint="eastAsia"/>
        </w:rPr>
        <w:t>4.1.4施工期固体废物影响分析</w:t>
      </w:r>
    </w:p>
    <w:p>
      <w:pPr>
        <w:bidi w:val="0"/>
        <w:rPr>
          <w:rFonts w:hint="eastAsia"/>
        </w:rPr>
      </w:pPr>
      <w:r>
        <w:rPr>
          <w:rFonts w:hint="eastAsia"/>
          <w:color w:val="auto"/>
          <w:kern w:val="0"/>
          <w:u w:val="single"/>
          <w:lang w:eastAsia="zh-CN"/>
        </w:rPr>
        <w:t>本项目分两期建设，一期工程包含污水处理厂建设及污水管网建设，二期工程仅增加</w:t>
      </w:r>
      <w:r>
        <w:rPr>
          <w:rFonts w:hint="eastAsia"/>
          <w:color w:val="auto"/>
          <w:kern w:val="0"/>
          <w:u w:val="single"/>
          <w:lang w:val="en-US" w:eastAsia="zh-CN"/>
        </w:rPr>
        <w:t>3套MBR一体化设备，且一期工程已预留二期设备基台，故本环评主要针对一期工程固体废物环境影响进行分析。</w:t>
      </w:r>
    </w:p>
    <w:p>
      <w:pPr>
        <w:pStyle w:val="69"/>
        <w:rPr>
          <w:rFonts w:hint="eastAsia"/>
          <w:color w:val="auto"/>
          <w:u w:val="none"/>
        </w:rPr>
      </w:pPr>
      <w:r>
        <w:rPr>
          <w:rFonts w:hint="eastAsia"/>
          <w:color w:val="auto"/>
          <w:u w:val="none"/>
        </w:rPr>
        <w:t>4.1.4.1污水处理厂建设工程固体废物环境影响分析</w:t>
      </w:r>
    </w:p>
    <w:p>
      <w:pPr>
        <w:ind w:firstLine="480"/>
        <w:jc w:val="both"/>
        <w:rPr>
          <w:rFonts w:hint="eastAsia"/>
          <w:color w:val="auto"/>
          <w:kern w:val="0"/>
          <w:u w:val="none"/>
        </w:rPr>
      </w:pPr>
      <w:r>
        <w:rPr>
          <w:rFonts w:hint="eastAsia"/>
          <w:color w:val="auto"/>
          <w:kern w:val="0"/>
          <w:u w:val="none"/>
        </w:rPr>
        <w:t>污水处理厂所产固废主要为</w:t>
      </w:r>
      <w:r>
        <w:rPr>
          <w:rFonts w:hint="eastAsia"/>
          <w:color w:val="auto"/>
          <w:kern w:val="0"/>
          <w:u w:val="none"/>
          <w:lang w:eastAsia="zh-CN"/>
        </w:rPr>
        <w:t>污水池开挖</w:t>
      </w:r>
      <w:r>
        <w:rPr>
          <w:rFonts w:hint="eastAsia"/>
          <w:color w:val="auto"/>
          <w:kern w:val="0"/>
          <w:u w:val="none"/>
        </w:rPr>
        <w:t>土石方以及施工过程中的建筑垃圾以及施工人员生活垃圾。</w:t>
      </w:r>
    </w:p>
    <w:p>
      <w:pPr>
        <w:ind w:firstLine="480"/>
        <w:jc w:val="both"/>
        <w:rPr>
          <w:rFonts w:hint="eastAsia"/>
          <w:color w:val="auto"/>
          <w:kern w:val="0"/>
          <w:u w:val="none"/>
        </w:rPr>
      </w:pPr>
      <w:r>
        <w:rPr>
          <w:rFonts w:hint="eastAsia"/>
          <w:color w:val="auto"/>
          <w:kern w:val="0"/>
          <w:u w:val="none"/>
        </w:rPr>
        <w:t>（1）土石方影响分析</w:t>
      </w:r>
    </w:p>
    <w:p>
      <w:pPr>
        <w:ind w:firstLine="480"/>
        <w:jc w:val="both"/>
        <w:rPr>
          <w:rFonts w:hint="eastAsia"/>
          <w:color w:val="auto"/>
          <w:kern w:val="0"/>
          <w:u w:val="none"/>
        </w:rPr>
      </w:pPr>
      <w:r>
        <w:rPr>
          <w:rFonts w:hint="eastAsia"/>
          <w:color w:val="auto"/>
          <w:kern w:val="0"/>
          <w:szCs w:val="21"/>
          <w:lang w:eastAsia="zh-CN"/>
        </w:rPr>
        <w:t>根据湖南永顺经开区建设投资开发有限责任公司提供的《污水处理站总平面布置图》，</w:t>
      </w:r>
      <w:r>
        <w:rPr>
          <w:rFonts w:hint="eastAsia"/>
          <w:color w:val="auto"/>
          <w:kern w:val="0"/>
          <w:szCs w:val="21"/>
        </w:rPr>
        <w:t>场地平整根据设计标高高挖低填，根据统计，项目区挖方</w:t>
      </w:r>
      <w:r>
        <w:rPr>
          <w:rFonts w:hint="eastAsia"/>
          <w:color w:val="auto"/>
          <w:kern w:val="0"/>
          <w:szCs w:val="21"/>
          <w:lang w:val="en-US" w:eastAsia="zh-CN"/>
        </w:rPr>
        <w:t>9190</w:t>
      </w:r>
      <w:r>
        <w:rPr>
          <w:rFonts w:hint="eastAsia"/>
          <w:color w:val="auto"/>
          <w:kern w:val="0"/>
          <w:szCs w:val="21"/>
        </w:rPr>
        <w:t>m³</w:t>
      </w:r>
      <w:r>
        <w:rPr>
          <w:rFonts w:hint="eastAsia"/>
          <w:color w:val="auto"/>
          <w:kern w:val="0"/>
          <w:szCs w:val="21"/>
          <w:lang w:eastAsia="zh-CN"/>
        </w:rPr>
        <w:t>，部分用于</w:t>
      </w:r>
      <w:r>
        <w:rPr>
          <w:rFonts w:hint="eastAsia"/>
          <w:color w:val="auto"/>
          <w:kern w:val="0"/>
          <w:szCs w:val="21"/>
        </w:rPr>
        <w:t>该地块场地平整</w:t>
      </w:r>
      <w:r>
        <w:rPr>
          <w:rFonts w:hint="eastAsia"/>
          <w:color w:val="auto"/>
          <w:kern w:val="0"/>
          <w:szCs w:val="21"/>
          <w:lang w:eastAsia="zh-CN"/>
        </w:rPr>
        <w:t>，剩余部分用于园区场地平整，</w:t>
      </w:r>
      <w:r>
        <w:rPr>
          <w:rFonts w:hint="eastAsia"/>
        </w:rPr>
        <w:t>工程土石方对环境影响较小</w:t>
      </w:r>
      <w:r>
        <w:rPr>
          <w:rFonts w:hint="eastAsia"/>
          <w:color w:val="auto"/>
          <w:kern w:val="0"/>
          <w:u w:val="none"/>
        </w:rPr>
        <w:t>。</w:t>
      </w:r>
    </w:p>
    <w:p>
      <w:pPr>
        <w:ind w:firstLine="480"/>
        <w:jc w:val="both"/>
        <w:rPr>
          <w:rFonts w:hint="eastAsia"/>
          <w:color w:val="auto"/>
          <w:kern w:val="0"/>
          <w:u w:val="none"/>
        </w:rPr>
      </w:pPr>
      <w:r>
        <w:rPr>
          <w:rFonts w:hint="eastAsia"/>
          <w:color w:val="auto"/>
          <w:kern w:val="0"/>
          <w:u w:val="none"/>
        </w:rPr>
        <w:t>（2）建筑垃圾影响分析</w:t>
      </w:r>
    </w:p>
    <w:p>
      <w:pPr>
        <w:tabs>
          <w:tab w:val="left" w:pos="624"/>
        </w:tabs>
        <w:adjustRightInd w:val="0"/>
        <w:snapToGrid w:val="0"/>
        <w:ind w:firstLine="480"/>
        <w:jc w:val="both"/>
        <w:rPr>
          <w:color w:val="auto"/>
          <w:kern w:val="0"/>
          <w:u w:val="none"/>
        </w:rPr>
      </w:pPr>
      <w:r>
        <w:rPr>
          <w:rFonts w:hint="eastAsia"/>
          <w:color w:val="auto"/>
          <w:kern w:val="0"/>
          <w:u w:val="none"/>
        </w:rPr>
        <w:t>本工程在污水厂建设过程中会产生一部分建筑垃圾，</w:t>
      </w:r>
      <w:r>
        <w:rPr>
          <w:color w:val="auto"/>
          <w:kern w:val="0"/>
          <w:u w:val="none"/>
        </w:rPr>
        <w:t>主要包括砂石、石块、碎砖瓦、金属废料等杂物，金属废料施工后尽可能回收利用，其余无法综合利用建筑垃圾运至当地渣土管理部门指定地点处置</w:t>
      </w:r>
      <w:r>
        <w:rPr>
          <w:rFonts w:hint="eastAsia"/>
          <w:color w:val="auto"/>
          <w:kern w:val="0"/>
          <w:u w:val="none"/>
        </w:rPr>
        <w:t>，因此，施工期所产建筑垃圾不会对环境造成较大影响。</w:t>
      </w:r>
    </w:p>
    <w:p>
      <w:pPr>
        <w:ind w:firstLine="480"/>
        <w:jc w:val="both"/>
        <w:rPr>
          <w:rFonts w:hint="eastAsia"/>
          <w:color w:val="auto"/>
          <w:kern w:val="0"/>
          <w:u w:val="none"/>
        </w:rPr>
      </w:pPr>
      <w:r>
        <w:rPr>
          <w:rFonts w:hint="eastAsia"/>
          <w:color w:val="auto"/>
          <w:kern w:val="0"/>
          <w:u w:val="none"/>
        </w:rPr>
        <w:t>（3）施工人员生活垃圾</w:t>
      </w:r>
    </w:p>
    <w:p>
      <w:pPr>
        <w:ind w:firstLine="480"/>
        <w:jc w:val="both"/>
        <w:rPr>
          <w:rFonts w:hint="eastAsia"/>
          <w:color w:val="auto"/>
          <w:kern w:val="0"/>
          <w:u w:val="none"/>
        </w:rPr>
      </w:pPr>
      <w:r>
        <w:rPr>
          <w:rFonts w:hint="eastAsia"/>
          <w:color w:val="auto"/>
          <w:kern w:val="0"/>
          <w:u w:val="none"/>
        </w:rPr>
        <w:t>本</w:t>
      </w:r>
      <w:r>
        <w:rPr>
          <w:rFonts w:hint="eastAsia"/>
          <w:color w:val="auto"/>
          <w:kern w:val="0"/>
          <w:u w:val="none"/>
          <w:lang w:eastAsia="zh-CN"/>
        </w:rPr>
        <w:t>项目一期</w:t>
      </w:r>
      <w:r>
        <w:rPr>
          <w:rFonts w:hint="eastAsia"/>
          <w:color w:val="auto"/>
          <w:kern w:val="0"/>
          <w:u w:val="none"/>
        </w:rPr>
        <w:t>工程施工人员约为</w:t>
      </w:r>
      <w:r>
        <w:rPr>
          <w:rFonts w:hint="eastAsia"/>
          <w:color w:val="auto"/>
          <w:kern w:val="0"/>
          <w:u w:val="none"/>
          <w:lang w:val="en-US" w:eastAsia="zh-CN"/>
        </w:rPr>
        <w:t>8</w:t>
      </w:r>
      <w:r>
        <w:rPr>
          <w:rFonts w:hint="eastAsia"/>
          <w:color w:val="auto"/>
          <w:kern w:val="0"/>
          <w:u w:val="none"/>
        </w:rPr>
        <w:t>人，</w:t>
      </w:r>
      <w:r>
        <w:rPr>
          <w:color w:val="auto"/>
          <w:kern w:val="0"/>
          <w:u w:val="none"/>
        </w:rPr>
        <w:t>生活垃圾产生量以0.5kg/人·d计，生活垃圾产生量为</w:t>
      </w:r>
      <w:r>
        <w:rPr>
          <w:rFonts w:hint="eastAsia"/>
          <w:color w:val="auto"/>
          <w:kern w:val="0"/>
          <w:u w:val="none"/>
          <w:lang w:val="en-US" w:eastAsia="zh-CN"/>
        </w:rPr>
        <w:t>3.2</w:t>
      </w:r>
      <w:r>
        <w:rPr>
          <w:color w:val="auto"/>
          <w:kern w:val="0"/>
          <w:u w:val="none"/>
        </w:rPr>
        <w:t>kg/d</w:t>
      </w:r>
      <w:r>
        <w:rPr>
          <w:rFonts w:hint="eastAsia"/>
          <w:color w:val="auto"/>
          <w:kern w:val="0"/>
          <w:u w:val="none"/>
          <w:lang w:eastAsia="zh-CN"/>
        </w:rPr>
        <w:t>（施工期</w:t>
      </w:r>
      <w:r>
        <w:rPr>
          <w:rFonts w:hint="eastAsia"/>
          <w:color w:val="auto"/>
          <w:kern w:val="0"/>
          <w:u w:val="none"/>
          <w:lang w:val="en-US" w:eastAsia="zh-CN"/>
        </w:rPr>
        <w:t>6个月，0.72t/a</w:t>
      </w:r>
      <w:r>
        <w:rPr>
          <w:rFonts w:hint="eastAsia"/>
          <w:color w:val="auto"/>
          <w:kern w:val="0"/>
          <w:u w:val="none"/>
          <w:lang w:eastAsia="zh-CN"/>
        </w:rPr>
        <w:t>）</w:t>
      </w:r>
      <w:r>
        <w:rPr>
          <w:rFonts w:hint="eastAsia"/>
          <w:color w:val="auto"/>
          <w:kern w:val="0"/>
          <w:u w:val="none"/>
        </w:rPr>
        <w:t>，</w:t>
      </w:r>
      <w:r>
        <w:rPr>
          <w:rFonts w:hint="eastAsia"/>
          <w:color w:val="auto"/>
          <w:kern w:val="0"/>
          <w:u w:val="none"/>
          <w:lang w:eastAsia="zh-CN"/>
        </w:rPr>
        <w:t>二期</w:t>
      </w:r>
      <w:r>
        <w:rPr>
          <w:rFonts w:hint="eastAsia"/>
          <w:color w:val="auto"/>
          <w:kern w:val="0"/>
          <w:u w:val="none"/>
        </w:rPr>
        <w:t>工程施工人员约为</w:t>
      </w:r>
      <w:r>
        <w:rPr>
          <w:rFonts w:hint="eastAsia"/>
          <w:color w:val="auto"/>
          <w:kern w:val="0"/>
          <w:u w:val="none"/>
          <w:lang w:val="en-US" w:eastAsia="zh-CN"/>
        </w:rPr>
        <w:t>3</w:t>
      </w:r>
      <w:r>
        <w:rPr>
          <w:rFonts w:hint="eastAsia"/>
          <w:color w:val="auto"/>
          <w:kern w:val="0"/>
          <w:u w:val="none"/>
        </w:rPr>
        <w:t>人，</w:t>
      </w:r>
      <w:r>
        <w:rPr>
          <w:color w:val="auto"/>
          <w:kern w:val="0"/>
          <w:u w:val="none"/>
        </w:rPr>
        <w:t>生活垃圾产生量以0.5kg/人·d计，生活垃圾产生量为</w:t>
      </w:r>
      <w:r>
        <w:rPr>
          <w:rFonts w:hint="eastAsia"/>
          <w:color w:val="auto"/>
          <w:kern w:val="0"/>
          <w:u w:val="none"/>
          <w:lang w:val="en-US" w:eastAsia="zh-CN"/>
        </w:rPr>
        <w:t>1.5</w:t>
      </w:r>
      <w:r>
        <w:rPr>
          <w:color w:val="auto"/>
          <w:kern w:val="0"/>
          <w:u w:val="none"/>
        </w:rPr>
        <w:t>kg/d</w:t>
      </w:r>
      <w:r>
        <w:rPr>
          <w:rFonts w:hint="eastAsia"/>
          <w:color w:val="auto"/>
          <w:kern w:val="0"/>
          <w:u w:val="none"/>
          <w:lang w:eastAsia="zh-CN"/>
        </w:rPr>
        <w:t>（施工期</w:t>
      </w:r>
      <w:r>
        <w:rPr>
          <w:rFonts w:hint="eastAsia"/>
          <w:color w:val="auto"/>
          <w:kern w:val="0"/>
          <w:u w:val="none"/>
          <w:lang w:val="en-US" w:eastAsia="zh-CN"/>
        </w:rPr>
        <w:t>1个月，0.045t/a</w:t>
      </w:r>
      <w:r>
        <w:rPr>
          <w:rFonts w:hint="eastAsia"/>
          <w:color w:val="auto"/>
          <w:kern w:val="0"/>
          <w:u w:val="none"/>
          <w:lang w:eastAsia="zh-CN"/>
        </w:rPr>
        <w:t>）</w:t>
      </w:r>
      <w:r>
        <w:rPr>
          <w:rFonts w:hint="eastAsia"/>
          <w:color w:val="auto"/>
          <w:kern w:val="0"/>
          <w:u w:val="none"/>
        </w:rPr>
        <w:t>，本环评建议由于施工人员生活垃圾较少，建设方可在施工营地设立垃圾贮存产所，暂存后由环卫部分统一清运。</w:t>
      </w:r>
    </w:p>
    <w:p>
      <w:pPr>
        <w:pStyle w:val="69"/>
        <w:rPr>
          <w:rFonts w:hint="eastAsia"/>
          <w:color w:val="auto"/>
          <w:u w:val="none"/>
        </w:rPr>
      </w:pPr>
      <w:r>
        <w:rPr>
          <w:rFonts w:hint="eastAsia"/>
          <w:color w:val="auto"/>
          <w:u w:val="none"/>
        </w:rPr>
        <w:t>4.1.4.2管道铺设工程固体废物环境影响分析</w:t>
      </w:r>
    </w:p>
    <w:p>
      <w:pPr>
        <w:ind w:firstLine="480"/>
        <w:jc w:val="both"/>
        <w:rPr>
          <w:rFonts w:hint="eastAsia"/>
          <w:color w:val="auto"/>
          <w:kern w:val="0"/>
          <w:u w:val="none"/>
        </w:rPr>
      </w:pPr>
      <w:r>
        <w:rPr>
          <w:rFonts w:hint="eastAsia"/>
          <w:color w:val="auto"/>
          <w:kern w:val="0"/>
          <w:u w:val="none"/>
        </w:rPr>
        <w:t>管道施工过程中的固体废物主要为施工管道开挖的土石方、施工人员生活垃圾以及施工过程中的建筑垃圾。</w:t>
      </w:r>
    </w:p>
    <w:p>
      <w:pPr>
        <w:ind w:firstLine="480"/>
        <w:jc w:val="both"/>
        <w:rPr>
          <w:rFonts w:hint="eastAsia"/>
          <w:color w:val="auto"/>
          <w:kern w:val="0"/>
          <w:u w:val="none"/>
        </w:rPr>
      </w:pPr>
      <w:r>
        <w:rPr>
          <w:rFonts w:hint="eastAsia"/>
          <w:color w:val="auto"/>
          <w:kern w:val="0"/>
          <w:u w:val="none"/>
        </w:rPr>
        <w:t>根据</w:t>
      </w:r>
      <w:r>
        <w:rPr>
          <w:rFonts w:hint="eastAsia"/>
          <w:color w:val="auto"/>
          <w:kern w:val="0"/>
          <w:u w:val="none"/>
          <w:lang w:eastAsia="zh-CN"/>
        </w:rPr>
        <w:t>永顺县猛洞河产业园污水处理厂</w:t>
      </w:r>
      <w:r>
        <w:rPr>
          <w:rFonts w:hint="eastAsia"/>
          <w:color w:val="auto"/>
          <w:kern w:val="0"/>
          <w:u w:val="none"/>
        </w:rPr>
        <w:t>污水</w:t>
      </w:r>
      <w:r>
        <w:rPr>
          <w:rFonts w:hint="eastAsia"/>
          <w:color w:val="auto"/>
          <w:kern w:val="0"/>
          <w:u w:val="none"/>
          <w:lang w:eastAsia="zh-CN"/>
        </w:rPr>
        <w:t>管网</w:t>
      </w:r>
      <w:r>
        <w:rPr>
          <w:rFonts w:hint="eastAsia"/>
          <w:color w:val="auto"/>
          <w:kern w:val="0"/>
          <w:u w:val="none"/>
        </w:rPr>
        <w:t>建设情况，</w:t>
      </w:r>
      <w:r>
        <w:rPr>
          <w:rFonts w:hint="eastAsia"/>
          <w:color w:val="auto"/>
          <w:kern w:val="0"/>
        </w:rPr>
        <w:t>预测</w:t>
      </w:r>
      <w:r>
        <w:rPr>
          <w:rFonts w:hint="eastAsia"/>
          <w:color w:val="auto"/>
          <w:kern w:val="0"/>
          <w:lang w:eastAsia="zh-CN"/>
        </w:rPr>
        <w:t>管网</w:t>
      </w:r>
      <w:r>
        <w:rPr>
          <w:rFonts w:hint="eastAsia"/>
          <w:color w:val="auto"/>
          <w:kern w:val="0"/>
          <w:szCs w:val="21"/>
        </w:rPr>
        <w:t>工程开挖土石方约为</w:t>
      </w:r>
      <w:r>
        <w:rPr>
          <w:rFonts w:hint="eastAsia"/>
          <w:color w:val="auto"/>
          <w:kern w:val="0"/>
          <w:szCs w:val="21"/>
          <w:lang w:val="en-US" w:eastAsia="zh-CN"/>
        </w:rPr>
        <w:t>5000</w:t>
      </w:r>
      <w:r>
        <w:rPr>
          <w:rFonts w:hint="eastAsia"/>
          <w:color w:val="auto"/>
          <w:kern w:val="0"/>
          <w:szCs w:val="21"/>
          <w:u w:val="none"/>
        </w:rPr>
        <w:t>m</w:t>
      </w:r>
      <w:r>
        <w:rPr>
          <w:rFonts w:hint="eastAsia"/>
          <w:color w:val="auto"/>
          <w:kern w:val="0"/>
          <w:szCs w:val="21"/>
          <w:u w:val="none"/>
          <w:vertAlign w:val="superscript"/>
        </w:rPr>
        <w:t>3</w:t>
      </w:r>
      <w:r>
        <w:rPr>
          <w:rFonts w:hint="eastAsia"/>
          <w:color w:val="auto"/>
          <w:kern w:val="0"/>
          <w:szCs w:val="21"/>
          <w:u w:val="none"/>
        </w:rPr>
        <w:t>，回填土石方约</w:t>
      </w:r>
      <w:r>
        <w:rPr>
          <w:rFonts w:hint="eastAsia"/>
          <w:color w:val="auto"/>
          <w:kern w:val="0"/>
          <w:szCs w:val="21"/>
          <w:u w:val="none"/>
          <w:lang w:val="en-US" w:eastAsia="zh-CN"/>
        </w:rPr>
        <w:t>3000</w:t>
      </w:r>
      <w:r>
        <w:rPr>
          <w:rFonts w:hint="eastAsia"/>
          <w:color w:val="auto"/>
          <w:kern w:val="0"/>
          <w:szCs w:val="21"/>
          <w:u w:val="none"/>
        </w:rPr>
        <w:t>m</w:t>
      </w:r>
      <w:r>
        <w:rPr>
          <w:rFonts w:hint="eastAsia"/>
          <w:color w:val="auto"/>
          <w:kern w:val="0"/>
          <w:szCs w:val="21"/>
          <w:u w:val="none"/>
          <w:vertAlign w:val="superscript"/>
        </w:rPr>
        <w:t>3</w:t>
      </w:r>
      <w:r>
        <w:rPr>
          <w:rFonts w:hint="eastAsia"/>
          <w:color w:val="auto"/>
          <w:kern w:val="0"/>
          <w:szCs w:val="21"/>
          <w:u w:val="none"/>
        </w:rPr>
        <w:t>，</w:t>
      </w:r>
      <w:r>
        <w:rPr>
          <w:rFonts w:hint="eastAsia"/>
          <w:color w:val="auto"/>
          <w:kern w:val="0"/>
          <w:szCs w:val="21"/>
          <w:u w:val="none"/>
          <w:lang w:eastAsia="zh-CN"/>
        </w:rPr>
        <w:t>少量弃方</w:t>
      </w:r>
      <w:r>
        <w:rPr>
          <w:rFonts w:hint="eastAsia"/>
          <w:color w:val="auto"/>
          <w:kern w:val="0"/>
          <w:szCs w:val="21"/>
          <w:u w:val="none"/>
          <w:lang w:val="en-US" w:eastAsia="zh-CN"/>
        </w:rPr>
        <w:t>2000</w:t>
      </w:r>
      <w:r>
        <w:rPr>
          <w:rFonts w:hint="eastAsia"/>
          <w:color w:val="auto"/>
          <w:kern w:val="0"/>
          <w:szCs w:val="21"/>
          <w:u w:val="none"/>
        </w:rPr>
        <w:t>m</w:t>
      </w:r>
      <w:r>
        <w:rPr>
          <w:rFonts w:hint="eastAsia"/>
          <w:color w:val="auto"/>
          <w:kern w:val="0"/>
          <w:szCs w:val="21"/>
          <w:u w:val="none"/>
          <w:vertAlign w:val="superscript"/>
        </w:rPr>
        <w:t>3</w:t>
      </w:r>
      <w:r>
        <w:rPr>
          <w:rFonts w:hint="eastAsia"/>
          <w:color w:val="auto"/>
          <w:kern w:val="0"/>
          <w:szCs w:val="21"/>
          <w:u w:val="none"/>
          <w:lang w:eastAsia="zh-CN"/>
        </w:rPr>
        <w:t>用于园区土地平整</w:t>
      </w:r>
      <w:r>
        <w:rPr>
          <w:rFonts w:hint="eastAsia"/>
          <w:color w:val="auto"/>
          <w:kern w:val="0"/>
          <w:u w:val="none"/>
        </w:rPr>
        <w:t>，环评要求运输过程工程车要求为全密闭车辆，不允许将工程弃土随意脱落至道路地面，污染道路；管道工程</w:t>
      </w:r>
      <w:r>
        <w:rPr>
          <w:rFonts w:hint="eastAsia"/>
          <w:color w:val="auto"/>
          <w:kern w:val="0"/>
          <w:szCs w:val="21"/>
          <w:u w:val="none"/>
        </w:rPr>
        <w:t>施工人员人数约为15人，</w:t>
      </w:r>
      <w:r>
        <w:rPr>
          <w:color w:val="auto"/>
          <w:kern w:val="0"/>
          <w:u w:val="none"/>
        </w:rPr>
        <w:t>生活垃圾产生量以0.5kg/人·d计，生活垃圾产生量为</w:t>
      </w:r>
      <w:r>
        <w:rPr>
          <w:rFonts w:hint="eastAsia"/>
          <w:color w:val="auto"/>
          <w:kern w:val="0"/>
          <w:u w:val="none"/>
        </w:rPr>
        <w:t>7.5</w:t>
      </w:r>
      <w:r>
        <w:rPr>
          <w:color w:val="auto"/>
          <w:kern w:val="0"/>
          <w:u w:val="none"/>
        </w:rPr>
        <w:t>kg/d</w:t>
      </w:r>
      <w:r>
        <w:rPr>
          <w:rFonts w:hint="eastAsia"/>
          <w:color w:val="auto"/>
          <w:kern w:val="0"/>
          <w:u w:val="none"/>
          <w:lang w:eastAsia="zh-CN"/>
        </w:rPr>
        <w:t>、</w:t>
      </w:r>
      <w:r>
        <w:rPr>
          <w:rFonts w:hint="eastAsia"/>
          <w:color w:val="auto"/>
          <w:kern w:val="0"/>
          <w:u w:val="none"/>
          <w:lang w:val="en-US" w:eastAsia="zh-CN"/>
        </w:rPr>
        <w:t>1.35t/a</w:t>
      </w:r>
      <w:r>
        <w:rPr>
          <w:rFonts w:hint="eastAsia"/>
          <w:color w:val="auto"/>
          <w:kern w:val="0"/>
          <w:u w:val="none"/>
          <w:lang w:eastAsia="zh-CN"/>
        </w:rPr>
        <w:t>；</w:t>
      </w:r>
      <w:r>
        <w:rPr>
          <w:rFonts w:hint="eastAsia"/>
          <w:color w:val="auto"/>
          <w:kern w:val="0"/>
          <w:u w:val="none"/>
        </w:rPr>
        <w:t>生活垃圾统一暂存后由环卫部门统一处理，管道铺设中的建筑垃圾较小，主要为一些包装袋、包装箱、碎木块、废弃砂浆、废砖石以及一些边角废料等，其产生量约为</w:t>
      </w:r>
      <w:r>
        <w:rPr>
          <w:rFonts w:hint="eastAsia"/>
          <w:color w:val="auto"/>
          <w:kern w:val="0"/>
          <w:u w:val="none"/>
          <w:lang w:val="en-US" w:eastAsia="zh-CN"/>
        </w:rPr>
        <w:t>8</w:t>
      </w:r>
      <w:r>
        <w:rPr>
          <w:rFonts w:hint="eastAsia"/>
          <w:color w:val="auto"/>
          <w:kern w:val="0"/>
          <w:u w:val="none"/>
        </w:rPr>
        <w:t>t，此部分垃圾能回收部分分类予以回收，不能回收部分</w:t>
      </w:r>
      <w:r>
        <w:rPr>
          <w:color w:val="auto"/>
          <w:kern w:val="0"/>
          <w:u w:val="none"/>
        </w:rPr>
        <w:t>运至当地渣土管理部门指定地点处置</w:t>
      </w:r>
      <w:r>
        <w:rPr>
          <w:rFonts w:hint="eastAsia"/>
          <w:color w:val="auto"/>
          <w:kern w:val="0"/>
          <w:u w:val="none"/>
        </w:rPr>
        <w:t>，综上所述，本工程施工期固体废物对区域外环境影响较小。</w:t>
      </w:r>
    </w:p>
    <w:p>
      <w:pPr>
        <w:pStyle w:val="6"/>
        <w:bidi w:val="0"/>
        <w:jc w:val="both"/>
        <w:rPr>
          <w:rFonts w:hint="eastAsia"/>
        </w:rPr>
      </w:pPr>
      <w:r>
        <w:rPr>
          <w:rFonts w:hint="eastAsia"/>
        </w:rPr>
        <w:t>4.1.5施工期生态环境影响分析</w:t>
      </w:r>
    </w:p>
    <w:p>
      <w:pPr>
        <w:pStyle w:val="69"/>
        <w:rPr>
          <w:rFonts w:hint="eastAsia"/>
          <w:color w:val="auto"/>
          <w:u w:val="single"/>
        </w:rPr>
      </w:pPr>
      <w:r>
        <w:rPr>
          <w:rFonts w:hint="eastAsia"/>
          <w:color w:val="auto"/>
          <w:u w:val="single"/>
        </w:rPr>
        <w:t>4.1.5.1污水厂建设工程生态环境影响分析</w:t>
      </w:r>
    </w:p>
    <w:p>
      <w:pPr>
        <w:ind w:firstLine="480"/>
        <w:jc w:val="both"/>
        <w:rPr>
          <w:color w:val="auto"/>
          <w:kern w:val="0"/>
          <w:u w:val="single"/>
        </w:rPr>
      </w:pPr>
      <w:r>
        <w:rPr>
          <w:rFonts w:hint="eastAsia"/>
          <w:color w:val="auto"/>
          <w:kern w:val="0"/>
          <w:u w:val="single"/>
        </w:rPr>
        <w:t>（1）水土流失影响分析</w:t>
      </w:r>
    </w:p>
    <w:p>
      <w:pPr>
        <w:ind w:firstLine="480"/>
        <w:jc w:val="both"/>
        <w:rPr>
          <w:color w:val="auto"/>
          <w:u w:val="single"/>
        </w:rPr>
      </w:pPr>
      <w:r>
        <w:rPr>
          <w:color w:val="auto"/>
          <w:u w:val="single"/>
        </w:rPr>
        <w:t>项目污水处理厂目前场地已平整，为碎石回填区，野生动物较少，未发现珍稀濒危动植物，生物多样性一般。根据现场调查，该地区地表完全裸露，水土流失程度</w:t>
      </w:r>
      <w:r>
        <w:rPr>
          <w:rFonts w:hint="eastAsia"/>
          <w:color w:val="auto"/>
          <w:u w:val="single"/>
          <w:lang w:eastAsia="zh-CN"/>
        </w:rPr>
        <w:t>中等</w:t>
      </w:r>
      <w:r>
        <w:rPr>
          <w:color w:val="auto"/>
          <w:u w:val="single"/>
        </w:rPr>
        <w:t>。生态系统结构单一，抵抗外部环境的干扰能力较差，施工过程中会造成一定的水土流失；同时土地的硬化将造成土壤结构的改变，破坏土壤微生物的生存环境，对</w:t>
      </w:r>
      <w:r>
        <w:rPr>
          <w:rFonts w:hint="eastAsia"/>
          <w:color w:val="auto"/>
          <w:u w:val="single"/>
          <w:lang w:eastAsia="zh-CN"/>
        </w:rPr>
        <w:t>该区域的</w:t>
      </w:r>
      <w:r>
        <w:rPr>
          <w:color w:val="auto"/>
          <w:u w:val="single"/>
        </w:rPr>
        <w:t>生态系统有一定的干扰。因此，本环评建议建设方在施工时要做好各项排水、截水、防止水土流失的设计，合理安排施工计划、施工程序，协调好各个步骤，雨季中尽量减少地面坡度，减少开挖，并争取土料随挖随运，减少堆土、裸土暴露时间，以免受降水的直接冲刷，在暴雨期，还应采取应急措施，尽量用覆盖物覆盖新挖的陡坡，防止冲洗和崩塌。同时工程在土石方开挖回填过程中应将废弃土石方及时清运，回填过程边填土，边碾压，不让疏松的涂料较长时间搁置，碾压密实的土壤在水流作用下的流失量将大大小于疏松土壤，从而可以有效避免水土流失，综上所述，建设方在采用上述措施后项目施工过程基本不会造成水土流失情况。</w:t>
      </w:r>
    </w:p>
    <w:p>
      <w:pPr>
        <w:ind w:firstLine="480"/>
        <w:rPr>
          <w:rFonts w:hint="eastAsia"/>
          <w:bCs/>
          <w:color w:val="auto"/>
          <w:kern w:val="0"/>
          <w:u w:val="single"/>
        </w:rPr>
      </w:pPr>
      <w:r>
        <w:rPr>
          <w:rFonts w:hint="eastAsia"/>
          <w:bCs/>
          <w:color w:val="auto"/>
          <w:kern w:val="0"/>
          <w:u w:val="single"/>
        </w:rPr>
        <w:t>（2）土壤污染影响</w:t>
      </w:r>
    </w:p>
    <w:p>
      <w:pPr>
        <w:ind w:firstLine="480"/>
        <w:rPr>
          <w:color w:val="auto"/>
          <w:kern w:val="0"/>
          <w:u w:val="single"/>
        </w:rPr>
      </w:pPr>
      <w:r>
        <w:rPr>
          <w:rFonts w:hint="eastAsia"/>
          <w:color w:val="auto"/>
          <w:kern w:val="0"/>
          <w:u w:val="single"/>
        </w:rPr>
        <w:t>本项目使用商品混凝土，不另设混凝土搅拌站，施工生产废水主要是施工机械清洗废水。施工污废水如随意排放将对工程区附近的土壤和水体造成污染影响，进而影响周围植被的正常生长发育。因此，必须对施工机械清洗废水经隔油沉淀处理后全部回用于场地洒水降尘，不外排，施工人员</w:t>
      </w:r>
      <w:r>
        <w:rPr>
          <w:rFonts w:hint="eastAsia"/>
          <w:color w:val="auto"/>
          <w:kern w:val="0"/>
          <w:u w:val="single"/>
          <w:lang w:eastAsia="zh-CN"/>
        </w:rPr>
        <w:t>食宿依靠园区管委会，不在施工场地产生生活污水</w:t>
      </w:r>
      <w:r>
        <w:rPr>
          <w:rFonts w:hint="eastAsia"/>
          <w:color w:val="auto"/>
          <w:kern w:val="0"/>
          <w:u w:val="single"/>
        </w:rPr>
        <w:t>，在充分落实该措施的前提下，工程施工不会对土壤和水渠造成污染。</w:t>
      </w:r>
    </w:p>
    <w:p>
      <w:pPr>
        <w:ind w:firstLine="480"/>
        <w:rPr>
          <w:rFonts w:hint="eastAsia"/>
          <w:bCs/>
          <w:color w:val="auto"/>
          <w:kern w:val="0"/>
          <w:u w:val="single"/>
        </w:rPr>
      </w:pPr>
      <w:r>
        <w:rPr>
          <w:rFonts w:hint="eastAsia"/>
          <w:bCs/>
          <w:color w:val="auto"/>
          <w:kern w:val="0"/>
          <w:u w:val="single"/>
        </w:rPr>
        <w:t>（</w:t>
      </w:r>
      <w:r>
        <w:rPr>
          <w:bCs/>
          <w:color w:val="auto"/>
          <w:kern w:val="0"/>
          <w:u w:val="single"/>
        </w:rPr>
        <w:t>3</w:t>
      </w:r>
      <w:r>
        <w:rPr>
          <w:rFonts w:hint="eastAsia"/>
          <w:bCs/>
          <w:color w:val="auto"/>
          <w:kern w:val="0"/>
          <w:u w:val="single"/>
        </w:rPr>
        <w:t>）对陆生动物环境影响分析</w:t>
      </w:r>
    </w:p>
    <w:p>
      <w:pPr>
        <w:ind w:firstLine="480"/>
        <w:jc w:val="both"/>
        <w:rPr>
          <w:color w:val="auto"/>
          <w:kern w:val="0"/>
          <w:u w:val="single"/>
        </w:rPr>
      </w:pPr>
      <w:r>
        <w:rPr>
          <w:rFonts w:hint="eastAsia"/>
          <w:color w:val="auto"/>
          <w:kern w:val="0"/>
          <w:u w:val="single"/>
        </w:rPr>
        <w:t>本项目为基础建设工程，工程施工对陆生动物的影响主要表现为施工占地对动物栖息地的占用和破坏；施工产生的废水、废渣、噪声、振动等方面的影响。</w:t>
      </w:r>
    </w:p>
    <w:p>
      <w:pPr>
        <w:ind w:firstLine="480"/>
        <w:jc w:val="both"/>
        <w:rPr>
          <w:color w:val="auto"/>
          <w:kern w:val="0"/>
          <w:u w:val="single"/>
        </w:rPr>
      </w:pPr>
      <w:r>
        <w:rPr>
          <w:rFonts w:hint="eastAsia"/>
          <w:color w:val="auto"/>
          <w:kern w:val="0"/>
          <w:u w:val="single"/>
        </w:rPr>
        <w:t>本项目沿线附近</w:t>
      </w:r>
      <w:r>
        <w:rPr>
          <w:color w:val="auto"/>
          <w:kern w:val="0"/>
          <w:u w:val="single"/>
        </w:rPr>
        <w:t>人类活动相对频繁，</w:t>
      </w:r>
      <w:r>
        <w:rPr>
          <w:rFonts w:hint="eastAsia"/>
          <w:color w:val="auto"/>
          <w:kern w:val="0"/>
          <w:u w:val="single"/>
        </w:rPr>
        <w:t>评价区</w:t>
      </w:r>
      <w:r>
        <w:rPr>
          <w:color w:val="auto"/>
          <w:kern w:val="0"/>
          <w:u w:val="single"/>
        </w:rPr>
        <w:t>动物多为适应耕地和居民点的本地动物，如田鼠、蛇、喜鹊、大山雀等</w:t>
      </w:r>
      <w:r>
        <w:rPr>
          <w:rFonts w:hint="eastAsia"/>
          <w:color w:val="auto"/>
          <w:kern w:val="0"/>
          <w:u w:val="single"/>
        </w:rPr>
        <w:t>。根据现场调查，项目区域内生态环境良好，且施工区域附近存在大量相似生态环境，它们会迁移到非施工区相似生态环境，因此其生存不会受到威胁。</w:t>
      </w:r>
    </w:p>
    <w:p>
      <w:pPr>
        <w:ind w:firstLine="480"/>
        <w:jc w:val="both"/>
        <w:rPr>
          <w:color w:val="auto"/>
          <w:kern w:val="0"/>
          <w:u w:val="single"/>
        </w:rPr>
      </w:pPr>
      <w:r>
        <w:rPr>
          <w:rFonts w:hint="eastAsia"/>
          <w:color w:val="auto"/>
          <w:kern w:val="0"/>
          <w:u w:val="single"/>
        </w:rPr>
        <w:t>从影响的动物类别上看，工程施工期间，本项目对两栖纲和爬行纲动物的影响较哺乳动物和鸟类的大一些。但由于它们可迁移到非施工区，因而对其生存不会造成威胁。施工期间，临时征地区域的鸟类和兽类将被迫离开原来的活动区域，施工区附近的鸟类和大型兽类也会由于受到施工噪声的惊吓离开原来的分布区域。但当施工结束，临时占地区域的植被恢复后，它们仍可回到原来的活动区域。</w:t>
      </w:r>
    </w:p>
    <w:p>
      <w:pPr>
        <w:ind w:firstLine="480"/>
        <w:jc w:val="both"/>
        <w:rPr>
          <w:rFonts w:hint="eastAsia"/>
          <w:color w:val="auto"/>
          <w:kern w:val="0"/>
          <w:u w:val="single"/>
        </w:rPr>
      </w:pPr>
      <w:r>
        <w:rPr>
          <w:rFonts w:hint="eastAsia"/>
          <w:color w:val="auto"/>
          <w:kern w:val="0"/>
          <w:u w:val="single"/>
        </w:rPr>
        <w:t>综上所述，本工程施工期生态环境影响主要表现为工程的永久占地以及临时占地，但由于工程区域内周边附近生态环境相似，因工程永久占地受到影响的生物可移到非施工区相似生态环境，其生存不会受到威胁，建设方在合理施工的基础上工程施工对生态环境影响较小。</w:t>
      </w:r>
    </w:p>
    <w:p>
      <w:pPr>
        <w:pStyle w:val="69"/>
        <w:rPr>
          <w:rFonts w:hint="eastAsia"/>
          <w:color w:val="auto"/>
          <w:u w:val="single"/>
        </w:rPr>
      </w:pPr>
      <w:r>
        <w:rPr>
          <w:rFonts w:hint="eastAsia"/>
          <w:color w:val="auto"/>
          <w:u w:val="single"/>
        </w:rPr>
        <w:t>4.1.5.2管道铺设工程生态环境影响分析</w:t>
      </w:r>
    </w:p>
    <w:p>
      <w:pPr>
        <w:ind w:firstLine="480"/>
        <w:rPr>
          <w:rFonts w:hint="eastAsia"/>
          <w:color w:val="auto"/>
          <w:kern w:val="0"/>
          <w:u w:val="single"/>
        </w:rPr>
      </w:pPr>
      <w:r>
        <w:rPr>
          <w:rFonts w:hint="eastAsia"/>
          <w:color w:val="auto"/>
          <w:kern w:val="0"/>
          <w:u w:val="single"/>
        </w:rPr>
        <w:t>（1）水土流失环境影响分析</w:t>
      </w:r>
    </w:p>
    <w:p>
      <w:pPr>
        <w:ind w:firstLine="480"/>
        <w:rPr>
          <w:color w:val="auto"/>
          <w:kern w:val="0"/>
          <w:u w:val="single"/>
        </w:rPr>
      </w:pPr>
      <w:r>
        <w:rPr>
          <w:rFonts w:hint="eastAsia"/>
          <w:color w:val="auto"/>
          <w:kern w:val="0"/>
          <w:u w:val="single"/>
        </w:rPr>
        <w:t>项目</w:t>
      </w:r>
      <w:r>
        <w:rPr>
          <w:color w:val="auto"/>
          <w:kern w:val="0"/>
          <w:u w:val="single"/>
        </w:rPr>
        <w:t>施工期为</w:t>
      </w:r>
      <w:r>
        <w:rPr>
          <w:rFonts w:hint="eastAsia"/>
          <w:color w:val="auto"/>
          <w:kern w:val="0"/>
          <w:u w:val="single"/>
        </w:rPr>
        <w:t>埋设</w:t>
      </w:r>
      <w:r>
        <w:rPr>
          <w:color w:val="auto"/>
          <w:kern w:val="0"/>
          <w:u w:val="single"/>
        </w:rPr>
        <w:t>管线</w:t>
      </w:r>
      <w:r>
        <w:rPr>
          <w:rFonts w:hint="eastAsia"/>
          <w:color w:val="auto"/>
          <w:kern w:val="0"/>
          <w:u w:val="single"/>
        </w:rPr>
        <w:t>需</w:t>
      </w:r>
      <w:r>
        <w:rPr>
          <w:color w:val="auto"/>
          <w:kern w:val="0"/>
          <w:u w:val="single"/>
        </w:rPr>
        <w:t>要挖管道沟槽，挖出的土方主要堆在沟的两边，土层较松散，在雨季时易产生水土流失现象。据</w:t>
      </w:r>
      <w:r>
        <w:rPr>
          <w:rFonts w:hint="eastAsia"/>
          <w:color w:val="auto"/>
          <w:kern w:val="0"/>
          <w:u w:val="single"/>
        </w:rPr>
        <w:t>相关</w:t>
      </w:r>
      <w:r>
        <w:rPr>
          <w:color w:val="auto"/>
          <w:kern w:val="0"/>
          <w:u w:val="single"/>
        </w:rPr>
        <w:t>资料，坡度为3°的疏松泥土，土量的损失量为51.8t/(ha·a)</w:t>
      </w:r>
      <w:r>
        <w:rPr>
          <w:rFonts w:hint="eastAsia"/>
          <w:color w:val="auto"/>
          <w:kern w:val="0"/>
          <w:u w:val="single"/>
          <w:lang w:eastAsia="zh-CN"/>
        </w:rPr>
        <w:t>，</w:t>
      </w:r>
      <w:r>
        <w:rPr>
          <w:color w:val="auto"/>
          <w:kern w:val="0"/>
          <w:u w:val="single"/>
        </w:rPr>
        <w:t>坡度为9°的疏松泥土，土量的损失量为69.9t/(ha·a)，由此可见，本项目在雨季</w:t>
      </w:r>
      <w:r>
        <w:rPr>
          <w:rFonts w:hint="eastAsia"/>
          <w:color w:val="auto"/>
          <w:kern w:val="0"/>
          <w:u w:val="single"/>
        </w:rPr>
        <w:t>施工时</w:t>
      </w:r>
      <w:r>
        <w:rPr>
          <w:color w:val="auto"/>
          <w:kern w:val="0"/>
          <w:u w:val="single"/>
        </w:rPr>
        <w:t>，土壤流失量将会很大。</w:t>
      </w:r>
    </w:p>
    <w:p>
      <w:pPr>
        <w:ind w:firstLine="480"/>
        <w:rPr>
          <w:color w:val="auto"/>
          <w:kern w:val="0"/>
          <w:u w:val="single"/>
        </w:rPr>
      </w:pPr>
      <w:r>
        <w:rPr>
          <w:color w:val="auto"/>
          <w:kern w:val="0"/>
          <w:u w:val="single"/>
        </w:rPr>
        <w:t>项目所在地多暴雨，降雨量大部分集中在雨季（4月至9月），夏季暴雨较集中，降雨大，降雨时间长，这些气象条件</w:t>
      </w:r>
      <w:r>
        <w:rPr>
          <w:rFonts w:hint="eastAsia"/>
          <w:color w:val="auto"/>
          <w:kern w:val="0"/>
          <w:u w:val="single"/>
        </w:rPr>
        <w:t>将成为</w:t>
      </w:r>
      <w:r>
        <w:rPr>
          <w:color w:val="auto"/>
          <w:kern w:val="0"/>
          <w:u w:val="single"/>
        </w:rPr>
        <w:t>项目施工期水土流失的主要原因。</w:t>
      </w:r>
      <w:r>
        <w:rPr>
          <w:rFonts w:hint="eastAsia"/>
          <w:color w:val="auto"/>
          <w:kern w:val="0"/>
          <w:u w:val="single"/>
        </w:rPr>
        <w:t>另外，</w:t>
      </w:r>
      <w:r>
        <w:rPr>
          <w:color w:val="auto"/>
          <w:kern w:val="0"/>
          <w:u w:val="single"/>
        </w:rPr>
        <w:t>大量的土方填挖，陡坡，边坡的形成和整理，使土壤暴露</w:t>
      </w:r>
      <w:r>
        <w:rPr>
          <w:rFonts w:hint="eastAsia"/>
          <w:color w:val="auto"/>
          <w:kern w:val="0"/>
          <w:u w:val="single"/>
        </w:rPr>
        <w:t>加剧，</w:t>
      </w:r>
      <w:r>
        <w:rPr>
          <w:color w:val="auto"/>
          <w:kern w:val="0"/>
          <w:u w:val="single"/>
        </w:rPr>
        <w:t>施工过程中，泥土转运装卸作业</w:t>
      </w:r>
      <w:r>
        <w:rPr>
          <w:rFonts w:hint="eastAsia"/>
          <w:color w:val="auto"/>
          <w:kern w:val="0"/>
          <w:u w:val="single"/>
        </w:rPr>
        <w:t>等情况都可能造成水土流失。</w:t>
      </w:r>
    </w:p>
    <w:p>
      <w:pPr>
        <w:ind w:firstLine="480"/>
        <w:rPr>
          <w:rFonts w:hint="eastAsia"/>
          <w:color w:val="auto"/>
          <w:kern w:val="0"/>
          <w:u w:val="single"/>
        </w:rPr>
      </w:pPr>
      <w:r>
        <w:rPr>
          <w:color w:val="auto"/>
          <w:kern w:val="0"/>
          <w:u w:val="single"/>
        </w:rPr>
        <w:t>施工过程中严重的水土流失，不但会影响工程进度和工程质量，</w:t>
      </w:r>
      <w:r>
        <w:rPr>
          <w:rFonts w:hint="eastAsia"/>
          <w:color w:val="auto"/>
          <w:kern w:val="0"/>
          <w:u w:val="single"/>
        </w:rPr>
        <w:t>其</w:t>
      </w:r>
      <w:r>
        <w:rPr>
          <w:color w:val="auto"/>
          <w:kern w:val="0"/>
          <w:u w:val="single"/>
        </w:rPr>
        <w:t>产生的泥沙作为一种废物或污染物往外排放，会对管线施工地段</w:t>
      </w:r>
      <w:r>
        <w:rPr>
          <w:rFonts w:hint="eastAsia"/>
          <w:color w:val="auto"/>
          <w:kern w:val="0"/>
          <w:u w:val="single"/>
        </w:rPr>
        <w:t>城区</w:t>
      </w:r>
      <w:r>
        <w:rPr>
          <w:color w:val="auto"/>
          <w:kern w:val="0"/>
          <w:u w:val="single"/>
        </w:rPr>
        <w:t>环境</w:t>
      </w:r>
      <w:r>
        <w:rPr>
          <w:rFonts w:hint="eastAsia"/>
          <w:color w:val="auto"/>
          <w:kern w:val="0"/>
          <w:u w:val="single"/>
        </w:rPr>
        <w:t>造成</w:t>
      </w:r>
      <w:r>
        <w:rPr>
          <w:color w:val="auto"/>
          <w:kern w:val="0"/>
          <w:u w:val="single"/>
        </w:rPr>
        <w:t>严重影响。在施工场地上，雨水径流将以</w:t>
      </w:r>
      <w:r>
        <w:rPr>
          <w:rFonts w:hint="eastAsia"/>
          <w:color w:val="auto"/>
          <w:kern w:val="0"/>
          <w:u w:val="single"/>
        </w:rPr>
        <w:t>“</w:t>
      </w:r>
      <w:r>
        <w:rPr>
          <w:color w:val="auto"/>
          <w:kern w:val="0"/>
          <w:u w:val="single"/>
        </w:rPr>
        <w:t>黄泥水</w:t>
      </w:r>
      <w:r>
        <w:rPr>
          <w:rFonts w:hint="eastAsia"/>
          <w:color w:val="auto"/>
          <w:kern w:val="0"/>
          <w:u w:val="single"/>
        </w:rPr>
        <w:t>”</w:t>
      </w:r>
      <w:r>
        <w:rPr>
          <w:color w:val="auto"/>
          <w:kern w:val="0"/>
          <w:u w:val="single"/>
        </w:rPr>
        <w:t>的形式进入排水沟，</w:t>
      </w:r>
      <w:r>
        <w:rPr>
          <w:rFonts w:hint="eastAsia"/>
          <w:color w:val="auto"/>
          <w:kern w:val="0"/>
          <w:u w:val="single"/>
        </w:rPr>
        <w:t>“</w:t>
      </w:r>
      <w:r>
        <w:rPr>
          <w:color w:val="auto"/>
          <w:kern w:val="0"/>
          <w:u w:val="single"/>
        </w:rPr>
        <w:t>黄泥水</w:t>
      </w:r>
      <w:r>
        <w:rPr>
          <w:rFonts w:hint="eastAsia"/>
          <w:color w:val="auto"/>
          <w:kern w:val="0"/>
          <w:u w:val="single"/>
        </w:rPr>
        <w:t>”</w:t>
      </w:r>
      <w:r>
        <w:rPr>
          <w:color w:val="auto"/>
          <w:kern w:val="0"/>
          <w:u w:val="single"/>
        </w:rPr>
        <w:t>沉积后将会堵塞排水沟，对</w:t>
      </w:r>
      <w:r>
        <w:rPr>
          <w:rFonts w:hint="eastAsia"/>
          <w:color w:val="auto"/>
          <w:kern w:val="0"/>
          <w:u w:val="single"/>
        </w:rPr>
        <w:t>施工</w:t>
      </w:r>
      <w:r>
        <w:rPr>
          <w:color w:val="auto"/>
          <w:kern w:val="0"/>
          <w:u w:val="single"/>
        </w:rPr>
        <w:t>周围的雨季地面排水系统产生影响</w:t>
      </w:r>
      <w:r>
        <w:rPr>
          <w:rFonts w:hint="eastAsia"/>
          <w:color w:val="auto"/>
          <w:kern w:val="0"/>
          <w:u w:val="single"/>
        </w:rPr>
        <w:t>，</w:t>
      </w:r>
      <w:r>
        <w:rPr>
          <w:color w:val="auto"/>
          <w:kern w:val="0"/>
          <w:u w:val="single"/>
        </w:rPr>
        <w:t>在靠近河流段，泥浆水将直接进入附近河道，增加河水的含沙量，造成河床淤积</w:t>
      </w:r>
      <w:r>
        <w:rPr>
          <w:rFonts w:hint="eastAsia"/>
          <w:color w:val="auto"/>
          <w:kern w:val="0"/>
          <w:u w:val="single"/>
        </w:rPr>
        <w:t>，</w:t>
      </w:r>
      <w:r>
        <w:rPr>
          <w:color w:val="auto"/>
          <w:kern w:val="0"/>
          <w:u w:val="single"/>
        </w:rPr>
        <w:t>同时，泥浆水还会夹带施工场地上的水泥、油污等污染物进入水体，造成水体污染</w:t>
      </w:r>
      <w:r>
        <w:rPr>
          <w:rFonts w:hint="eastAsia"/>
          <w:color w:val="auto"/>
          <w:kern w:val="0"/>
          <w:u w:val="single"/>
        </w:rPr>
        <w:t>，</w:t>
      </w:r>
      <w:r>
        <w:rPr>
          <w:color w:val="auto"/>
          <w:kern w:val="0"/>
          <w:u w:val="single"/>
        </w:rPr>
        <w:t>故</w:t>
      </w:r>
      <w:r>
        <w:rPr>
          <w:rFonts w:hint="eastAsia"/>
          <w:color w:val="auto"/>
          <w:kern w:val="0"/>
          <w:u w:val="single"/>
        </w:rPr>
        <w:t>必须考虑</w:t>
      </w:r>
      <w:r>
        <w:rPr>
          <w:color w:val="auto"/>
          <w:kern w:val="0"/>
          <w:u w:val="single"/>
        </w:rPr>
        <w:t>施工期的水土流失问题，采取必要的措施加以控制</w:t>
      </w:r>
      <w:r>
        <w:rPr>
          <w:rFonts w:hint="eastAsia"/>
          <w:color w:val="auto"/>
          <w:kern w:val="0"/>
          <w:u w:val="single"/>
        </w:rPr>
        <w:t>，因此环评要求建设方</w:t>
      </w:r>
      <w:r>
        <w:rPr>
          <w:color w:val="auto"/>
          <w:kern w:val="0"/>
          <w:u w:val="single"/>
          <w:lang w:val="zh-CN"/>
        </w:rPr>
        <w:t>在施工中，合理安排施工计划、施工程序，协调好各个施工步骤，雨季中尽量减少地面坡度，减少开挖，并争取土料随挖随运，减少堆土、裸土的暴露时间，以免受降水的直接冲刷，在暴雨期，还应采取应急措施，尽量用覆盖物覆盖新挖的陡坡，防止冲刷和塌崩；</w:t>
      </w:r>
      <w:r>
        <w:rPr>
          <w:rFonts w:hint="eastAsia"/>
          <w:color w:val="auto"/>
          <w:kern w:val="0"/>
          <w:u w:val="single"/>
          <w:lang w:val="zh-CN"/>
        </w:rPr>
        <w:t>当开挖管线离河岸较近时，</w:t>
      </w:r>
      <w:r>
        <w:rPr>
          <w:color w:val="auto"/>
          <w:kern w:val="0"/>
          <w:u w:val="single"/>
          <w:lang w:val="zh-CN"/>
        </w:rPr>
        <w:t>应先做好挡土</w:t>
      </w:r>
      <w:r>
        <w:rPr>
          <w:rFonts w:hint="eastAsia"/>
          <w:color w:val="auto"/>
          <w:kern w:val="0"/>
          <w:u w:val="single"/>
          <w:lang w:val="zh-CN"/>
        </w:rPr>
        <w:t>墙</w:t>
      </w:r>
      <w:r>
        <w:rPr>
          <w:color w:val="auto"/>
          <w:kern w:val="0"/>
          <w:u w:val="single"/>
          <w:lang w:val="zh-CN"/>
        </w:rPr>
        <w:t>，防止</w:t>
      </w:r>
      <w:r>
        <w:rPr>
          <w:rFonts w:hint="eastAsia"/>
          <w:color w:val="auto"/>
          <w:kern w:val="0"/>
          <w:u w:val="single"/>
          <w:lang w:val="zh-CN"/>
        </w:rPr>
        <w:t>开挖面</w:t>
      </w:r>
      <w:r>
        <w:rPr>
          <w:color w:val="auto"/>
          <w:kern w:val="0"/>
          <w:u w:val="single"/>
          <w:lang w:val="zh-CN"/>
        </w:rPr>
        <w:t>流失土壤被水流冲至</w:t>
      </w:r>
      <w:r>
        <w:rPr>
          <w:rFonts w:hint="eastAsia"/>
          <w:color w:val="auto"/>
          <w:kern w:val="0"/>
          <w:u w:val="single"/>
          <w:lang w:val="zh-CN"/>
        </w:rPr>
        <w:t>水体中</w:t>
      </w:r>
      <w:r>
        <w:rPr>
          <w:color w:val="auto"/>
          <w:kern w:val="0"/>
          <w:u w:val="single"/>
          <w:lang w:val="zh-CN"/>
        </w:rPr>
        <w:t>，影响</w:t>
      </w:r>
      <w:r>
        <w:rPr>
          <w:rFonts w:hint="eastAsia"/>
          <w:color w:val="auto"/>
          <w:kern w:val="0"/>
          <w:u w:val="single"/>
          <w:lang w:val="zh-CN"/>
        </w:rPr>
        <w:t>水质</w:t>
      </w:r>
      <w:r>
        <w:rPr>
          <w:color w:val="auto"/>
          <w:kern w:val="0"/>
          <w:u w:val="single"/>
          <w:lang w:val="zh-CN"/>
        </w:rPr>
        <w:t>环境；对场地部分区域需开挖山脚时，高于场地设计标高的边坡按稳定边坡削坡，坡面浆砌块石，框格内种植抗逆性强的草皮。对边坡较陡，填土不实易于崩塌的采取浆砌石护坡，并每隔一定距离沿坡面设竖向排水沟。对已建场地应尽快埋设水管道，做好绿化</w:t>
      </w:r>
      <w:r>
        <w:rPr>
          <w:rFonts w:hint="eastAsia"/>
          <w:color w:val="auto"/>
          <w:kern w:val="0"/>
          <w:u w:val="single"/>
          <w:lang w:val="zh-CN"/>
        </w:rPr>
        <w:t>，</w:t>
      </w:r>
      <w:r>
        <w:rPr>
          <w:color w:val="auto"/>
          <w:kern w:val="0"/>
          <w:u w:val="single"/>
          <w:lang w:val="zh-CN"/>
        </w:rPr>
        <w:t>对没有条件种植绿化的裸露土壤区域，应在其表面铺设碎石</w:t>
      </w:r>
      <w:r>
        <w:rPr>
          <w:rFonts w:hint="eastAsia"/>
          <w:color w:val="auto"/>
          <w:kern w:val="0"/>
          <w:u w:val="single"/>
          <w:lang w:val="zh-CN"/>
        </w:rPr>
        <w:t>，避免水土流失产生。</w:t>
      </w:r>
    </w:p>
    <w:p>
      <w:pPr>
        <w:ind w:firstLine="480"/>
        <w:rPr>
          <w:rFonts w:hint="eastAsia"/>
          <w:color w:val="auto"/>
          <w:kern w:val="0"/>
          <w:u w:val="single"/>
        </w:rPr>
      </w:pPr>
      <w:r>
        <w:rPr>
          <w:rFonts w:hint="eastAsia"/>
          <w:color w:val="auto"/>
          <w:kern w:val="0"/>
          <w:u w:val="single"/>
        </w:rPr>
        <w:t>（2）对植被影响分析</w:t>
      </w:r>
    </w:p>
    <w:p>
      <w:pPr>
        <w:pStyle w:val="98"/>
        <w:snapToGrid w:val="0"/>
        <w:ind w:firstLine="480"/>
        <w:rPr>
          <w:color w:val="auto"/>
          <w:sz w:val="24"/>
          <w:u w:val="single"/>
        </w:rPr>
      </w:pPr>
      <w:r>
        <w:rPr>
          <w:rFonts w:hint="eastAsia"/>
          <w:color w:val="auto"/>
          <w:sz w:val="24"/>
          <w:u w:val="single"/>
        </w:rPr>
        <w:t>管线建设中影响地表植被的主要工程环节一般有以下三个方面：</w:t>
      </w:r>
    </w:p>
    <w:p>
      <w:pPr>
        <w:pStyle w:val="98"/>
        <w:snapToGrid w:val="0"/>
        <w:ind w:firstLine="480"/>
        <w:rPr>
          <w:color w:val="auto"/>
          <w:sz w:val="24"/>
          <w:u w:val="single"/>
        </w:rPr>
      </w:pPr>
      <w:r>
        <w:rPr>
          <w:rFonts w:hint="eastAsia"/>
          <w:color w:val="auto"/>
          <w:sz w:val="24"/>
          <w:u w:val="single"/>
        </w:rPr>
        <w:t>①管线工程永久性征用土地，是管线沿线地表植被遭受损失和破坏的主要原因；</w:t>
      </w:r>
    </w:p>
    <w:p>
      <w:pPr>
        <w:pStyle w:val="98"/>
        <w:snapToGrid w:val="0"/>
        <w:ind w:firstLine="480"/>
        <w:rPr>
          <w:color w:val="auto"/>
          <w:sz w:val="24"/>
          <w:u w:val="single"/>
        </w:rPr>
      </w:pPr>
      <w:r>
        <w:rPr>
          <w:rFonts w:hint="eastAsia"/>
          <w:color w:val="auto"/>
          <w:sz w:val="24"/>
          <w:u w:val="single"/>
        </w:rPr>
        <w:t>②施工临时用地，包括施工材料堆存、土石方堆存等，因施工作业，这些植被将受到损失；</w:t>
      </w:r>
    </w:p>
    <w:p>
      <w:pPr>
        <w:ind w:firstLine="480"/>
        <w:rPr>
          <w:color w:val="auto"/>
          <w:u w:val="single"/>
        </w:rPr>
      </w:pPr>
      <w:r>
        <w:rPr>
          <w:rFonts w:hint="eastAsia"/>
          <w:color w:val="auto"/>
          <w:u w:val="single"/>
        </w:rPr>
        <w:t>③施工期的其他原因损坏，施工期由于材料运输、机械碾压及施工人员践踏，将破坏施工作业区周围植被。</w:t>
      </w:r>
    </w:p>
    <w:p>
      <w:pPr>
        <w:ind w:firstLine="480"/>
        <w:rPr>
          <w:rFonts w:hint="eastAsia"/>
          <w:color w:val="auto"/>
          <w:u w:val="single"/>
        </w:rPr>
      </w:pPr>
      <w:r>
        <w:rPr>
          <w:rFonts w:hint="eastAsia"/>
          <w:color w:val="auto"/>
          <w:u w:val="single"/>
        </w:rPr>
        <w:t>根据实际调查，项目区域</w:t>
      </w:r>
      <w:r>
        <w:rPr>
          <w:color w:val="auto"/>
          <w:u w:val="single"/>
        </w:rPr>
        <w:t>内植被主要有低矮灌木</w:t>
      </w:r>
      <w:r>
        <w:rPr>
          <w:rFonts w:hint="eastAsia"/>
          <w:color w:val="auto"/>
          <w:u w:val="single"/>
        </w:rPr>
        <w:t>等</w:t>
      </w:r>
      <w:r>
        <w:rPr>
          <w:color w:val="auto"/>
          <w:u w:val="single"/>
        </w:rPr>
        <w:t>。评价范围内尚未发现国家重点保护珍稀动</w:t>
      </w:r>
      <w:r>
        <w:rPr>
          <w:rFonts w:hint="eastAsia"/>
          <w:color w:val="auto"/>
          <w:u w:val="single"/>
        </w:rPr>
        <w:t>、</w:t>
      </w:r>
      <w:r>
        <w:rPr>
          <w:color w:val="auto"/>
          <w:u w:val="single"/>
        </w:rPr>
        <w:t>植物</w:t>
      </w:r>
      <w:r>
        <w:rPr>
          <w:rFonts w:hint="eastAsia"/>
          <w:color w:val="auto"/>
          <w:u w:val="single"/>
        </w:rPr>
        <w:t>，项目建设会造成一定程度的植被损失，但由于植被损失面积与路线所经地区相比极少，因此，管线施工破坏的植被不会对沿线生态系统物种的丰度和生态功能产生重大影响。项目施工后恢复沿线占地及临时用地绿化，施工过程中不得越过用地红线随意破坏周边植被。项目施工不会对周围植被造成明显不利影响。</w:t>
      </w:r>
    </w:p>
    <w:p>
      <w:pPr>
        <w:ind w:firstLine="480"/>
        <w:rPr>
          <w:rFonts w:hint="eastAsia"/>
          <w:color w:val="auto"/>
          <w:kern w:val="0"/>
          <w:u w:val="single"/>
        </w:rPr>
      </w:pPr>
      <w:r>
        <w:rPr>
          <w:rFonts w:hint="eastAsia"/>
          <w:color w:val="auto"/>
          <w:kern w:val="0"/>
          <w:u w:val="single"/>
        </w:rPr>
        <w:t>（3）对陆生动物环境影响分析</w:t>
      </w:r>
    </w:p>
    <w:p>
      <w:pPr>
        <w:ind w:firstLine="480"/>
        <w:rPr>
          <w:color w:val="auto"/>
          <w:kern w:val="0"/>
          <w:u w:val="single"/>
        </w:rPr>
      </w:pPr>
      <w:r>
        <w:rPr>
          <w:rFonts w:hint="eastAsia"/>
          <w:color w:val="auto"/>
          <w:kern w:val="0"/>
          <w:u w:val="single"/>
        </w:rPr>
        <w:t>拟建项目对沿线动物的影响主要来自于建设期工程开挖、机械设备噪声、植被破坏、动物迁徙通道阻隔等。</w:t>
      </w:r>
    </w:p>
    <w:p>
      <w:pPr>
        <w:ind w:firstLine="480"/>
        <w:rPr>
          <w:color w:val="auto"/>
          <w:u w:val="single"/>
        </w:rPr>
      </w:pPr>
      <w:r>
        <w:rPr>
          <w:rFonts w:hint="eastAsia"/>
          <w:color w:val="auto"/>
          <w:u w:val="single"/>
        </w:rPr>
        <w:t>施工期工程永久和临时占地将会破坏和缩小野生动物的栖息空间，切断部分动物的活动区域、迁移途径、觅食范围。施工期作业机械噪声和振动以及施工人员的活动，也会影响野生动物的生存。</w:t>
      </w:r>
    </w:p>
    <w:p>
      <w:pPr>
        <w:ind w:firstLine="480"/>
        <w:rPr>
          <w:color w:val="auto"/>
          <w:u w:val="single"/>
        </w:rPr>
      </w:pPr>
      <w:r>
        <w:rPr>
          <w:rFonts w:hint="eastAsia"/>
          <w:color w:val="auto"/>
          <w:u w:val="single"/>
        </w:rPr>
        <w:t>本项目区域内人类活动频繁，已经难见较大型的野生动物，常见物种都为适生物种，对于周边环境已经有一定适应性，加上本工程</w:t>
      </w:r>
      <w:r>
        <w:rPr>
          <w:rFonts w:hint="eastAsia"/>
          <w:color w:val="auto"/>
          <w:u w:val="single"/>
          <w:lang w:eastAsia="zh-CN"/>
        </w:rPr>
        <w:t>需要压开挖段</w:t>
      </w:r>
      <w:r>
        <w:rPr>
          <w:rFonts w:hint="eastAsia"/>
          <w:color w:val="auto"/>
          <w:u w:val="single"/>
        </w:rPr>
        <w:t>线路不长、工程量比较小，施工范围小，项目建设对动物影响范围不大且时间较短，因此项目范围内动物不会因</w:t>
      </w:r>
      <w:r>
        <w:rPr>
          <w:rFonts w:hint="eastAsia"/>
          <w:color w:val="auto"/>
          <w:u w:val="single"/>
          <w:lang w:val="zh-CN"/>
        </w:rPr>
        <w:t>为工程施工而死亡或出现数量大幅减少的现象。随着工程建设完成、植被恢复，</w:t>
      </w:r>
      <w:r>
        <w:rPr>
          <w:rFonts w:hint="eastAsia"/>
          <w:color w:val="auto"/>
          <w:u w:val="single"/>
        </w:rPr>
        <w:t>本项目对动物的影响也会随之缓解和消失。</w:t>
      </w:r>
    </w:p>
    <w:p>
      <w:pPr>
        <w:ind w:firstLine="480"/>
        <w:rPr>
          <w:color w:val="auto"/>
          <w:u w:val="none"/>
        </w:rPr>
      </w:pPr>
      <w:r>
        <w:rPr>
          <w:rFonts w:hint="eastAsia"/>
          <w:color w:val="auto"/>
          <w:u w:val="single"/>
        </w:rPr>
        <w:t>总体来说，施工期间，做好施工期各类废水管理措施，不外排；施工垃圾不乱堆放倒弃，做好水土流失防护措施，同时由于工程施工时间短，做好相应的环保措施后，对周边生物影响较小。</w:t>
      </w:r>
    </w:p>
    <w:p>
      <w:pPr>
        <w:pStyle w:val="76"/>
        <w:spacing w:before="163" w:after="163"/>
        <w:rPr>
          <w:rFonts w:hint="eastAsia"/>
          <w:color w:val="auto"/>
          <w:kern w:val="0"/>
          <w:u w:val="none"/>
        </w:rPr>
      </w:pPr>
      <w:bookmarkStart w:id="234" w:name="_Toc5528"/>
      <w:r>
        <w:rPr>
          <w:rFonts w:hint="eastAsia"/>
          <w:color w:val="auto"/>
          <w:kern w:val="0"/>
          <w:u w:val="none"/>
        </w:rPr>
        <w:t>4.</w:t>
      </w:r>
      <w:r>
        <w:rPr>
          <w:color w:val="auto"/>
          <w:kern w:val="0"/>
          <w:u w:val="none"/>
        </w:rPr>
        <w:t>2</w:t>
      </w:r>
      <w:r>
        <w:rPr>
          <w:rFonts w:hint="eastAsia"/>
          <w:color w:val="auto"/>
          <w:kern w:val="0"/>
          <w:u w:val="none"/>
        </w:rPr>
        <w:t>工程运营期环境影响分析与评价</w:t>
      </w:r>
      <w:bookmarkEnd w:id="234"/>
    </w:p>
    <w:p>
      <w:pPr>
        <w:pStyle w:val="104"/>
        <w:ind w:firstLine="480"/>
        <w:jc w:val="left"/>
        <w:rPr>
          <w:rFonts w:ascii="Times New Roman" w:hAnsi="Times New Roman"/>
          <w:color w:val="auto"/>
          <w:u w:val="none"/>
        </w:rPr>
      </w:pPr>
      <w:r>
        <w:rPr>
          <w:rFonts w:hint="eastAsia" w:ascii="Times New Roman" w:hAnsi="Times New Roman"/>
          <w:color w:val="auto"/>
          <w:u w:val="none"/>
        </w:rPr>
        <w:t>本项目工程包括污水厂建设工程、管网铺设工程，由于项目特殊性，管道铺设工程</w:t>
      </w:r>
      <w:r>
        <w:rPr>
          <w:rFonts w:hint="eastAsia" w:ascii="Times New Roman" w:hAnsi="Times New Roman"/>
          <w:bCs/>
          <w:color w:val="auto"/>
          <w:szCs w:val="24"/>
          <w:u w:val="none"/>
        </w:rPr>
        <w:t>运营期主要表现为有利影响，如：管道铺设工程建设成功后，水环境质量有所提高及有利的社会环境影响，此外，环境污染较少，对环境没有较大的影响。因此，本项目运营期主要针对污水处理厂投入运营后所产污染物对外环境影响进行分析。</w:t>
      </w:r>
    </w:p>
    <w:p>
      <w:pPr>
        <w:pStyle w:val="6"/>
        <w:bidi w:val="0"/>
        <w:rPr>
          <w:rFonts w:hint="eastAsia"/>
        </w:rPr>
      </w:pPr>
      <w:r>
        <w:rPr>
          <w:rFonts w:hint="eastAsia"/>
        </w:rPr>
        <w:t>4.</w:t>
      </w:r>
      <w:r>
        <w:t>2</w:t>
      </w:r>
      <w:r>
        <w:rPr>
          <w:rFonts w:hint="eastAsia"/>
        </w:rPr>
        <w:t>.1大气环境影响预测与评价</w:t>
      </w:r>
    </w:p>
    <w:p>
      <w:pPr>
        <w:bidi w:val="0"/>
        <w:rPr>
          <w:rFonts w:hint="eastAsia"/>
        </w:rPr>
      </w:pPr>
      <w:r>
        <w:rPr>
          <w:rFonts w:hint="eastAsia"/>
          <w:color w:val="auto"/>
          <w:u w:val="single"/>
          <w:lang w:eastAsia="zh-CN"/>
        </w:rPr>
        <w:t>本项目分两期建设，一期设计规模为</w:t>
      </w:r>
      <w:r>
        <w:rPr>
          <w:rFonts w:hint="eastAsia"/>
          <w:color w:val="auto"/>
          <w:u w:val="single"/>
          <w:lang w:val="en-US" w:eastAsia="zh-CN"/>
        </w:rPr>
        <w:t>400</w:t>
      </w:r>
      <w:r>
        <w:rPr>
          <w:color w:val="auto"/>
          <w:u w:val="single"/>
        </w:rPr>
        <w:t>m</w:t>
      </w:r>
      <w:r>
        <w:rPr>
          <w:color w:val="auto"/>
          <w:u w:val="single"/>
          <w:vertAlign w:val="superscript"/>
        </w:rPr>
        <w:t>3</w:t>
      </w:r>
      <w:r>
        <w:rPr>
          <w:color w:val="auto"/>
          <w:u w:val="single"/>
        </w:rPr>
        <w:t>/d</w:t>
      </w:r>
      <w:r>
        <w:rPr>
          <w:rFonts w:hint="eastAsia"/>
          <w:color w:val="auto"/>
          <w:u w:val="single"/>
          <w:lang w:eastAsia="zh-CN"/>
        </w:rPr>
        <w:t>，二期新增设备后总设计</w:t>
      </w:r>
      <w:r>
        <w:rPr>
          <w:color w:val="auto"/>
          <w:u w:val="single"/>
        </w:rPr>
        <w:t>规模</w:t>
      </w:r>
      <w:r>
        <w:rPr>
          <w:rFonts w:hint="eastAsia"/>
          <w:color w:val="auto"/>
          <w:u w:val="single"/>
        </w:rPr>
        <w:t>为</w:t>
      </w:r>
      <w:r>
        <w:rPr>
          <w:rFonts w:hint="eastAsia"/>
          <w:color w:val="auto"/>
          <w:u w:val="single"/>
          <w:lang w:val="en-US" w:eastAsia="zh-CN"/>
        </w:rPr>
        <w:t>1000</w:t>
      </w:r>
      <w:r>
        <w:rPr>
          <w:color w:val="auto"/>
          <w:u w:val="single"/>
        </w:rPr>
        <w:t>m</w:t>
      </w:r>
      <w:r>
        <w:rPr>
          <w:color w:val="auto"/>
          <w:u w:val="single"/>
          <w:vertAlign w:val="superscript"/>
        </w:rPr>
        <w:t>3</w:t>
      </w:r>
      <w:r>
        <w:rPr>
          <w:color w:val="auto"/>
          <w:u w:val="single"/>
        </w:rPr>
        <w:t>/d</w:t>
      </w:r>
      <w:r>
        <w:rPr>
          <w:rFonts w:hint="eastAsia"/>
          <w:color w:val="auto"/>
          <w:u w:val="single"/>
          <w:lang w:eastAsia="zh-CN"/>
        </w:rPr>
        <w:t>，本环评包含一期及二期内容，故本环评大气环境影响评价总规模为</w:t>
      </w:r>
      <w:r>
        <w:rPr>
          <w:rFonts w:hint="eastAsia"/>
          <w:color w:val="auto"/>
          <w:u w:val="single"/>
          <w:lang w:val="en-US" w:eastAsia="zh-CN"/>
        </w:rPr>
        <w:t>1000</w:t>
      </w:r>
      <w:r>
        <w:rPr>
          <w:color w:val="auto"/>
          <w:u w:val="single"/>
        </w:rPr>
        <w:t>m</w:t>
      </w:r>
      <w:r>
        <w:rPr>
          <w:color w:val="auto"/>
          <w:u w:val="single"/>
          <w:vertAlign w:val="superscript"/>
        </w:rPr>
        <w:t>3</w:t>
      </w:r>
      <w:r>
        <w:rPr>
          <w:color w:val="auto"/>
          <w:u w:val="single"/>
        </w:rPr>
        <w:t>/d</w:t>
      </w:r>
      <w:r>
        <w:rPr>
          <w:rFonts w:hint="eastAsia"/>
          <w:color w:val="auto"/>
          <w:u w:val="single"/>
          <w:lang w:eastAsia="zh-CN"/>
        </w:rPr>
        <w:t>。</w:t>
      </w:r>
    </w:p>
    <w:p>
      <w:pPr>
        <w:pStyle w:val="69"/>
        <w:rPr>
          <w:rFonts w:hint="eastAsia"/>
          <w:color w:val="auto"/>
          <w:u w:val="none"/>
        </w:rPr>
      </w:pPr>
      <w:r>
        <w:rPr>
          <w:rFonts w:hint="eastAsia"/>
          <w:color w:val="auto"/>
          <w:u w:val="none"/>
        </w:rPr>
        <w:t>4.</w:t>
      </w:r>
      <w:r>
        <w:rPr>
          <w:color w:val="auto"/>
          <w:u w:val="none"/>
        </w:rPr>
        <w:t>2</w:t>
      </w:r>
      <w:r>
        <w:rPr>
          <w:rFonts w:hint="eastAsia"/>
          <w:color w:val="auto"/>
          <w:u w:val="none"/>
        </w:rPr>
        <w:t>.1.1评价区域气象特征</w:t>
      </w:r>
    </w:p>
    <w:p>
      <w:pPr>
        <w:ind w:firstLine="480"/>
        <w:jc w:val="both"/>
        <w:rPr>
          <w:color w:val="auto"/>
          <w:kern w:val="0"/>
          <w:szCs w:val="22"/>
          <w:u w:val="none"/>
          <w:lang w:bidi="en-US"/>
        </w:rPr>
      </w:pPr>
      <w:r>
        <w:rPr>
          <w:rFonts w:hint="eastAsia" w:ascii="宋体" w:hAnsi="宋体"/>
          <w:color w:val="auto"/>
          <w:kern w:val="0"/>
          <w:szCs w:val="22"/>
          <w:u w:val="none"/>
          <w:lang w:bidi="en-US"/>
        </w:rPr>
        <w:t>（</w:t>
      </w:r>
      <w:r>
        <w:rPr>
          <w:rFonts w:hint="eastAsia"/>
          <w:color w:val="auto"/>
          <w:kern w:val="0"/>
          <w:szCs w:val="22"/>
          <w:u w:val="none"/>
          <w:lang w:bidi="en-US"/>
        </w:rPr>
        <w:t>1</w:t>
      </w:r>
      <w:r>
        <w:rPr>
          <w:rFonts w:hint="eastAsia" w:ascii="宋体" w:hAnsi="宋体"/>
          <w:color w:val="auto"/>
          <w:kern w:val="0"/>
          <w:szCs w:val="22"/>
          <w:u w:val="none"/>
          <w:lang w:bidi="en-US"/>
        </w:rPr>
        <w:t>）地面气象数据</w:t>
      </w:r>
    </w:p>
    <w:p>
      <w:pPr>
        <w:ind w:firstLine="480"/>
        <w:jc w:val="both"/>
        <w:rPr>
          <w:color w:val="auto"/>
          <w:kern w:val="0"/>
          <w:szCs w:val="22"/>
          <w:u w:val="none"/>
          <w:lang w:bidi="en-US"/>
        </w:rPr>
      </w:pPr>
      <w:r>
        <w:rPr>
          <w:rFonts w:hint="eastAsia"/>
          <w:color w:val="auto"/>
          <w:kern w:val="0"/>
          <w:szCs w:val="22"/>
          <w:u w:val="none"/>
          <w:lang w:bidi="en-US"/>
        </w:rPr>
        <w:t>①</w:t>
      </w:r>
      <w:r>
        <w:rPr>
          <w:rFonts w:hint="eastAsia" w:ascii="宋体" w:hAnsi="宋体"/>
          <w:color w:val="auto"/>
          <w:kern w:val="0"/>
          <w:szCs w:val="22"/>
          <w:u w:val="none"/>
          <w:lang w:bidi="en-US"/>
        </w:rPr>
        <w:t>气温、气压、降水、日照</w:t>
      </w:r>
    </w:p>
    <w:p>
      <w:pPr>
        <w:ind w:firstLine="480"/>
        <w:jc w:val="both"/>
        <w:rPr>
          <w:color w:val="auto"/>
          <w:kern w:val="0"/>
          <w:szCs w:val="22"/>
          <w:u w:val="none"/>
          <w:lang w:bidi="en-US"/>
        </w:rPr>
      </w:pPr>
      <w:r>
        <w:rPr>
          <w:rFonts w:ascii="宋体" w:hAnsi="宋体"/>
          <w:color w:val="auto"/>
          <w:kern w:val="0"/>
          <w:szCs w:val="22"/>
          <w:u w:val="none"/>
          <w:lang w:bidi="en-US"/>
        </w:rPr>
        <w:t>据</w:t>
      </w:r>
      <w:r>
        <w:rPr>
          <w:rFonts w:hint="eastAsia" w:ascii="宋体" w:hAnsi="宋体"/>
          <w:color w:val="auto"/>
          <w:kern w:val="0"/>
          <w:szCs w:val="22"/>
          <w:u w:val="none"/>
          <w:lang w:eastAsia="zh-CN" w:bidi="en-US"/>
        </w:rPr>
        <w:t>永顺县</w:t>
      </w:r>
      <w:r>
        <w:rPr>
          <w:rFonts w:ascii="宋体" w:hAnsi="宋体"/>
          <w:color w:val="auto"/>
          <w:kern w:val="0"/>
          <w:szCs w:val="22"/>
          <w:u w:val="none"/>
          <w:lang w:bidi="en-US"/>
        </w:rPr>
        <w:t>气象局提供的近年常规气象要素统计，该区域</w:t>
      </w:r>
      <w:r>
        <w:rPr>
          <w:rFonts w:hAnsi="宋体"/>
          <w:color w:val="auto"/>
          <w:kern w:val="0"/>
          <w:szCs w:val="22"/>
          <w:u w:val="none"/>
          <w:lang w:bidi="en-US"/>
        </w:rPr>
        <w:t>近</w:t>
      </w:r>
      <w:r>
        <w:rPr>
          <w:color w:val="auto"/>
          <w:kern w:val="0"/>
          <w:szCs w:val="22"/>
          <w:u w:val="none"/>
          <w:lang w:bidi="en-US"/>
        </w:rPr>
        <w:t>20</w:t>
      </w:r>
      <w:r>
        <w:rPr>
          <w:rFonts w:hint="eastAsia" w:ascii="宋体" w:hAnsi="宋体"/>
          <w:color w:val="auto"/>
          <w:kern w:val="0"/>
          <w:szCs w:val="22"/>
          <w:u w:val="none"/>
          <w:lang w:bidi="en-US"/>
        </w:rPr>
        <w:t>年</w:t>
      </w:r>
      <w:r>
        <w:rPr>
          <w:rFonts w:ascii="宋体" w:hAnsi="宋体"/>
          <w:color w:val="auto"/>
          <w:kern w:val="0"/>
          <w:szCs w:val="22"/>
          <w:u w:val="none"/>
          <w:lang w:bidi="en-US"/>
        </w:rPr>
        <w:t>年平均气温</w:t>
      </w:r>
      <w:r>
        <w:rPr>
          <w:rFonts w:hint="eastAsia"/>
          <w:color w:val="auto"/>
          <w:kern w:val="0"/>
          <w:szCs w:val="22"/>
          <w:u w:val="none"/>
          <w:lang w:val="en-US" w:eastAsia="zh-CN" w:bidi="en-US"/>
        </w:rPr>
        <w:t>16.8</w:t>
      </w:r>
      <w:r>
        <w:rPr>
          <w:rFonts w:hint="eastAsia"/>
          <w:color w:val="auto"/>
          <w:kern w:val="0"/>
          <w:szCs w:val="22"/>
          <w:u w:val="none"/>
          <w:lang w:bidi="en-US"/>
        </w:rPr>
        <w:t>℃</w:t>
      </w:r>
      <w:r>
        <w:rPr>
          <w:rFonts w:ascii="宋体" w:hAnsi="宋体"/>
          <w:color w:val="auto"/>
          <w:kern w:val="0"/>
          <w:szCs w:val="22"/>
          <w:u w:val="none"/>
          <w:lang w:bidi="en-US"/>
        </w:rPr>
        <w:t>，</w:t>
      </w:r>
      <w:r>
        <w:rPr>
          <w:rFonts w:hint="eastAsia" w:ascii="宋体" w:hAnsi="宋体"/>
          <w:color w:val="auto"/>
          <w:kern w:val="0"/>
          <w:szCs w:val="22"/>
          <w:u w:val="none"/>
          <w:lang w:eastAsia="zh-CN" w:bidi="en-US"/>
        </w:rPr>
        <w:t>年</w:t>
      </w:r>
      <w:r>
        <w:rPr>
          <w:rFonts w:ascii="宋体" w:hAnsi="宋体"/>
          <w:color w:val="auto"/>
          <w:kern w:val="0"/>
          <w:szCs w:val="22"/>
          <w:u w:val="none"/>
          <w:lang w:bidi="en-US"/>
        </w:rPr>
        <w:t>均</w:t>
      </w:r>
      <w:r>
        <w:rPr>
          <w:rFonts w:hint="eastAsia" w:ascii="宋体" w:hAnsi="宋体"/>
          <w:color w:val="auto"/>
          <w:kern w:val="0"/>
          <w:szCs w:val="22"/>
          <w:u w:val="none"/>
          <w:lang w:eastAsia="zh-CN" w:bidi="en-US"/>
        </w:rPr>
        <w:t>最高</w:t>
      </w:r>
      <w:r>
        <w:rPr>
          <w:rFonts w:hint="default" w:ascii="Times New Roman" w:hAnsi="Times New Roman" w:cs="Times New Roman"/>
          <w:color w:val="auto"/>
          <w:kern w:val="0"/>
          <w:szCs w:val="22"/>
          <w:u w:val="none"/>
          <w:lang w:bidi="en-US"/>
        </w:rPr>
        <w:t>气温</w:t>
      </w:r>
      <w:r>
        <w:rPr>
          <w:rFonts w:hint="default" w:ascii="Times New Roman" w:hAnsi="Times New Roman" w:cs="Times New Roman"/>
          <w:color w:val="auto"/>
          <w:kern w:val="0"/>
          <w:szCs w:val="22"/>
          <w:u w:val="none"/>
          <w:lang w:val="en-US" w:eastAsia="zh-CN" w:bidi="en-US"/>
        </w:rPr>
        <w:t>38.9</w:t>
      </w:r>
      <w:r>
        <w:rPr>
          <w:rFonts w:hint="default" w:ascii="Times New Roman" w:hAnsi="Times New Roman" w:cs="Times New Roman"/>
          <w:color w:val="auto"/>
          <w:kern w:val="0"/>
          <w:szCs w:val="22"/>
          <w:u w:val="none"/>
          <w:lang w:bidi="en-US"/>
        </w:rPr>
        <w:t>℃</w:t>
      </w:r>
      <w:r>
        <w:rPr>
          <w:rFonts w:ascii="宋体" w:hAnsi="宋体"/>
          <w:color w:val="auto"/>
          <w:kern w:val="0"/>
          <w:szCs w:val="22"/>
          <w:u w:val="none"/>
          <w:lang w:bidi="en-US"/>
        </w:rPr>
        <w:t>、最低</w:t>
      </w:r>
      <w:r>
        <w:rPr>
          <w:rFonts w:hint="eastAsia" w:ascii="宋体" w:hAnsi="宋体"/>
          <w:color w:val="auto"/>
          <w:kern w:val="0"/>
          <w:szCs w:val="22"/>
          <w:u w:val="none"/>
          <w:lang w:eastAsia="zh-CN" w:bidi="en-US"/>
        </w:rPr>
        <w:t>气温</w:t>
      </w:r>
      <w:r>
        <w:rPr>
          <w:rFonts w:hint="eastAsia"/>
          <w:color w:val="auto"/>
          <w:kern w:val="0"/>
          <w:szCs w:val="22"/>
          <w:u w:val="none"/>
          <w:lang w:val="en-US" w:eastAsia="zh-CN" w:bidi="en-US"/>
        </w:rPr>
        <w:t>-3.2</w:t>
      </w:r>
      <w:r>
        <w:rPr>
          <w:rFonts w:hint="eastAsia"/>
          <w:color w:val="auto"/>
          <w:kern w:val="0"/>
          <w:szCs w:val="22"/>
          <w:u w:val="none"/>
          <w:lang w:bidi="en-US"/>
        </w:rPr>
        <w:t>℃</w:t>
      </w:r>
      <w:r>
        <w:rPr>
          <w:rFonts w:ascii="宋体" w:hAnsi="宋体"/>
          <w:color w:val="auto"/>
          <w:kern w:val="0"/>
          <w:szCs w:val="22"/>
          <w:u w:val="none"/>
          <w:lang w:bidi="en-US"/>
        </w:rPr>
        <w:t>；年均降水量</w:t>
      </w:r>
      <w:r>
        <w:rPr>
          <w:rFonts w:hint="eastAsia"/>
          <w:color w:val="auto"/>
          <w:kern w:val="0"/>
          <w:szCs w:val="22"/>
          <w:u w:val="none"/>
          <w:lang w:val="en-US" w:eastAsia="zh-CN" w:bidi="en-US"/>
        </w:rPr>
        <w:t>1337.9</w:t>
      </w:r>
      <w:r>
        <w:rPr>
          <w:color w:val="auto"/>
          <w:kern w:val="0"/>
          <w:szCs w:val="22"/>
          <w:u w:val="none"/>
          <w:lang w:bidi="en-US"/>
        </w:rPr>
        <w:t>mm</w:t>
      </w:r>
      <w:r>
        <w:rPr>
          <w:rFonts w:ascii="宋体" w:hAnsi="宋体"/>
          <w:color w:val="auto"/>
          <w:kern w:val="0"/>
          <w:szCs w:val="22"/>
          <w:u w:val="none"/>
          <w:lang w:bidi="en-US"/>
        </w:rPr>
        <w:t>，夏、秋两季雨水较多；年平均日照时数为</w:t>
      </w:r>
      <w:r>
        <w:rPr>
          <w:rFonts w:hint="eastAsia"/>
          <w:color w:val="auto"/>
          <w:kern w:val="0"/>
          <w:szCs w:val="22"/>
          <w:u w:val="none"/>
          <w:lang w:val="en-US" w:eastAsia="zh-CN" w:bidi="en-US"/>
        </w:rPr>
        <w:t>1237.6</w:t>
      </w:r>
      <w:r>
        <w:rPr>
          <w:rFonts w:ascii="宋体" w:hAnsi="宋体"/>
          <w:color w:val="auto"/>
          <w:kern w:val="0"/>
          <w:szCs w:val="22"/>
          <w:u w:val="none"/>
          <w:lang w:bidi="en-US"/>
        </w:rPr>
        <w:t>小时。</w:t>
      </w:r>
    </w:p>
    <w:p>
      <w:pPr>
        <w:ind w:firstLine="480"/>
        <w:jc w:val="both"/>
        <w:rPr>
          <w:rFonts w:hAnsi="宋体"/>
          <w:color w:val="auto"/>
          <w:kern w:val="0"/>
          <w:szCs w:val="22"/>
          <w:u w:val="none"/>
          <w:lang w:bidi="en-US"/>
        </w:rPr>
      </w:pPr>
      <w:r>
        <w:rPr>
          <w:rFonts w:hint="eastAsia" w:hAnsi="宋体"/>
          <w:color w:val="auto"/>
          <w:kern w:val="0"/>
          <w:szCs w:val="22"/>
          <w:u w:val="none"/>
          <w:lang w:bidi="en-US"/>
        </w:rPr>
        <w:t>②</w:t>
      </w:r>
      <w:r>
        <w:rPr>
          <w:rFonts w:ascii="宋体" w:hAnsi="宋体"/>
          <w:color w:val="auto"/>
          <w:kern w:val="0"/>
          <w:szCs w:val="22"/>
          <w:u w:val="none"/>
          <w:lang w:bidi="en-US"/>
        </w:rPr>
        <w:t>地面风向、风速</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Ansi="宋体"/>
          <w:b/>
          <w:bCs/>
          <w:color w:val="auto"/>
          <w:kern w:val="0"/>
          <w:sz w:val="21"/>
          <w:szCs w:val="21"/>
          <w:u w:val="none"/>
          <w:lang w:bidi="en-US"/>
        </w:rPr>
      </w:pPr>
      <w:r>
        <w:rPr>
          <w:rFonts w:ascii="宋体" w:hAnsi="宋体"/>
          <w:color w:val="auto"/>
          <w:kern w:val="0"/>
          <w:szCs w:val="22"/>
          <w:u w:val="none"/>
          <w:lang w:bidi="en-US"/>
        </w:rPr>
        <w:t>近二十年</w:t>
      </w:r>
      <w:r>
        <w:rPr>
          <w:rFonts w:hint="default" w:ascii="Times New Roman" w:hAnsi="Times New Roman" w:cs="Times New Roman"/>
          <w:color w:val="auto"/>
          <w:kern w:val="0"/>
          <w:szCs w:val="22"/>
          <w:u w:val="none"/>
          <w:lang w:bidi="en-US"/>
        </w:rPr>
        <w:t>平均风速为</w:t>
      </w:r>
      <w:r>
        <w:rPr>
          <w:rFonts w:hint="default" w:ascii="Times New Roman" w:hAnsi="Times New Roman" w:cs="Times New Roman"/>
          <w:color w:val="auto"/>
          <w:kern w:val="0"/>
          <w:szCs w:val="22"/>
          <w:u w:val="none"/>
          <w:lang w:val="en-US" w:eastAsia="zh-CN" w:bidi="en-US"/>
        </w:rPr>
        <w:t>0.9</w:t>
      </w:r>
      <w:r>
        <w:rPr>
          <w:rFonts w:hint="default" w:ascii="Times New Roman" w:hAnsi="Times New Roman" w:cs="Times New Roman"/>
          <w:color w:val="auto"/>
          <w:kern w:val="0"/>
          <w:szCs w:val="22"/>
          <w:u w:val="none"/>
          <w:lang w:bidi="en-US"/>
        </w:rPr>
        <w:t>m/s。</w:t>
      </w:r>
      <w:r>
        <w:rPr>
          <w:rFonts w:hint="default" w:ascii="Times New Roman" w:hAnsi="Times New Roman" w:cs="Times New Roman"/>
          <w:color w:val="auto"/>
          <w:kern w:val="0"/>
          <w:szCs w:val="22"/>
          <w:u w:val="none"/>
          <w:lang w:eastAsia="zh-CN" w:bidi="en-US"/>
        </w:rPr>
        <w:t>最大风速为</w:t>
      </w:r>
      <w:r>
        <w:rPr>
          <w:rFonts w:hint="default" w:ascii="Times New Roman" w:hAnsi="Times New Roman" w:cs="Times New Roman"/>
          <w:color w:val="auto"/>
          <w:kern w:val="0"/>
          <w:szCs w:val="22"/>
          <w:u w:val="none"/>
          <w:lang w:val="en-US" w:eastAsia="zh-CN" w:bidi="en-US"/>
        </w:rPr>
        <w:t>16.4</w:t>
      </w:r>
      <w:r>
        <w:rPr>
          <w:rFonts w:hint="default" w:ascii="Times New Roman" w:hAnsi="Times New Roman" w:cs="Times New Roman"/>
          <w:color w:val="auto"/>
          <w:kern w:val="0"/>
          <w:szCs w:val="22"/>
          <w:u w:val="none"/>
          <w:lang w:bidi="en-US"/>
        </w:rPr>
        <w:t>m/s，</w:t>
      </w:r>
      <w:r>
        <w:rPr>
          <w:rFonts w:hint="default" w:ascii="Times New Roman" w:hAnsi="Times New Roman" w:cs="Times New Roman"/>
          <w:color w:val="auto"/>
          <w:kern w:val="0"/>
          <w:szCs w:val="22"/>
          <w:u w:val="none"/>
          <w:lang w:eastAsia="zh-CN" w:bidi="en-US"/>
        </w:rPr>
        <w:t>常年主导风向为</w:t>
      </w:r>
      <w:r>
        <w:rPr>
          <w:rFonts w:hint="default" w:ascii="Times New Roman" w:hAnsi="Times New Roman" w:cs="Times New Roman"/>
          <w:color w:val="auto"/>
          <w:kern w:val="0"/>
          <w:szCs w:val="22"/>
          <w:u w:val="none"/>
          <w:lang w:val="en-US" w:eastAsia="zh-CN" w:bidi="en-US"/>
        </w:rPr>
        <w:t>WSW，频率为16.8%</w:t>
      </w:r>
      <w:r>
        <w:rPr>
          <w:rFonts w:hint="eastAsia" w:ascii="宋体" w:hAnsi="宋体"/>
          <w:color w:val="auto"/>
          <w:kern w:val="0"/>
          <w:szCs w:val="22"/>
          <w:u w:val="none"/>
          <w:lang w:bidi="en-US"/>
        </w:rPr>
        <w:t>。</w:t>
      </w:r>
    </w:p>
    <w:p>
      <w:pPr>
        <w:pStyle w:val="69"/>
        <w:rPr>
          <w:color w:val="auto"/>
          <w:u w:val="none"/>
        </w:rPr>
      </w:pPr>
      <w:r>
        <w:rPr>
          <w:rFonts w:hint="eastAsia"/>
          <w:color w:val="auto"/>
          <w:u w:val="none"/>
        </w:rPr>
        <w:t>4.</w:t>
      </w:r>
      <w:r>
        <w:rPr>
          <w:color w:val="auto"/>
          <w:u w:val="none"/>
        </w:rPr>
        <w:t>2</w:t>
      </w:r>
      <w:r>
        <w:rPr>
          <w:rFonts w:hint="eastAsia"/>
          <w:color w:val="auto"/>
          <w:u w:val="none"/>
        </w:rPr>
        <w:t>.1.2恶臭环境影响分析</w:t>
      </w:r>
    </w:p>
    <w:p>
      <w:pPr>
        <w:ind w:firstLine="480"/>
        <w:rPr>
          <w:rFonts w:hint="eastAsia"/>
          <w:color w:val="auto"/>
          <w:kern w:val="0"/>
          <w:u w:val="none"/>
        </w:rPr>
      </w:pPr>
      <w:r>
        <w:rPr>
          <w:rFonts w:hint="eastAsia"/>
          <w:color w:val="auto"/>
          <w:kern w:val="0"/>
          <w:u w:val="none"/>
        </w:rPr>
        <w:t>（1）恶臭强度等级</w:t>
      </w:r>
    </w:p>
    <w:p>
      <w:pPr>
        <w:ind w:firstLine="480"/>
        <w:rPr>
          <w:rFonts w:hint="eastAsia"/>
          <w:color w:val="auto"/>
          <w:kern w:val="0"/>
          <w:u w:val="none"/>
        </w:rPr>
      </w:pPr>
      <w:r>
        <w:rPr>
          <w:rFonts w:hint="eastAsia"/>
          <w:color w:val="auto"/>
          <w:kern w:val="0"/>
          <w:u w:val="none"/>
        </w:rPr>
        <w:t>恶臭是大气、水、废弃物等物资中的异味通过空气介质，作用于人的嗅觉被感知的一种嗅觉污染。恶臭物质种类很多，其中对人体健康危害较大的主要有：硫醇类、氨、硫化氢、甲醛、三甲胺和酚类等。</w:t>
      </w:r>
    </w:p>
    <w:p>
      <w:pPr>
        <w:ind w:firstLine="480"/>
        <w:rPr>
          <w:rFonts w:hint="eastAsia"/>
          <w:color w:val="auto"/>
          <w:kern w:val="0"/>
          <w:u w:val="none"/>
        </w:rPr>
      </w:pPr>
      <w:r>
        <w:rPr>
          <w:rFonts w:hint="eastAsia"/>
          <w:color w:val="auto"/>
          <w:kern w:val="0"/>
          <w:u w:val="none"/>
        </w:rPr>
        <w:t>用嗅觉感觉出来的臭气强度，有多种表示方法，其中最常用的也是最基本的是“阈值”来表示。所谓嗅觉阈值就是人所能嗅觉到某种物质的最小刺激量。恶臭强度以臭味的嗅觉阈值来表示为基准划分等级的，恶臭强度划分为6级，详见下表4.</w:t>
      </w:r>
      <w:r>
        <w:rPr>
          <w:color w:val="auto"/>
          <w:kern w:val="0"/>
          <w:u w:val="none"/>
        </w:rPr>
        <w:t>2</w:t>
      </w:r>
      <w:r>
        <w:rPr>
          <w:rFonts w:hint="eastAsia"/>
          <w:color w:val="auto"/>
          <w:kern w:val="0"/>
          <w:u w:val="none"/>
        </w:rPr>
        <w:t>-</w:t>
      </w:r>
      <w:r>
        <w:rPr>
          <w:rFonts w:hint="eastAsia"/>
          <w:color w:val="auto"/>
          <w:kern w:val="0"/>
          <w:u w:val="none"/>
          <w:lang w:val="en-US" w:eastAsia="zh-CN"/>
        </w:rPr>
        <w:t>1</w:t>
      </w:r>
      <w:r>
        <w:rPr>
          <w:rFonts w:hint="eastAsia"/>
          <w:color w:val="auto"/>
          <w:kern w:val="0"/>
          <w:u w:val="none"/>
        </w:rPr>
        <w:t>。</w:t>
      </w:r>
    </w:p>
    <w:p>
      <w:pPr>
        <w:ind w:firstLine="422"/>
        <w:jc w:val="center"/>
        <w:rPr>
          <w:rFonts w:hint="eastAsia"/>
          <w:b/>
          <w:color w:val="auto"/>
          <w:kern w:val="0"/>
          <w:sz w:val="21"/>
          <w:szCs w:val="21"/>
          <w:u w:val="none"/>
        </w:rPr>
      </w:pPr>
      <w:r>
        <w:rPr>
          <w:rFonts w:hint="eastAsia"/>
          <w:b/>
          <w:color w:val="auto"/>
          <w:kern w:val="0"/>
          <w:sz w:val="21"/>
          <w:szCs w:val="21"/>
          <w:u w:val="none"/>
        </w:rPr>
        <w:t>表4.</w:t>
      </w:r>
      <w:r>
        <w:rPr>
          <w:b/>
          <w:color w:val="auto"/>
          <w:kern w:val="0"/>
          <w:sz w:val="21"/>
          <w:szCs w:val="21"/>
          <w:u w:val="none"/>
        </w:rPr>
        <w:t>2</w:t>
      </w:r>
      <w:r>
        <w:rPr>
          <w:rFonts w:hint="eastAsia"/>
          <w:b/>
          <w:color w:val="auto"/>
          <w:kern w:val="0"/>
          <w:sz w:val="21"/>
          <w:szCs w:val="21"/>
          <w:u w:val="none"/>
        </w:rPr>
        <w:t>-</w:t>
      </w:r>
      <w:r>
        <w:rPr>
          <w:rFonts w:hint="eastAsia"/>
          <w:b/>
          <w:color w:val="auto"/>
          <w:kern w:val="0"/>
          <w:sz w:val="21"/>
          <w:szCs w:val="21"/>
          <w:u w:val="none"/>
          <w:lang w:val="en-US" w:eastAsia="zh-CN"/>
        </w:rPr>
        <w:t>1</w:t>
      </w:r>
      <w:r>
        <w:rPr>
          <w:b/>
          <w:color w:val="auto"/>
          <w:kern w:val="0"/>
          <w:sz w:val="21"/>
          <w:szCs w:val="21"/>
          <w:u w:val="none"/>
        </w:rPr>
        <w:t xml:space="preserve"> </w:t>
      </w:r>
      <w:r>
        <w:rPr>
          <w:rFonts w:hint="eastAsia"/>
          <w:b/>
          <w:color w:val="auto"/>
          <w:kern w:val="0"/>
          <w:sz w:val="21"/>
          <w:szCs w:val="21"/>
          <w:u w:val="none"/>
        </w:rPr>
        <w:t>恶臭分类情况一览表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6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noWrap w:val="0"/>
            <w:vAlign w:val="center"/>
          </w:tcPr>
          <w:p>
            <w:pPr>
              <w:pStyle w:val="73"/>
              <w:rPr>
                <w:rFonts w:hint="eastAsia"/>
                <w:color w:val="auto"/>
                <w:u w:val="none"/>
              </w:rPr>
            </w:pPr>
            <w:r>
              <w:rPr>
                <w:rFonts w:hint="eastAsia"/>
                <w:color w:val="auto"/>
                <w:u w:val="none"/>
              </w:rPr>
              <w:t>强度分类</w:t>
            </w:r>
          </w:p>
        </w:tc>
        <w:tc>
          <w:tcPr>
            <w:tcW w:w="6004" w:type="dxa"/>
            <w:noWrap w:val="0"/>
            <w:vAlign w:val="center"/>
          </w:tcPr>
          <w:p>
            <w:pPr>
              <w:pStyle w:val="73"/>
              <w:rPr>
                <w:rFonts w:hint="eastAsia"/>
                <w:color w:val="auto"/>
                <w:u w:val="none"/>
              </w:rPr>
            </w:pPr>
            <w:r>
              <w:rPr>
                <w:rFonts w:hint="eastAsia"/>
                <w:color w:val="auto"/>
                <w:u w:val="none"/>
              </w:rPr>
              <w:t>臭气感觉程度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noWrap w:val="0"/>
            <w:vAlign w:val="center"/>
          </w:tcPr>
          <w:p>
            <w:pPr>
              <w:pStyle w:val="73"/>
              <w:rPr>
                <w:rFonts w:hint="eastAsia"/>
                <w:color w:val="auto"/>
                <w:u w:val="none"/>
              </w:rPr>
            </w:pPr>
            <w:r>
              <w:rPr>
                <w:rFonts w:hint="eastAsia"/>
                <w:color w:val="auto"/>
                <w:u w:val="none"/>
              </w:rPr>
              <w:t>0</w:t>
            </w:r>
          </w:p>
        </w:tc>
        <w:tc>
          <w:tcPr>
            <w:tcW w:w="6004" w:type="dxa"/>
            <w:noWrap w:val="0"/>
            <w:vAlign w:val="center"/>
          </w:tcPr>
          <w:p>
            <w:pPr>
              <w:pStyle w:val="73"/>
              <w:rPr>
                <w:rFonts w:hint="eastAsia"/>
                <w:color w:val="auto"/>
                <w:u w:val="none"/>
              </w:rPr>
            </w:pPr>
            <w:r>
              <w:rPr>
                <w:rFonts w:hint="eastAsia"/>
                <w:color w:val="auto"/>
                <w:u w:val="none"/>
              </w:rPr>
              <w:t>未闻到任何气味、无反应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noWrap w:val="0"/>
            <w:vAlign w:val="center"/>
          </w:tcPr>
          <w:p>
            <w:pPr>
              <w:pStyle w:val="73"/>
              <w:rPr>
                <w:rFonts w:hint="eastAsia"/>
                <w:color w:val="auto"/>
                <w:u w:val="none"/>
              </w:rPr>
            </w:pPr>
            <w:r>
              <w:rPr>
                <w:rFonts w:hint="eastAsia"/>
                <w:color w:val="auto"/>
                <w:u w:val="none"/>
              </w:rPr>
              <w:t>1</w:t>
            </w:r>
          </w:p>
        </w:tc>
        <w:tc>
          <w:tcPr>
            <w:tcW w:w="6004" w:type="dxa"/>
            <w:noWrap w:val="0"/>
            <w:vAlign w:val="center"/>
          </w:tcPr>
          <w:p>
            <w:pPr>
              <w:pStyle w:val="73"/>
              <w:rPr>
                <w:rFonts w:hint="eastAsia"/>
                <w:color w:val="auto"/>
                <w:u w:val="none"/>
              </w:rPr>
            </w:pPr>
            <w:r>
              <w:rPr>
                <w:rFonts w:hint="eastAsia"/>
                <w:color w:val="auto"/>
                <w:u w:val="none"/>
              </w:rPr>
              <w:t>能勉强闻到气味，检知阈值浓度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noWrap w:val="0"/>
            <w:vAlign w:val="center"/>
          </w:tcPr>
          <w:p>
            <w:pPr>
              <w:pStyle w:val="73"/>
              <w:rPr>
                <w:rFonts w:hint="eastAsia"/>
                <w:color w:val="auto"/>
                <w:u w:val="none"/>
              </w:rPr>
            </w:pPr>
            <w:r>
              <w:rPr>
                <w:rFonts w:hint="eastAsia"/>
                <w:color w:val="auto"/>
                <w:u w:val="none"/>
              </w:rPr>
              <w:t>2</w:t>
            </w:r>
          </w:p>
        </w:tc>
        <w:tc>
          <w:tcPr>
            <w:tcW w:w="6004" w:type="dxa"/>
            <w:noWrap w:val="0"/>
            <w:vAlign w:val="center"/>
          </w:tcPr>
          <w:p>
            <w:pPr>
              <w:pStyle w:val="73"/>
              <w:rPr>
                <w:rFonts w:hint="eastAsia"/>
                <w:color w:val="auto"/>
                <w:u w:val="none"/>
              </w:rPr>
            </w:pPr>
            <w:r>
              <w:rPr>
                <w:rFonts w:hint="eastAsia"/>
                <w:color w:val="auto"/>
                <w:u w:val="none"/>
              </w:rPr>
              <w:t>能够确定气味性质的较弱气体、确认阈值浓度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noWrap w:val="0"/>
            <w:vAlign w:val="center"/>
          </w:tcPr>
          <w:p>
            <w:pPr>
              <w:pStyle w:val="73"/>
              <w:rPr>
                <w:rFonts w:hint="eastAsia"/>
                <w:color w:val="auto"/>
                <w:u w:val="none"/>
              </w:rPr>
            </w:pPr>
            <w:r>
              <w:rPr>
                <w:rFonts w:hint="eastAsia"/>
                <w:color w:val="auto"/>
                <w:u w:val="none"/>
              </w:rPr>
              <w:t>3</w:t>
            </w:r>
          </w:p>
        </w:tc>
        <w:tc>
          <w:tcPr>
            <w:tcW w:w="6004" w:type="dxa"/>
            <w:noWrap w:val="0"/>
            <w:vAlign w:val="center"/>
          </w:tcPr>
          <w:p>
            <w:pPr>
              <w:pStyle w:val="73"/>
              <w:rPr>
                <w:rFonts w:hint="eastAsia"/>
                <w:color w:val="auto"/>
                <w:u w:val="none"/>
              </w:rPr>
            </w:pPr>
            <w:r>
              <w:rPr>
                <w:rFonts w:hint="eastAsia"/>
                <w:color w:val="auto"/>
                <w:u w:val="none"/>
              </w:rPr>
              <w:t>易闻到有明显气味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noWrap w:val="0"/>
            <w:vAlign w:val="center"/>
          </w:tcPr>
          <w:p>
            <w:pPr>
              <w:pStyle w:val="73"/>
              <w:rPr>
                <w:rFonts w:hint="eastAsia"/>
                <w:color w:val="auto"/>
                <w:u w:val="none"/>
              </w:rPr>
            </w:pPr>
            <w:r>
              <w:rPr>
                <w:rFonts w:hint="eastAsia"/>
                <w:color w:val="auto"/>
                <w:u w:val="none"/>
              </w:rPr>
              <w:t>4</w:t>
            </w:r>
          </w:p>
        </w:tc>
        <w:tc>
          <w:tcPr>
            <w:tcW w:w="6004" w:type="dxa"/>
            <w:noWrap w:val="0"/>
            <w:vAlign w:val="center"/>
          </w:tcPr>
          <w:p>
            <w:pPr>
              <w:pStyle w:val="73"/>
              <w:rPr>
                <w:rFonts w:hint="eastAsia"/>
                <w:color w:val="auto"/>
                <w:u w:val="none"/>
              </w:rPr>
            </w:pPr>
            <w:r>
              <w:rPr>
                <w:rFonts w:hint="eastAsia"/>
                <w:color w:val="auto"/>
                <w:u w:val="none"/>
              </w:rPr>
              <w:t>有很强的气味，很反感，想离开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8" w:type="dxa"/>
            <w:noWrap w:val="0"/>
            <w:vAlign w:val="center"/>
          </w:tcPr>
          <w:p>
            <w:pPr>
              <w:pStyle w:val="73"/>
              <w:rPr>
                <w:rFonts w:hint="eastAsia"/>
                <w:color w:val="auto"/>
                <w:u w:val="none"/>
              </w:rPr>
            </w:pPr>
            <w:r>
              <w:rPr>
                <w:rFonts w:hint="eastAsia"/>
                <w:color w:val="auto"/>
                <w:u w:val="none"/>
              </w:rPr>
              <w:t>5</w:t>
            </w:r>
          </w:p>
        </w:tc>
        <w:tc>
          <w:tcPr>
            <w:tcW w:w="6004" w:type="dxa"/>
            <w:noWrap w:val="0"/>
            <w:vAlign w:val="center"/>
          </w:tcPr>
          <w:p>
            <w:pPr>
              <w:pStyle w:val="73"/>
              <w:rPr>
                <w:rFonts w:hint="eastAsia"/>
                <w:color w:val="auto"/>
                <w:u w:val="none"/>
              </w:rPr>
            </w:pPr>
            <w:r>
              <w:rPr>
                <w:rFonts w:hint="eastAsia"/>
                <w:color w:val="auto"/>
                <w:u w:val="none"/>
              </w:rPr>
              <w:t>有很强的气味，无法忍受，立即离开</w:t>
            </w:r>
          </w:p>
        </w:tc>
      </w:tr>
    </w:tbl>
    <w:p>
      <w:pPr>
        <w:ind w:firstLine="480"/>
        <w:rPr>
          <w:rFonts w:hint="eastAsia"/>
          <w:color w:val="auto"/>
          <w:kern w:val="0"/>
          <w:u w:val="none"/>
        </w:rPr>
      </w:pPr>
      <w:r>
        <w:rPr>
          <w:rFonts w:hint="eastAsia"/>
          <w:color w:val="auto"/>
          <w:kern w:val="0"/>
          <w:u w:val="none"/>
        </w:rPr>
        <w:t>（2）恶臭污染的特点</w:t>
      </w:r>
    </w:p>
    <w:p>
      <w:pPr>
        <w:ind w:firstLine="480"/>
        <w:rPr>
          <w:rFonts w:hint="eastAsia"/>
          <w:color w:val="auto"/>
          <w:kern w:val="0"/>
          <w:u w:val="none"/>
        </w:rPr>
      </w:pPr>
      <w:r>
        <w:rPr>
          <w:rFonts w:hint="eastAsia"/>
          <w:color w:val="auto"/>
          <w:kern w:val="0"/>
          <w:u w:val="none"/>
        </w:rPr>
        <w:t>①恶臭是感觉性的公害，判断恶臭对人们的影响，主要以给人们带来的不舒服感觉的影响为中心进行，是一种心理上的反应，故主观因素很强。然而，人们的嗅觉鉴别能力比其他感觉能力强，因此受影响的主观感觉是评价恶臭污染程度的主要依据。</w:t>
      </w:r>
    </w:p>
    <w:p>
      <w:pPr>
        <w:ind w:firstLine="480"/>
        <w:rPr>
          <w:rFonts w:hint="eastAsia"/>
          <w:color w:val="auto"/>
          <w:kern w:val="0"/>
          <w:u w:val="none"/>
        </w:rPr>
      </w:pPr>
      <w:r>
        <w:rPr>
          <w:rFonts w:hint="eastAsia"/>
          <w:color w:val="auto"/>
          <w:kern w:val="0"/>
          <w:u w:val="none"/>
        </w:rPr>
        <w:t>②恶臭通常是由多种成分气体形成的，各种成分气体的阈值或最小检知浓度不相同，在较低浓度时，一般不察觉，但是浓度一旦达成阈值之后，大多会立即产生强烈的恶臭反应。</w:t>
      </w:r>
    </w:p>
    <w:p>
      <w:pPr>
        <w:ind w:firstLine="480"/>
        <w:rPr>
          <w:rFonts w:hint="eastAsia"/>
          <w:color w:val="auto"/>
          <w:kern w:val="0"/>
          <w:u w:val="none"/>
        </w:rPr>
      </w:pPr>
      <w:r>
        <w:rPr>
          <w:rFonts w:hint="eastAsia"/>
          <w:color w:val="auto"/>
          <w:kern w:val="0"/>
          <w:u w:val="none"/>
        </w:rPr>
        <w:t>③人们对恶臭的厌臭感与恶臭气体成分与性质、强度以及浓度有关，并且包含这周边环境、气象条件和个人条件（身体条件及身体状况等）等因素在内。恶臭成份大部分被去除后，在人的嗅觉不会感觉相应程度降低或减弱。因此，对于防治恶臭污染而言，受影响者并不是要求减低恶臭浓度，而是要求必须没有恶臭气体。</w:t>
      </w:r>
    </w:p>
    <w:p>
      <w:pPr>
        <w:ind w:firstLine="480"/>
        <w:rPr>
          <w:rFonts w:hint="eastAsia"/>
          <w:color w:val="auto"/>
          <w:kern w:val="0"/>
          <w:u w:val="none"/>
        </w:rPr>
      </w:pPr>
      <w:r>
        <w:rPr>
          <w:rFonts w:hint="eastAsia"/>
          <w:color w:val="auto"/>
          <w:kern w:val="0"/>
          <w:u w:val="none"/>
        </w:rPr>
        <w:t>（3）恶臭影响分析</w:t>
      </w:r>
    </w:p>
    <w:p>
      <w:pPr>
        <w:ind w:firstLine="480"/>
        <w:jc w:val="both"/>
        <w:rPr>
          <w:rFonts w:hint="eastAsia"/>
          <w:color w:val="auto"/>
          <w:kern w:val="0"/>
          <w:u w:val="none"/>
        </w:rPr>
      </w:pPr>
      <w:r>
        <w:rPr>
          <w:rFonts w:hint="eastAsia"/>
          <w:color w:val="auto"/>
          <w:kern w:val="0"/>
          <w:u w:val="none"/>
        </w:rPr>
        <w:t>根据类似规模以及工艺流程污水处理厂恶臭污染物影响调查，对10名30岁以下无烟酒嗜好的未婚男女青年进行现场的臭味嗅闻，调查人员分别在构筑物下风向5m、30m、40m、50m、100m、200m、300m等距离处嗅觉，并对上风向作为对照嗅闻。由嗅闻统计可知，在污水处理设备下风向5m范围内，感觉到较强的臭气味（强度约3</w:t>
      </w:r>
      <w:r>
        <w:rPr>
          <w:color w:val="auto"/>
          <w:kern w:val="0"/>
          <w:u w:val="none"/>
        </w:rPr>
        <w:t>～4类），在30m～</w:t>
      </w:r>
      <w:r>
        <w:rPr>
          <w:rFonts w:hint="eastAsia"/>
          <w:color w:val="auto"/>
          <w:kern w:val="0"/>
          <w:u w:val="none"/>
        </w:rPr>
        <w:t>100m范围内很容易感觉到气味存在（强度约2</w:t>
      </w:r>
      <w:r>
        <w:rPr>
          <w:color w:val="auto"/>
          <w:kern w:val="0"/>
          <w:u w:val="none"/>
        </w:rPr>
        <w:t>～</w:t>
      </w:r>
      <w:r>
        <w:rPr>
          <w:rFonts w:hint="eastAsia"/>
          <w:color w:val="auto"/>
          <w:kern w:val="0"/>
          <w:u w:val="none"/>
        </w:rPr>
        <w:t>3类），在200m处气味就较弱（强度约1</w:t>
      </w:r>
      <w:r>
        <w:rPr>
          <w:color w:val="auto"/>
          <w:kern w:val="0"/>
          <w:u w:val="none"/>
        </w:rPr>
        <w:t>～</w:t>
      </w:r>
      <w:r>
        <w:rPr>
          <w:rFonts w:hint="eastAsia"/>
          <w:color w:val="auto"/>
          <w:kern w:val="0"/>
          <w:u w:val="none"/>
        </w:rPr>
        <w:t>2类），在300m左右，则基本闻不到气味。</w:t>
      </w:r>
    </w:p>
    <w:p>
      <w:pPr>
        <w:ind w:firstLine="480"/>
        <w:jc w:val="both"/>
        <w:rPr>
          <w:rFonts w:hint="eastAsia"/>
          <w:color w:val="auto"/>
          <w:kern w:val="0"/>
          <w:u w:val="none"/>
        </w:rPr>
      </w:pPr>
      <w:r>
        <w:rPr>
          <w:rFonts w:hint="eastAsia"/>
          <w:color w:val="auto"/>
          <w:kern w:val="0"/>
          <w:u w:val="none"/>
        </w:rPr>
        <w:t>随着距离增加，臭气臭气浓度会迅速下降，类比资料表明在距源100m距离内，可最大幅度地减少恶臭浓度影响，在距离臭源120m处，臭气浓度在11左右，已接近1类标准，在200m处则为4.4，即距离增加一倍，臭气浓度下降至一半以上，在300m处则为1左右，即距离增加三倍，臭气浓度下降到十分之一以下。</w:t>
      </w:r>
    </w:p>
    <w:p>
      <w:pPr>
        <w:ind w:firstLine="480"/>
        <w:jc w:val="both"/>
        <w:rPr>
          <w:rFonts w:hint="eastAsia"/>
          <w:color w:val="auto"/>
          <w:kern w:val="0"/>
          <w:u w:val="none"/>
        </w:rPr>
      </w:pPr>
      <w:r>
        <w:rPr>
          <w:rFonts w:hint="eastAsia"/>
          <w:color w:val="auto"/>
          <w:kern w:val="0"/>
          <w:u w:val="none"/>
        </w:rPr>
        <w:t>本</w:t>
      </w:r>
      <w:r>
        <w:rPr>
          <w:rFonts w:hint="eastAsia"/>
          <w:color w:val="auto"/>
          <w:kern w:val="0"/>
          <w:u w:val="none"/>
          <w:lang w:eastAsia="zh-CN"/>
        </w:rPr>
        <w:t>污水处理工艺</w:t>
      </w:r>
      <w:r>
        <w:rPr>
          <w:rFonts w:hint="eastAsia"/>
          <w:color w:val="auto"/>
          <w:kern w:val="0"/>
          <w:u w:val="none"/>
        </w:rPr>
        <w:t>采用“</w:t>
      </w:r>
      <w:r>
        <w:rPr>
          <w:rFonts w:hint="eastAsia"/>
          <w:color w:val="auto"/>
          <w:kern w:val="0"/>
          <w:u w:val="none"/>
          <w:lang w:eastAsia="zh-CN"/>
        </w:rPr>
        <w:t>格栅渠</w:t>
      </w:r>
      <w:r>
        <w:rPr>
          <w:rFonts w:hint="eastAsia"/>
          <w:color w:val="auto"/>
          <w:kern w:val="0"/>
          <w:u w:val="none"/>
        </w:rPr>
        <w:t>→沉砂池→调节池→</w:t>
      </w:r>
      <w:r>
        <w:rPr>
          <w:rFonts w:hint="eastAsia"/>
          <w:color w:val="auto"/>
          <w:kern w:val="0"/>
          <w:u w:val="none"/>
          <w:lang w:val="en-US" w:eastAsia="zh-CN"/>
        </w:rPr>
        <w:t>MBR一体化设备</w:t>
      </w:r>
      <w:r>
        <w:rPr>
          <w:rFonts w:hint="eastAsia"/>
          <w:color w:val="auto"/>
          <w:kern w:val="0"/>
          <w:u w:val="none"/>
        </w:rPr>
        <w:t>→紫外消毒→</w:t>
      </w:r>
      <w:r>
        <w:rPr>
          <w:rFonts w:hint="eastAsia"/>
          <w:color w:val="auto"/>
          <w:kern w:val="0"/>
          <w:u w:val="none"/>
          <w:lang w:eastAsia="zh-CN"/>
        </w:rPr>
        <w:t>清水池</w:t>
      </w:r>
      <w:r>
        <w:rPr>
          <w:rFonts w:hint="eastAsia"/>
          <w:color w:val="auto"/>
          <w:kern w:val="0"/>
          <w:u w:val="none"/>
        </w:rPr>
        <w:t>”工艺；污泥脱水采用</w:t>
      </w:r>
      <w:r>
        <w:rPr>
          <w:rFonts w:hint="eastAsia"/>
          <w:color w:val="auto"/>
          <w:kern w:val="0"/>
          <w:u w:val="none"/>
          <w:lang w:eastAsia="zh-CN"/>
        </w:rPr>
        <w:t>叠螺</w:t>
      </w:r>
      <w:r>
        <w:rPr>
          <w:rFonts w:hint="eastAsia"/>
          <w:color w:val="auto"/>
          <w:kern w:val="0"/>
          <w:u w:val="none"/>
        </w:rPr>
        <w:t>式污泥脱水设备。处理工艺污泥量不多，所产生恶臭气体较少。</w:t>
      </w:r>
    </w:p>
    <w:p>
      <w:pPr>
        <w:ind w:firstLine="480"/>
        <w:rPr>
          <w:rFonts w:hint="eastAsia"/>
          <w:color w:val="auto"/>
          <w:kern w:val="0"/>
          <w:u w:val="none"/>
        </w:rPr>
      </w:pPr>
      <w:r>
        <w:rPr>
          <w:rFonts w:hint="eastAsia"/>
          <w:color w:val="auto"/>
          <w:kern w:val="0"/>
          <w:u w:val="none"/>
        </w:rPr>
        <w:t>（4）废气排放预测与评价</w:t>
      </w:r>
    </w:p>
    <w:p>
      <w:pPr>
        <w:ind w:firstLine="480"/>
        <w:rPr>
          <w:rFonts w:hint="eastAsia"/>
          <w:color w:val="auto"/>
          <w:kern w:val="0"/>
          <w:u w:val="none"/>
        </w:rPr>
      </w:pPr>
      <w:r>
        <w:rPr>
          <w:rFonts w:hint="eastAsia"/>
          <w:color w:val="auto"/>
          <w:kern w:val="0"/>
          <w:u w:val="none"/>
        </w:rPr>
        <w:t>①预测因子</w:t>
      </w:r>
    </w:p>
    <w:p>
      <w:pPr>
        <w:ind w:firstLine="480"/>
        <w:rPr>
          <w:color w:val="auto"/>
          <w:kern w:val="0"/>
          <w:u w:val="none"/>
        </w:rPr>
      </w:pPr>
      <w:r>
        <w:rPr>
          <w:rFonts w:hint="eastAsia"/>
          <w:color w:val="auto"/>
          <w:kern w:val="0"/>
          <w:u w:val="none"/>
        </w:rPr>
        <w:t>本项目选取NH</w:t>
      </w:r>
      <w:r>
        <w:rPr>
          <w:rFonts w:hint="eastAsia"/>
          <w:color w:val="auto"/>
          <w:kern w:val="0"/>
          <w:u w:val="none"/>
          <w:vertAlign w:val="subscript"/>
        </w:rPr>
        <w:t>3</w:t>
      </w:r>
      <w:r>
        <w:rPr>
          <w:rFonts w:hint="eastAsia"/>
          <w:color w:val="auto"/>
          <w:kern w:val="0"/>
          <w:u w:val="none"/>
        </w:rPr>
        <w:t>和H</w:t>
      </w:r>
      <w:r>
        <w:rPr>
          <w:rFonts w:hint="eastAsia"/>
          <w:color w:val="auto"/>
          <w:kern w:val="0"/>
          <w:u w:val="none"/>
          <w:vertAlign w:val="subscript"/>
        </w:rPr>
        <w:t>2</w:t>
      </w:r>
      <w:r>
        <w:rPr>
          <w:rFonts w:hint="eastAsia"/>
          <w:color w:val="auto"/>
          <w:kern w:val="0"/>
          <w:u w:val="none"/>
        </w:rPr>
        <w:t>S作为评价因子</w:t>
      </w:r>
    </w:p>
    <w:p>
      <w:pPr>
        <w:ind w:firstLine="480"/>
        <w:rPr>
          <w:rFonts w:hint="eastAsia"/>
          <w:color w:val="auto"/>
          <w:kern w:val="0"/>
          <w:u w:val="none"/>
        </w:rPr>
      </w:pPr>
      <w:r>
        <w:rPr>
          <w:rFonts w:hint="eastAsia"/>
          <w:color w:val="auto"/>
          <w:kern w:val="0"/>
          <w:u w:val="none"/>
        </w:rPr>
        <w:t>②预测范围</w:t>
      </w:r>
    </w:p>
    <w:p>
      <w:pPr>
        <w:ind w:firstLine="480"/>
        <w:rPr>
          <w:rFonts w:hint="eastAsia"/>
          <w:color w:val="auto"/>
          <w:kern w:val="0"/>
          <w:u w:val="none"/>
        </w:rPr>
      </w:pPr>
      <w:r>
        <w:rPr>
          <w:rFonts w:hint="eastAsia"/>
          <w:color w:val="auto"/>
          <w:kern w:val="0"/>
          <w:u w:val="none"/>
        </w:rPr>
        <w:t>预测范围覆盖评价范围，即</w:t>
      </w:r>
      <w:r>
        <w:rPr>
          <w:rFonts w:hint="eastAsia"/>
          <w:color w:val="auto"/>
          <w:kern w:val="0"/>
          <w:szCs w:val="20"/>
          <w:u w:val="none"/>
        </w:rPr>
        <w:t>以项目厂址为中心区域，自厂界外延2500m的矩形区域（包括矩形东西×南北：5</w:t>
      </w:r>
      <w:r>
        <w:rPr>
          <w:color w:val="auto"/>
          <w:kern w:val="0"/>
          <w:szCs w:val="20"/>
          <w:u w:val="none"/>
        </w:rPr>
        <w:t>km</w:t>
      </w:r>
      <w:r>
        <w:rPr>
          <w:rFonts w:hint="eastAsia"/>
          <w:color w:val="auto"/>
          <w:kern w:val="0"/>
          <w:szCs w:val="20"/>
          <w:u w:val="none"/>
        </w:rPr>
        <w:t>×5km的矩形区域）</w:t>
      </w:r>
      <w:r>
        <w:rPr>
          <w:rFonts w:hint="eastAsia"/>
          <w:color w:val="auto"/>
          <w:kern w:val="0"/>
          <w:u w:val="none"/>
        </w:rPr>
        <w:t>。</w:t>
      </w:r>
    </w:p>
    <w:p>
      <w:pPr>
        <w:ind w:firstLine="480"/>
        <w:rPr>
          <w:color w:val="auto"/>
          <w:kern w:val="0"/>
          <w:u w:val="none"/>
        </w:rPr>
      </w:pPr>
      <w:r>
        <w:rPr>
          <w:rFonts w:hint="eastAsia"/>
          <w:color w:val="auto"/>
          <w:kern w:val="0"/>
          <w:u w:val="none"/>
        </w:rPr>
        <w:t>③预测模式</w:t>
      </w:r>
    </w:p>
    <w:p>
      <w:pPr>
        <w:ind w:firstLine="480"/>
        <w:rPr>
          <w:rFonts w:hint="eastAsia"/>
          <w:color w:val="auto"/>
          <w:kern w:val="0"/>
          <w:u w:val="none"/>
        </w:rPr>
      </w:pPr>
      <w:r>
        <w:rPr>
          <w:rFonts w:hint="eastAsia"/>
          <w:color w:val="auto"/>
          <w:kern w:val="0"/>
          <w:u w:val="none"/>
        </w:rPr>
        <w:t>根据《环境影响评价技术导则-大气环境》（HJ2.2-20</w:t>
      </w:r>
      <w:r>
        <w:rPr>
          <w:color w:val="auto"/>
          <w:kern w:val="0"/>
          <w:u w:val="none"/>
        </w:rPr>
        <w:t>1</w:t>
      </w:r>
      <w:r>
        <w:rPr>
          <w:rFonts w:hint="eastAsia"/>
          <w:color w:val="auto"/>
          <w:kern w:val="0"/>
          <w:u w:val="none"/>
        </w:rPr>
        <w:t>8）规定，预测模式采用</w:t>
      </w:r>
      <w:r>
        <w:rPr>
          <w:color w:val="auto"/>
          <w:kern w:val="0"/>
          <w:u w:val="none"/>
        </w:rPr>
        <w:t>AERSCREEN</w:t>
      </w:r>
      <w:r>
        <w:rPr>
          <w:rFonts w:hint="eastAsia"/>
          <w:color w:val="auto"/>
          <w:kern w:val="0"/>
          <w:u w:val="none"/>
        </w:rPr>
        <w:t>估算模式进行预测。</w:t>
      </w:r>
    </w:p>
    <w:p>
      <w:pPr>
        <w:ind w:firstLine="480"/>
        <w:rPr>
          <w:color w:val="auto"/>
          <w:kern w:val="0"/>
          <w:u w:val="none"/>
        </w:rPr>
      </w:pPr>
      <w:r>
        <w:rPr>
          <w:rFonts w:hint="eastAsia"/>
          <w:color w:val="auto"/>
          <w:kern w:val="0"/>
          <w:u w:val="none"/>
        </w:rPr>
        <w:t>④源强预测</w:t>
      </w:r>
    </w:p>
    <w:p>
      <w:pPr>
        <w:widowControl w:val="0"/>
        <w:ind w:firstLine="480"/>
        <w:jc w:val="both"/>
        <w:rPr>
          <w:color w:val="auto"/>
          <w:szCs w:val="21"/>
          <w:u w:val="none"/>
        </w:rPr>
      </w:pPr>
      <w:r>
        <w:rPr>
          <w:color w:val="auto"/>
          <w:szCs w:val="21"/>
          <w:u w:val="none"/>
        </w:rPr>
        <w:t>主要点源源强排放参数见表4.2-</w:t>
      </w:r>
      <w:r>
        <w:rPr>
          <w:rFonts w:hint="eastAsia"/>
          <w:color w:val="auto"/>
          <w:szCs w:val="21"/>
          <w:u w:val="none"/>
          <w:lang w:val="en-US" w:eastAsia="zh-CN"/>
        </w:rPr>
        <w:t>2</w:t>
      </w:r>
      <w:r>
        <w:rPr>
          <w:color w:val="auto"/>
          <w:szCs w:val="21"/>
          <w:u w:val="none"/>
        </w:rPr>
        <w:t>，源强排放参数见表4.2-</w:t>
      </w:r>
      <w:r>
        <w:rPr>
          <w:rFonts w:hint="eastAsia"/>
          <w:color w:val="auto"/>
          <w:szCs w:val="21"/>
          <w:u w:val="none"/>
          <w:lang w:val="en-US" w:eastAsia="zh-CN"/>
        </w:rPr>
        <w:t>3</w:t>
      </w:r>
      <w:r>
        <w:rPr>
          <w:rFonts w:hint="eastAsia"/>
          <w:color w:val="auto"/>
          <w:szCs w:val="21"/>
          <w:u w:val="none"/>
        </w:rPr>
        <w:t>、</w:t>
      </w:r>
      <w:r>
        <w:rPr>
          <w:color w:val="auto"/>
          <w:szCs w:val="21"/>
          <w:u w:val="none"/>
        </w:rPr>
        <w:t>4.2-</w:t>
      </w:r>
      <w:r>
        <w:rPr>
          <w:rFonts w:hint="eastAsia"/>
          <w:color w:val="auto"/>
          <w:szCs w:val="21"/>
          <w:u w:val="none"/>
          <w:lang w:val="en-US" w:eastAsia="zh-CN"/>
        </w:rPr>
        <w:t>4</w:t>
      </w:r>
      <w:r>
        <w:rPr>
          <w:color w:val="auto"/>
          <w:szCs w:val="21"/>
          <w:u w:val="none"/>
        </w:rPr>
        <w:t>。</w:t>
      </w:r>
    </w:p>
    <w:p>
      <w:pPr>
        <w:pStyle w:val="103"/>
        <w:rPr>
          <w:color w:val="auto"/>
          <w:u w:val="none"/>
        </w:rPr>
      </w:pPr>
      <w:r>
        <w:rPr>
          <w:color w:val="auto"/>
          <w:u w:val="none"/>
        </w:rPr>
        <w:t>表4.2-</w:t>
      </w:r>
      <w:r>
        <w:rPr>
          <w:rFonts w:hint="eastAsia"/>
          <w:color w:val="auto"/>
          <w:u w:val="none"/>
          <w:lang w:val="en-US" w:eastAsia="zh-CN"/>
        </w:rPr>
        <w:t>2</w:t>
      </w:r>
      <w:r>
        <w:rPr>
          <w:color w:val="auto"/>
          <w:u w:val="none"/>
        </w:rPr>
        <w:t xml:space="preserve"> </w:t>
      </w:r>
      <w:r>
        <w:rPr>
          <w:rFonts w:hint="eastAsia"/>
          <w:color w:val="auto"/>
          <w:u w:val="none"/>
        </w:rPr>
        <w:t>估算模型参数表</w:t>
      </w: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179"/>
        <w:gridCol w:w="3549"/>
        <w:gridCol w:w="279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3360" w:type="pct"/>
            <w:gridSpan w:val="2"/>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参数</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取值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8" w:type="pct"/>
            <w:vMerge w:val="restar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城市农村</w:t>
            </w:r>
            <w:r>
              <w:rPr>
                <w:color w:val="auto"/>
                <w:sz w:val="21"/>
                <w:szCs w:val="22"/>
                <w:u w:val="none"/>
              </w:rPr>
              <w:t>/</w:t>
            </w:r>
            <w:r>
              <w:rPr>
                <w:rFonts w:hint="eastAsia"/>
                <w:color w:val="auto"/>
                <w:sz w:val="21"/>
                <w:szCs w:val="22"/>
                <w:u w:val="none"/>
              </w:rPr>
              <w:t>选项</w:t>
            </w: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城市</w:t>
            </w:r>
            <w:r>
              <w:rPr>
                <w:color w:val="auto"/>
                <w:sz w:val="21"/>
                <w:szCs w:val="22"/>
                <w:u w:val="none"/>
              </w:rPr>
              <w:t>/</w:t>
            </w:r>
            <w:r>
              <w:rPr>
                <w:rFonts w:hint="eastAsia"/>
                <w:color w:val="auto"/>
                <w:sz w:val="21"/>
                <w:szCs w:val="22"/>
                <w:u w:val="none"/>
              </w:rPr>
              <w:t>农村</w:t>
            </w:r>
          </w:p>
        </w:tc>
        <w:tc>
          <w:tcPr>
            <w:tcW w:w="1639" w:type="pct"/>
            <w:noWrap w:val="0"/>
            <w:vAlign w:val="center"/>
          </w:tcPr>
          <w:p>
            <w:pPr>
              <w:widowControl w:val="0"/>
              <w:spacing w:line="240" w:lineRule="auto"/>
              <w:ind w:firstLine="0" w:firstLineChars="0"/>
              <w:jc w:val="center"/>
              <w:rPr>
                <w:rFonts w:hint="eastAsia" w:eastAsia="宋体"/>
                <w:color w:val="auto"/>
                <w:sz w:val="21"/>
                <w:szCs w:val="22"/>
                <w:u w:val="none"/>
                <w:lang w:eastAsia="zh-CN"/>
              </w:rPr>
            </w:pPr>
            <w:r>
              <w:rPr>
                <w:rFonts w:hint="eastAsia"/>
                <w:color w:val="auto"/>
                <w:sz w:val="21"/>
                <w:szCs w:val="22"/>
                <w:u w:val="none"/>
                <w:lang w:eastAsia="zh-CN"/>
              </w:rPr>
              <w:t>城市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8" w:type="pct"/>
            <w:vMerge w:val="continue"/>
            <w:noWrap w:val="0"/>
            <w:vAlign w:val="center"/>
          </w:tcPr>
          <w:p>
            <w:pPr>
              <w:widowControl w:val="0"/>
              <w:spacing w:line="240" w:lineRule="auto"/>
              <w:ind w:firstLine="0" w:firstLineChars="0"/>
              <w:jc w:val="both"/>
              <w:rPr>
                <w:color w:val="auto"/>
                <w:sz w:val="21"/>
                <w:szCs w:val="22"/>
                <w:u w:val="none"/>
              </w:rPr>
            </w:pP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人口数</w:t>
            </w:r>
            <w:r>
              <w:rPr>
                <w:color w:val="auto"/>
                <w:sz w:val="21"/>
                <w:szCs w:val="22"/>
                <w:u w:val="none"/>
              </w:rPr>
              <w:t>(</w:t>
            </w:r>
            <w:r>
              <w:rPr>
                <w:rFonts w:hint="eastAsia"/>
                <w:color w:val="auto"/>
                <w:sz w:val="21"/>
                <w:szCs w:val="22"/>
                <w:u w:val="none"/>
              </w:rPr>
              <w:t>城市人口数</w:t>
            </w:r>
            <w:r>
              <w:rPr>
                <w:color w:val="auto"/>
                <w:sz w:val="21"/>
                <w:szCs w:val="22"/>
                <w:u w:val="none"/>
              </w:rPr>
              <w:t>)</w:t>
            </w:r>
          </w:p>
        </w:tc>
        <w:tc>
          <w:tcPr>
            <w:tcW w:w="1639" w:type="pct"/>
            <w:noWrap w:val="0"/>
            <w:vAlign w:val="center"/>
          </w:tcPr>
          <w:p>
            <w:pPr>
              <w:widowControl w:val="0"/>
              <w:spacing w:line="240" w:lineRule="auto"/>
              <w:ind w:firstLine="0" w:firstLineChars="0"/>
              <w:jc w:val="center"/>
              <w:rPr>
                <w:rFonts w:hint="default" w:eastAsia="宋体"/>
                <w:color w:val="auto"/>
                <w:sz w:val="21"/>
                <w:szCs w:val="22"/>
                <w:u w:val="none"/>
                <w:lang w:val="en-US" w:eastAsia="zh-CN"/>
              </w:rPr>
            </w:pPr>
            <w:r>
              <w:rPr>
                <w:rFonts w:hint="eastAsia"/>
                <w:color w:val="auto"/>
                <w:sz w:val="21"/>
                <w:szCs w:val="22"/>
                <w:u w:val="none"/>
                <w:lang w:val="en-US" w:eastAsia="zh-CN"/>
              </w:rPr>
              <w:t>60万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3360" w:type="pct"/>
            <w:gridSpan w:val="2"/>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最高环境温度</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lang w:val="en-US" w:eastAsia="zh-CN"/>
              </w:rPr>
              <w:t>38.9</w:t>
            </w:r>
            <w:r>
              <w:rPr>
                <w:color w:val="auto"/>
                <w:sz w:val="21"/>
                <w:szCs w:val="22"/>
                <w:u w:val="none"/>
              </w:rPr>
              <w:t>°C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3360" w:type="pct"/>
            <w:gridSpan w:val="2"/>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最低环境温度</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lang w:val="en-US" w:eastAsia="zh-CN"/>
              </w:rPr>
              <w:t>-3.2</w:t>
            </w:r>
            <w:r>
              <w:rPr>
                <w:color w:val="auto"/>
                <w:sz w:val="21"/>
                <w:szCs w:val="22"/>
                <w:u w:val="none"/>
              </w:rPr>
              <w:t>°C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3360" w:type="pct"/>
            <w:gridSpan w:val="2"/>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土地利用类型</w:t>
            </w:r>
          </w:p>
        </w:tc>
        <w:tc>
          <w:tcPr>
            <w:tcW w:w="1639" w:type="pct"/>
            <w:noWrap w:val="0"/>
            <w:vAlign w:val="center"/>
          </w:tcPr>
          <w:p>
            <w:pPr>
              <w:widowControl w:val="0"/>
              <w:spacing w:line="240" w:lineRule="auto"/>
              <w:ind w:firstLine="0" w:firstLineChars="0"/>
              <w:jc w:val="center"/>
              <w:rPr>
                <w:rFonts w:hint="eastAsia" w:eastAsia="宋体"/>
                <w:color w:val="auto"/>
                <w:sz w:val="21"/>
                <w:szCs w:val="22"/>
                <w:u w:val="none"/>
                <w:lang w:eastAsia="zh-CN"/>
              </w:rPr>
            </w:pPr>
            <w:r>
              <w:rPr>
                <w:rFonts w:hint="eastAsia"/>
                <w:color w:val="auto"/>
                <w:sz w:val="21"/>
                <w:szCs w:val="22"/>
                <w:u w:val="none"/>
                <w:lang w:eastAsia="zh-CN"/>
              </w:rPr>
              <w:t>落叶林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3360" w:type="pct"/>
            <w:gridSpan w:val="2"/>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区域湿度条件</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潮湿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8" w:type="pct"/>
            <w:vMerge w:val="restar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是否考虑地形</w:t>
            </w: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考虑地形</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8" w:type="pct"/>
            <w:vMerge w:val="continue"/>
            <w:noWrap w:val="0"/>
            <w:vAlign w:val="center"/>
          </w:tcPr>
          <w:p>
            <w:pPr>
              <w:widowControl w:val="0"/>
              <w:spacing w:line="240" w:lineRule="auto"/>
              <w:ind w:firstLine="0" w:firstLineChars="0"/>
              <w:jc w:val="both"/>
              <w:rPr>
                <w:color w:val="auto"/>
                <w:sz w:val="21"/>
                <w:szCs w:val="22"/>
                <w:u w:val="none"/>
              </w:rPr>
            </w:pP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地形数据分辨率</w:t>
            </w:r>
            <w:r>
              <w:rPr>
                <w:color w:val="auto"/>
                <w:sz w:val="21"/>
                <w:szCs w:val="22"/>
                <w:u w:val="none"/>
              </w:rPr>
              <w:t>(m)</w:t>
            </w:r>
          </w:p>
        </w:tc>
        <w:tc>
          <w:tcPr>
            <w:tcW w:w="1639" w:type="pct"/>
            <w:noWrap w:val="0"/>
            <w:vAlign w:val="center"/>
          </w:tcPr>
          <w:p>
            <w:pPr>
              <w:widowControl w:val="0"/>
              <w:spacing w:line="240" w:lineRule="auto"/>
              <w:ind w:firstLine="0" w:firstLineChars="0"/>
              <w:jc w:val="center"/>
              <w:rPr>
                <w:color w:val="auto"/>
                <w:sz w:val="21"/>
                <w:szCs w:val="22"/>
                <w:u w:val="none"/>
              </w:rPr>
            </w:pPr>
            <w:r>
              <w:rPr>
                <w:color w:val="auto"/>
                <w:sz w:val="21"/>
                <w:szCs w:val="22"/>
                <w:u w:val="none"/>
              </w:rPr>
              <w:t>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8" w:type="pct"/>
            <w:vMerge w:val="restar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是否考虑海岸线熏烟</w:t>
            </w: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考虑海岸线熏烟</w:t>
            </w:r>
          </w:p>
        </w:tc>
        <w:tc>
          <w:tcPr>
            <w:tcW w:w="1639"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8" w:type="pct"/>
            <w:vMerge w:val="continue"/>
            <w:noWrap w:val="0"/>
            <w:vAlign w:val="center"/>
          </w:tcPr>
          <w:p>
            <w:pPr>
              <w:widowControl w:val="0"/>
              <w:spacing w:line="240" w:lineRule="auto"/>
              <w:ind w:firstLine="0" w:firstLineChars="0"/>
              <w:jc w:val="both"/>
              <w:rPr>
                <w:color w:val="auto"/>
                <w:sz w:val="21"/>
                <w:szCs w:val="22"/>
                <w:u w:val="none"/>
              </w:rPr>
            </w:pP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海岸线距离</w:t>
            </w:r>
            <w:r>
              <w:rPr>
                <w:color w:val="auto"/>
                <w:sz w:val="21"/>
                <w:szCs w:val="22"/>
                <w:u w:val="none"/>
              </w:rPr>
              <w:t>/m</w:t>
            </w:r>
          </w:p>
        </w:tc>
        <w:tc>
          <w:tcPr>
            <w:tcW w:w="1639" w:type="pct"/>
            <w:noWrap w:val="0"/>
            <w:vAlign w:val="center"/>
          </w:tcPr>
          <w:p>
            <w:pPr>
              <w:widowControl w:val="0"/>
              <w:spacing w:line="240" w:lineRule="auto"/>
              <w:ind w:firstLine="0" w:firstLineChars="0"/>
              <w:jc w:val="center"/>
              <w:rPr>
                <w:color w:val="auto"/>
                <w:sz w:val="21"/>
                <w:szCs w:val="22"/>
                <w:u w:val="none"/>
              </w:rPr>
            </w:pPr>
            <w:r>
              <w:rPr>
                <w:color w:val="auto"/>
                <w:sz w:val="21"/>
                <w:szCs w:val="22"/>
                <w:u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 w:hRule="atLeast"/>
          <w:jc w:val="center"/>
        </w:trPr>
        <w:tc>
          <w:tcPr>
            <w:tcW w:w="1278" w:type="pct"/>
            <w:vMerge w:val="continue"/>
            <w:noWrap w:val="0"/>
            <w:vAlign w:val="center"/>
          </w:tcPr>
          <w:p>
            <w:pPr>
              <w:widowControl w:val="0"/>
              <w:spacing w:line="240" w:lineRule="auto"/>
              <w:ind w:firstLine="0" w:firstLineChars="0"/>
              <w:jc w:val="both"/>
              <w:rPr>
                <w:color w:val="auto"/>
                <w:sz w:val="21"/>
                <w:szCs w:val="22"/>
                <w:u w:val="none"/>
              </w:rPr>
            </w:pPr>
          </w:p>
        </w:tc>
        <w:tc>
          <w:tcPr>
            <w:tcW w:w="2082" w:type="pct"/>
            <w:noWrap w:val="0"/>
            <w:vAlign w:val="center"/>
          </w:tcPr>
          <w:p>
            <w:pPr>
              <w:widowControl w:val="0"/>
              <w:spacing w:line="240" w:lineRule="auto"/>
              <w:ind w:firstLine="0" w:firstLineChars="0"/>
              <w:jc w:val="center"/>
              <w:rPr>
                <w:color w:val="auto"/>
                <w:sz w:val="21"/>
                <w:szCs w:val="22"/>
                <w:u w:val="none"/>
              </w:rPr>
            </w:pPr>
            <w:r>
              <w:rPr>
                <w:rFonts w:hint="eastAsia"/>
                <w:color w:val="auto"/>
                <w:sz w:val="21"/>
                <w:szCs w:val="22"/>
                <w:u w:val="none"/>
              </w:rPr>
              <w:t>海岸线方向</w:t>
            </w:r>
            <w:r>
              <w:rPr>
                <w:color w:val="auto"/>
                <w:sz w:val="21"/>
                <w:szCs w:val="22"/>
                <w:u w:val="none"/>
              </w:rPr>
              <w:t>/</w:t>
            </w:r>
            <w:r>
              <w:rPr>
                <w:color w:val="auto"/>
                <w:sz w:val="21"/>
                <w:szCs w:val="22"/>
                <w:u w:val="none"/>
                <w:vertAlign w:val="superscript"/>
              </w:rPr>
              <w:t>o</w:t>
            </w:r>
          </w:p>
        </w:tc>
        <w:tc>
          <w:tcPr>
            <w:tcW w:w="1639" w:type="pct"/>
            <w:noWrap w:val="0"/>
            <w:vAlign w:val="center"/>
          </w:tcPr>
          <w:p>
            <w:pPr>
              <w:widowControl w:val="0"/>
              <w:spacing w:line="240" w:lineRule="auto"/>
              <w:ind w:firstLine="0" w:firstLineChars="0"/>
              <w:jc w:val="center"/>
              <w:rPr>
                <w:color w:val="auto"/>
                <w:sz w:val="21"/>
                <w:szCs w:val="22"/>
                <w:u w:val="none"/>
              </w:rPr>
            </w:pPr>
            <w:r>
              <w:rPr>
                <w:color w:val="auto"/>
                <w:sz w:val="21"/>
                <w:szCs w:val="22"/>
                <w:u w:val="none"/>
              </w:rPr>
              <w:t>/</w:t>
            </w:r>
          </w:p>
        </w:tc>
      </w:tr>
    </w:tbl>
    <w:p>
      <w:pPr>
        <w:pStyle w:val="103"/>
        <w:rPr>
          <w:rFonts w:hint="eastAsia"/>
          <w:color w:val="auto"/>
          <w:u w:val="single"/>
        </w:rPr>
      </w:pPr>
      <w:r>
        <w:rPr>
          <w:color w:val="auto"/>
          <w:u w:val="single"/>
        </w:rPr>
        <w:t>表4.2-</w:t>
      </w:r>
      <w:r>
        <w:rPr>
          <w:rFonts w:hint="eastAsia"/>
          <w:color w:val="auto"/>
          <w:u w:val="single"/>
          <w:lang w:val="en-US" w:eastAsia="zh-CN"/>
        </w:rPr>
        <w:t>3</w:t>
      </w:r>
      <w:r>
        <w:rPr>
          <w:color w:val="auto"/>
          <w:u w:val="single"/>
        </w:rPr>
        <w:t xml:space="preserve"> </w:t>
      </w:r>
      <w:r>
        <w:rPr>
          <w:rFonts w:hint="eastAsia"/>
          <w:color w:val="auto"/>
          <w:u w:val="single"/>
        </w:rPr>
        <w:t>主要点源污染源参数</w:t>
      </w:r>
    </w:p>
    <w:tbl>
      <w:tblPr>
        <w:tblStyle w:val="36"/>
        <w:tblW w:w="5098" w:type="pct"/>
        <w:tblInd w:w="-16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28" w:type="dxa"/>
          <w:bottom w:w="0" w:type="dxa"/>
          <w:right w:w="28" w:type="dxa"/>
        </w:tblCellMar>
      </w:tblPr>
      <w:tblGrid>
        <w:gridCol w:w="972"/>
        <w:gridCol w:w="529"/>
        <w:gridCol w:w="653"/>
        <w:gridCol w:w="993"/>
        <w:gridCol w:w="536"/>
        <w:gridCol w:w="459"/>
        <w:gridCol w:w="601"/>
        <w:gridCol w:w="942"/>
        <w:gridCol w:w="650"/>
        <w:gridCol w:w="705"/>
        <w:gridCol w:w="988"/>
        <w:gridCol w:w="4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77" w:hRule="atLeast"/>
        </w:trPr>
        <w:tc>
          <w:tcPr>
            <w:tcW w:w="570"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污染源名称</w:t>
            </w:r>
          </w:p>
        </w:tc>
        <w:tc>
          <w:tcPr>
            <w:tcW w:w="693" w:type="pct"/>
            <w:gridSpan w:val="2"/>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排气筒底部中心坐标</w:t>
            </w:r>
          </w:p>
        </w:tc>
        <w:tc>
          <w:tcPr>
            <w:tcW w:w="582"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排气筒底部海拔高度(m)</w:t>
            </w:r>
          </w:p>
        </w:tc>
        <w:tc>
          <w:tcPr>
            <w:tcW w:w="935" w:type="pct"/>
            <w:gridSpan w:val="3"/>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排气筒参数</w:t>
            </w:r>
          </w:p>
        </w:tc>
        <w:tc>
          <w:tcPr>
            <w:tcW w:w="552"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污染物名称</w:t>
            </w:r>
          </w:p>
        </w:tc>
        <w:tc>
          <w:tcPr>
            <w:tcW w:w="381"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年排放小时数/h</w:t>
            </w:r>
          </w:p>
        </w:tc>
        <w:tc>
          <w:tcPr>
            <w:tcW w:w="413"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排放工况</w:t>
            </w:r>
          </w:p>
        </w:tc>
        <w:tc>
          <w:tcPr>
            <w:tcW w:w="579" w:type="pct"/>
            <w:vMerge w:val="restart"/>
            <w:noWrap w:val="0"/>
            <w:vAlign w:val="center"/>
          </w:tcPr>
          <w:p>
            <w:pPr>
              <w:pStyle w:val="73"/>
              <w:rPr>
                <w:rFonts w:hint="eastAsia" w:ascii="Times New Roman" w:hAnsi="Times New Roman" w:eastAsia="宋体" w:cs="Times New Roman"/>
                <w:color w:val="auto"/>
                <w:u w:val="single"/>
                <w:lang w:eastAsia="zh-CN"/>
              </w:rPr>
            </w:pPr>
            <w:r>
              <w:rPr>
                <w:rFonts w:hint="default" w:ascii="Times New Roman" w:hAnsi="Times New Roman" w:cs="Times New Roman"/>
                <w:color w:val="auto"/>
                <w:u w:val="single"/>
              </w:rPr>
              <w:t>排放</w:t>
            </w:r>
            <w:r>
              <w:rPr>
                <w:rFonts w:hint="eastAsia" w:ascii="Times New Roman" w:cs="Times New Roman"/>
                <w:color w:val="auto"/>
                <w:u w:val="single"/>
                <w:lang w:eastAsia="zh-CN"/>
              </w:rPr>
              <w:t>量</w:t>
            </w:r>
          </w:p>
        </w:tc>
        <w:tc>
          <w:tcPr>
            <w:tcW w:w="292"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单位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27" w:hRule="atLeast"/>
        </w:trPr>
        <w:tc>
          <w:tcPr>
            <w:tcW w:w="570" w:type="pct"/>
            <w:vMerge w:val="continue"/>
            <w:noWrap w:val="0"/>
            <w:vAlign w:val="center"/>
          </w:tcPr>
          <w:p>
            <w:pPr>
              <w:pStyle w:val="73"/>
              <w:rPr>
                <w:rFonts w:hint="default" w:ascii="Times New Roman" w:hAnsi="Times New Roman" w:cs="Times New Roman"/>
                <w:color w:val="auto"/>
                <w:u w:val="single"/>
              </w:rPr>
            </w:pPr>
          </w:p>
        </w:tc>
        <w:tc>
          <w:tcPr>
            <w:tcW w:w="310"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X</w:t>
            </w:r>
          </w:p>
        </w:tc>
        <w:tc>
          <w:tcPr>
            <w:tcW w:w="382" w:type="pc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Y</w:t>
            </w:r>
          </w:p>
        </w:tc>
        <w:tc>
          <w:tcPr>
            <w:tcW w:w="582" w:type="pct"/>
            <w:vMerge w:val="continue"/>
            <w:noWrap w:val="0"/>
            <w:vAlign w:val="center"/>
          </w:tcPr>
          <w:p>
            <w:pPr>
              <w:pStyle w:val="73"/>
              <w:rPr>
                <w:rFonts w:hint="default" w:ascii="Times New Roman" w:hAnsi="Times New Roman" w:cs="Times New Roman"/>
                <w:color w:val="auto"/>
                <w:u w:val="single"/>
              </w:rPr>
            </w:pPr>
          </w:p>
        </w:tc>
        <w:tc>
          <w:tcPr>
            <w:tcW w:w="314"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高度</w:t>
            </w:r>
          </w:p>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(m)</w:t>
            </w:r>
          </w:p>
        </w:tc>
        <w:tc>
          <w:tcPr>
            <w:tcW w:w="269"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内径</w:t>
            </w:r>
          </w:p>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(m)</w:t>
            </w:r>
          </w:p>
        </w:tc>
        <w:tc>
          <w:tcPr>
            <w:tcW w:w="35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温度</w:t>
            </w:r>
          </w:p>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w:t>
            </w:r>
          </w:p>
        </w:tc>
        <w:tc>
          <w:tcPr>
            <w:tcW w:w="552" w:type="pct"/>
            <w:vMerge w:val="continue"/>
            <w:noWrap w:val="0"/>
            <w:vAlign w:val="center"/>
          </w:tcPr>
          <w:p>
            <w:pPr>
              <w:pStyle w:val="73"/>
              <w:rPr>
                <w:rFonts w:hint="default" w:ascii="Times New Roman" w:hAnsi="Times New Roman" w:cs="Times New Roman"/>
                <w:color w:val="auto"/>
                <w:u w:val="single"/>
              </w:rPr>
            </w:pPr>
          </w:p>
        </w:tc>
        <w:tc>
          <w:tcPr>
            <w:tcW w:w="381" w:type="pct"/>
            <w:vMerge w:val="continue"/>
            <w:noWrap w:val="0"/>
            <w:vAlign w:val="center"/>
          </w:tcPr>
          <w:p>
            <w:pPr>
              <w:pStyle w:val="73"/>
              <w:rPr>
                <w:rFonts w:hint="default" w:ascii="Times New Roman" w:hAnsi="Times New Roman" w:cs="Times New Roman"/>
                <w:color w:val="auto"/>
                <w:u w:val="single"/>
              </w:rPr>
            </w:pPr>
          </w:p>
        </w:tc>
        <w:tc>
          <w:tcPr>
            <w:tcW w:w="413" w:type="pct"/>
            <w:vMerge w:val="continue"/>
            <w:noWrap w:val="0"/>
            <w:vAlign w:val="center"/>
          </w:tcPr>
          <w:p>
            <w:pPr>
              <w:pStyle w:val="73"/>
              <w:rPr>
                <w:rFonts w:hint="default" w:ascii="Times New Roman" w:hAnsi="Times New Roman" w:cs="Times New Roman"/>
                <w:color w:val="auto"/>
                <w:u w:val="single"/>
              </w:rPr>
            </w:pPr>
          </w:p>
        </w:tc>
        <w:tc>
          <w:tcPr>
            <w:tcW w:w="579" w:type="pct"/>
            <w:vMerge w:val="continue"/>
            <w:noWrap w:val="0"/>
            <w:vAlign w:val="center"/>
          </w:tcPr>
          <w:p>
            <w:pPr>
              <w:pStyle w:val="73"/>
              <w:rPr>
                <w:rFonts w:hint="default" w:ascii="Times New Roman" w:hAnsi="Times New Roman" w:cs="Times New Roman"/>
                <w:color w:val="auto"/>
                <w:u w:val="single"/>
              </w:rPr>
            </w:pPr>
          </w:p>
        </w:tc>
        <w:tc>
          <w:tcPr>
            <w:tcW w:w="292" w:type="pct"/>
            <w:vMerge w:val="continue"/>
            <w:noWrap w:val="0"/>
            <w:vAlign w:val="center"/>
          </w:tcPr>
          <w:p>
            <w:pPr>
              <w:pStyle w:val="73"/>
              <w:rPr>
                <w:rFonts w:hint="default" w:ascii="Times New Roman" w:hAnsi="Times New Roman" w:cs="Times New Roman"/>
                <w:color w:val="auto"/>
                <w:u w:val="singl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78" w:hRule="atLeast"/>
        </w:trPr>
        <w:tc>
          <w:tcPr>
            <w:tcW w:w="570" w:type="pct"/>
            <w:vMerge w:val="restart"/>
            <w:noWrap w:val="0"/>
            <w:vAlign w:val="center"/>
          </w:tcPr>
          <w:p>
            <w:pPr>
              <w:pStyle w:val="73"/>
              <w:rPr>
                <w:rFonts w:hint="default" w:ascii="Times New Roman" w:hAnsi="Times New Roman" w:cs="Times New Roman"/>
                <w:color w:val="auto"/>
                <w:u w:val="single"/>
              </w:rPr>
            </w:pPr>
            <w:r>
              <w:rPr>
                <w:rFonts w:hint="eastAsia" w:ascii="Times New Roman" w:cs="Times New Roman"/>
                <w:color w:val="auto"/>
                <w:u w:val="single"/>
                <w:lang w:val="en-US" w:eastAsia="zh-CN"/>
              </w:rPr>
              <w:t>DA001</w:t>
            </w:r>
            <w:r>
              <w:rPr>
                <w:rFonts w:hint="default" w:ascii="Times New Roman" w:hAnsi="Times New Roman" w:cs="Times New Roman"/>
                <w:color w:val="auto"/>
                <w:u w:val="single"/>
              </w:rPr>
              <w:t>排</w:t>
            </w:r>
          </w:p>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气筒</w:t>
            </w:r>
          </w:p>
        </w:tc>
        <w:tc>
          <w:tcPr>
            <w:tcW w:w="310" w:type="pct"/>
            <w:vMerge w:val="restar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w:t>
            </w:r>
          </w:p>
        </w:tc>
        <w:tc>
          <w:tcPr>
            <w:tcW w:w="382" w:type="pct"/>
            <w:vMerge w:val="restar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w:t>
            </w:r>
          </w:p>
        </w:tc>
        <w:tc>
          <w:tcPr>
            <w:tcW w:w="582" w:type="pct"/>
            <w:vMerge w:val="restar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292</w:t>
            </w:r>
          </w:p>
        </w:tc>
        <w:tc>
          <w:tcPr>
            <w:tcW w:w="314"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15</w:t>
            </w:r>
          </w:p>
        </w:tc>
        <w:tc>
          <w:tcPr>
            <w:tcW w:w="269" w:type="pct"/>
            <w:vMerge w:val="restart"/>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0.5</w:t>
            </w:r>
          </w:p>
        </w:tc>
        <w:tc>
          <w:tcPr>
            <w:tcW w:w="352"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20</w:t>
            </w:r>
          </w:p>
        </w:tc>
        <w:tc>
          <w:tcPr>
            <w:tcW w:w="552" w:type="pct"/>
            <w:noWrap w:val="0"/>
            <w:vAlign w:val="center"/>
          </w:tcPr>
          <w:p>
            <w:pPr>
              <w:pStyle w:val="73"/>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381"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8760</w:t>
            </w:r>
          </w:p>
        </w:tc>
        <w:tc>
          <w:tcPr>
            <w:tcW w:w="413"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正常</w:t>
            </w:r>
          </w:p>
        </w:tc>
        <w:tc>
          <w:tcPr>
            <w:tcW w:w="579"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0.029532</w:t>
            </w:r>
          </w:p>
        </w:tc>
        <w:tc>
          <w:tcPr>
            <w:tcW w:w="29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kern w:val="0"/>
                <w:sz w:val="21"/>
                <w:szCs w:val="21"/>
                <w:u w:val="singl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48" w:hRule="atLeast"/>
        </w:trPr>
        <w:tc>
          <w:tcPr>
            <w:tcW w:w="570" w:type="pct"/>
            <w:vMerge w:val="continue"/>
            <w:noWrap w:val="0"/>
            <w:vAlign w:val="center"/>
          </w:tcPr>
          <w:p>
            <w:pPr>
              <w:pStyle w:val="73"/>
              <w:rPr>
                <w:rFonts w:hint="default" w:ascii="Times New Roman" w:hAnsi="Times New Roman" w:cs="Times New Roman"/>
                <w:color w:val="auto"/>
                <w:u w:val="single"/>
              </w:rPr>
            </w:pPr>
          </w:p>
        </w:tc>
        <w:tc>
          <w:tcPr>
            <w:tcW w:w="310" w:type="pct"/>
            <w:vMerge w:val="continue"/>
            <w:noWrap w:val="0"/>
            <w:vAlign w:val="center"/>
          </w:tcPr>
          <w:p>
            <w:pPr>
              <w:pStyle w:val="73"/>
              <w:rPr>
                <w:rFonts w:hint="default" w:ascii="Times New Roman" w:hAnsi="Times New Roman" w:cs="Times New Roman"/>
                <w:color w:val="auto"/>
                <w:u w:val="single"/>
              </w:rPr>
            </w:pPr>
          </w:p>
        </w:tc>
        <w:tc>
          <w:tcPr>
            <w:tcW w:w="382" w:type="pct"/>
            <w:vMerge w:val="continue"/>
            <w:noWrap w:val="0"/>
            <w:vAlign w:val="center"/>
          </w:tcPr>
          <w:p>
            <w:pPr>
              <w:pStyle w:val="73"/>
              <w:rPr>
                <w:rFonts w:hint="default" w:ascii="Times New Roman" w:hAnsi="Times New Roman" w:cs="Times New Roman"/>
                <w:color w:val="auto"/>
                <w:u w:val="single"/>
              </w:rPr>
            </w:pPr>
          </w:p>
        </w:tc>
        <w:tc>
          <w:tcPr>
            <w:tcW w:w="582" w:type="pct"/>
            <w:vMerge w:val="continue"/>
            <w:noWrap w:val="0"/>
            <w:vAlign w:val="center"/>
          </w:tcPr>
          <w:p>
            <w:pPr>
              <w:pStyle w:val="73"/>
              <w:rPr>
                <w:rFonts w:hint="default" w:ascii="Times New Roman" w:hAnsi="Times New Roman" w:cs="Times New Roman"/>
                <w:color w:val="auto"/>
                <w:u w:val="single"/>
              </w:rPr>
            </w:pPr>
          </w:p>
        </w:tc>
        <w:tc>
          <w:tcPr>
            <w:tcW w:w="314" w:type="pct"/>
            <w:vMerge w:val="continue"/>
            <w:noWrap w:val="0"/>
            <w:vAlign w:val="center"/>
          </w:tcPr>
          <w:p>
            <w:pPr>
              <w:pStyle w:val="73"/>
              <w:rPr>
                <w:rFonts w:hint="default" w:ascii="Times New Roman" w:hAnsi="Times New Roman" w:cs="Times New Roman"/>
                <w:color w:val="auto"/>
                <w:u w:val="single"/>
              </w:rPr>
            </w:pPr>
          </w:p>
        </w:tc>
        <w:tc>
          <w:tcPr>
            <w:tcW w:w="269" w:type="pct"/>
            <w:vMerge w:val="continue"/>
            <w:noWrap w:val="0"/>
            <w:vAlign w:val="center"/>
          </w:tcPr>
          <w:p>
            <w:pPr>
              <w:pStyle w:val="73"/>
              <w:rPr>
                <w:rFonts w:hint="default" w:ascii="Times New Roman" w:hAnsi="Times New Roman" w:cs="Times New Roman"/>
                <w:color w:val="auto"/>
                <w:u w:val="single"/>
              </w:rPr>
            </w:pPr>
          </w:p>
        </w:tc>
        <w:tc>
          <w:tcPr>
            <w:tcW w:w="352" w:type="pct"/>
            <w:vMerge w:val="continue"/>
            <w:noWrap w:val="0"/>
            <w:vAlign w:val="center"/>
          </w:tcPr>
          <w:p>
            <w:pPr>
              <w:pStyle w:val="73"/>
              <w:rPr>
                <w:rFonts w:hint="default" w:ascii="Times New Roman" w:hAnsi="Times New Roman" w:cs="Times New Roman"/>
                <w:color w:val="auto"/>
                <w:u w:val="single"/>
              </w:rPr>
            </w:pPr>
          </w:p>
        </w:tc>
        <w:tc>
          <w:tcPr>
            <w:tcW w:w="55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381"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8760</w:t>
            </w:r>
          </w:p>
        </w:tc>
        <w:tc>
          <w:tcPr>
            <w:tcW w:w="413" w:type="pct"/>
            <w:vMerge w:val="continue"/>
            <w:noWrap w:val="0"/>
            <w:vAlign w:val="center"/>
          </w:tcPr>
          <w:p>
            <w:pPr>
              <w:pStyle w:val="73"/>
              <w:rPr>
                <w:rFonts w:hint="default" w:ascii="Times New Roman" w:hAnsi="Times New Roman" w:cs="Times New Roman"/>
                <w:color w:val="auto"/>
                <w:u w:val="single"/>
              </w:rPr>
            </w:pPr>
          </w:p>
        </w:tc>
        <w:tc>
          <w:tcPr>
            <w:tcW w:w="579" w:type="pct"/>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0.001143</w:t>
            </w:r>
          </w:p>
        </w:tc>
        <w:tc>
          <w:tcPr>
            <w:tcW w:w="29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kern w:val="0"/>
                <w:sz w:val="21"/>
                <w:szCs w:val="21"/>
                <w:u w:val="singl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48" w:hRule="atLeast"/>
        </w:trPr>
        <w:tc>
          <w:tcPr>
            <w:tcW w:w="570" w:type="pct"/>
            <w:vMerge w:val="continue"/>
            <w:noWrap w:val="0"/>
            <w:vAlign w:val="center"/>
          </w:tcPr>
          <w:p>
            <w:pPr>
              <w:pStyle w:val="73"/>
              <w:rPr>
                <w:rFonts w:hint="default" w:ascii="Times New Roman" w:hAnsi="Times New Roman" w:cs="Times New Roman"/>
                <w:color w:val="auto"/>
                <w:u w:val="single"/>
              </w:rPr>
            </w:pPr>
          </w:p>
        </w:tc>
        <w:tc>
          <w:tcPr>
            <w:tcW w:w="310" w:type="pct"/>
            <w:vMerge w:val="continue"/>
            <w:noWrap w:val="0"/>
            <w:vAlign w:val="center"/>
          </w:tcPr>
          <w:p>
            <w:pPr>
              <w:pStyle w:val="73"/>
              <w:rPr>
                <w:rFonts w:hint="default" w:ascii="Times New Roman" w:hAnsi="Times New Roman" w:cs="Times New Roman"/>
                <w:color w:val="auto"/>
                <w:u w:val="single"/>
              </w:rPr>
            </w:pPr>
          </w:p>
        </w:tc>
        <w:tc>
          <w:tcPr>
            <w:tcW w:w="382" w:type="pct"/>
            <w:vMerge w:val="continue"/>
            <w:noWrap w:val="0"/>
            <w:vAlign w:val="center"/>
          </w:tcPr>
          <w:p>
            <w:pPr>
              <w:pStyle w:val="73"/>
              <w:rPr>
                <w:rFonts w:hint="default" w:ascii="Times New Roman" w:hAnsi="Times New Roman" w:cs="Times New Roman"/>
                <w:color w:val="auto"/>
                <w:u w:val="single"/>
              </w:rPr>
            </w:pPr>
          </w:p>
        </w:tc>
        <w:tc>
          <w:tcPr>
            <w:tcW w:w="582" w:type="pct"/>
            <w:vMerge w:val="continue"/>
            <w:noWrap w:val="0"/>
            <w:vAlign w:val="center"/>
          </w:tcPr>
          <w:p>
            <w:pPr>
              <w:pStyle w:val="73"/>
              <w:rPr>
                <w:rFonts w:hint="default" w:ascii="Times New Roman" w:hAnsi="Times New Roman" w:cs="Times New Roman"/>
                <w:color w:val="auto"/>
                <w:u w:val="single"/>
              </w:rPr>
            </w:pPr>
          </w:p>
        </w:tc>
        <w:tc>
          <w:tcPr>
            <w:tcW w:w="314" w:type="pct"/>
            <w:vMerge w:val="continue"/>
            <w:noWrap w:val="0"/>
            <w:vAlign w:val="center"/>
          </w:tcPr>
          <w:p>
            <w:pPr>
              <w:pStyle w:val="73"/>
              <w:rPr>
                <w:rFonts w:hint="default" w:ascii="Times New Roman" w:hAnsi="Times New Roman" w:cs="Times New Roman"/>
                <w:color w:val="auto"/>
                <w:u w:val="single"/>
              </w:rPr>
            </w:pPr>
          </w:p>
        </w:tc>
        <w:tc>
          <w:tcPr>
            <w:tcW w:w="269" w:type="pct"/>
            <w:vMerge w:val="continue"/>
            <w:noWrap w:val="0"/>
            <w:vAlign w:val="center"/>
          </w:tcPr>
          <w:p>
            <w:pPr>
              <w:pStyle w:val="73"/>
              <w:rPr>
                <w:rFonts w:hint="default" w:ascii="Times New Roman" w:hAnsi="Times New Roman" w:cs="Times New Roman"/>
                <w:color w:val="auto"/>
                <w:u w:val="single"/>
              </w:rPr>
            </w:pPr>
          </w:p>
        </w:tc>
        <w:tc>
          <w:tcPr>
            <w:tcW w:w="352" w:type="pct"/>
            <w:vMerge w:val="continue"/>
            <w:noWrap w:val="0"/>
            <w:vAlign w:val="center"/>
          </w:tcPr>
          <w:p>
            <w:pPr>
              <w:pStyle w:val="73"/>
              <w:rPr>
                <w:rFonts w:hint="default" w:ascii="Times New Roman" w:hAnsi="Times New Roman" w:cs="Times New Roman"/>
                <w:color w:val="auto"/>
                <w:u w:val="single"/>
              </w:rPr>
            </w:pPr>
          </w:p>
        </w:tc>
        <w:tc>
          <w:tcPr>
            <w:tcW w:w="552" w:type="pct"/>
            <w:noWrap w:val="0"/>
            <w:vAlign w:val="center"/>
          </w:tcPr>
          <w:p>
            <w:pPr>
              <w:pStyle w:val="73"/>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381"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8760</w:t>
            </w:r>
          </w:p>
        </w:tc>
        <w:tc>
          <w:tcPr>
            <w:tcW w:w="413" w:type="pct"/>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非正常</w:t>
            </w:r>
          </w:p>
        </w:tc>
        <w:tc>
          <w:tcPr>
            <w:tcW w:w="579" w:type="pct"/>
            <w:noWrap w:val="0"/>
            <w:vAlign w:val="center"/>
          </w:tcPr>
          <w:p>
            <w:pPr>
              <w:pStyle w:val="73"/>
              <w:rPr>
                <w:rFonts w:hint="default" w:ascii="Times New Roman" w:hAnsi="Times New Roman" w:cs="Times New Roman"/>
                <w:color w:val="auto"/>
                <w:u w:val="single"/>
                <w:lang w:val="en-US"/>
              </w:rPr>
            </w:pPr>
            <w:r>
              <w:rPr>
                <w:rFonts w:hint="eastAsia" w:ascii="Times New Roman" w:hAnsi="Times New Roman" w:cs="Times New Roman"/>
                <w:color w:val="auto"/>
                <w:u w:val="single"/>
                <w:lang w:val="en-US" w:eastAsia="zh-CN"/>
              </w:rPr>
              <w:t>0.295322</w:t>
            </w:r>
          </w:p>
        </w:tc>
        <w:tc>
          <w:tcPr>
            <w:tcW w:w="29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kern w:val="0"/>
                <w:sz w:val="21"/>
                <w:szCs w:val="21"/>
                <w:u w:val="singl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163" w:hRule="atLeast"/>
        </w:trPr>
        <w:tc>
          <w:tcPr>
            <w:tcW w:w="570" w:type="pct"/>
            <w:vMerge w:val="continue"/>
            <w:noWrap w:val="0"/>
            <w:vAlign w:val="center"/>
          </w:tcPr>
          <w:p>
            <w:pPr>
              <w:pStyle w:val="73"/>
              <w:rPr>
                <w:rFonts w:hint="default" w:ascii="Times New Roman" w:hAnsi="Times New Roman" w:cs="Times New Roman"/>
                <w:color w:val="auto"/>
                <w:u w:val="single"/>
              </w:rPr>
            </w:pPr>
          </w:p>
        </w:tc>
        <w:tc>
          <w:tcPr>
            <w:tcW w:w="310" w:type="pct"/>
            <w:vMerge w:val="continue"/>
            <w:noWrap w:val="0"/>
            <w:vAlign w:val="center"/>
          </w:tcPr>
          <w:p>
            <w:pPr>
              <w:pStyle w:val="73"/>
              <w:rPr>
                <w:rFonts w:hint="default" w:ascii="Times New Roman" w:hAnsi="Times New Roman" w:cs="Times New Roman"/>
                <w:color w:val="auto"/>
                <w:u w:val="single"/>
              </w:rPr>
            </w:pPr>
          </w:p>
        </w:tc>
        <w:tc>
          <w:tcPr>
            <w:tcW w:w="382" w:type="pct"/>
            <w:vMerge w:val="continue"/>
            <w:noWrap w:val="0"/>
            <w:vAlign w:val="center"/>
          </w:tcPr>
          <w:p>
            <w:pPr>
              <w:pStyle w:val="73"/>
              <w:rPr>
                <w:rFonts w:hint="default" w:ascii="Times New Roman" w:hAnsi="Times New Roman" w:cs="Times New Roman"/>
                <w:color w:val="auto"/>
                <w:u w:val="single"/>
              </w:rPr>
            </w:pPr>
          </w:p>
        </w:tc>
        <w:tc>
          <w:tcPr>
            <w:tcW w:w="582" w:type="pct"/>
            <w:vMerge w:val="continue"/>
            <w:noWrap w:val="0"/>
            <w:vAlign w:val="center"/>
          </w:tcPr>
          <w:p>
            <w:pPr>
              <w:pStyle w:val="73"/>
              <w:rPr>
                <w:rFonts w:hint="default" w:ascii="Times New Roman" w:hAnsi="Times New Roman" w:cs="Times New Roman"/>
                <w:color w:val="auto"/>
                <w:u w:val="single"/>
              </w:rPr>
            </w:pPr>
          </w:p>
        </w:tc>
        <w:tc>
          <w:tcPr>
            <w:tcW w:w="314" w:type="pct"/>
            <w:vMerge w:val="continue"/>
            <w:noWrap w:val="0"/>
            <w:vAlign w:val="center"/>
          </w:tcPr>
          <w:p>
            <w:pPr>
              <w:pStyle w:val="73"/>
              <w:rPr>
                <w:rFonts w:hint="default" w:ascii="Times New Roman" w:hAnsi="Times New Roman" w:cs="Times New Roman"/>
                <w:color w:val="auto"/>
                <w:u w:val="single"/>
              </w:rPr>
            </w:pPr>
          </w:p>
        </w:tc>
        <w:tc>
          <w:tcPr>
            <w:tcW w:w="269" w:type="pct"/>
            <w:vMerge w:val="continue"/>
            <w:noWrap w:val="0"/>
            <w:vAlign w:val="center"/>
          </w:tcPr>
          <w:p>
            <w:pPr>
              <w:pStyle w:val="73"/>
              <w:rPr>
                <w:rFonts w:hint="default" w:ascii="Times New Roman" w:hAnsi="Times New Roman" w:cs="Times New Roman"/>
                <w:color w:val="auto"/>
                <w:u w:val="single"/>
              </w:rPr>
            </w:pPr>
          </w:p>
        </w:tc>
        <w:tc>
          <w:tcPr>
            <w:tcW w:w="352" w:type="pct"/>
            <w:vMerge w:val="continue"/>
            <w:noWrap w:val="0"/>
            <w:vAlign w:val="center"/>
          </w:tcPr>
          <w:p>
            <w:pPr>
              <w:pStyle w:val="73"/>
              <w:rPr>
                <w:rFonts w:hint="default" w:ascii="Times New Roman" w:hAnsi="Times New Roman" w:cs="Times New Roman"/>
                <w:color w:val="auto"/>
                <w:u w:val="single"/>
              </w:rPr>
            </w:pPr>
          </w:p>
        </w:tc>
        <w:tc>
          <w:tcPr>
            <w:tcW w:w="55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381"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8760</w:t>
            </w:r>
          </w:p>
        </w:tc>
        <w:tc>
          <w:tcPr>
            <w:tcW w:w="413" w:type="pct"/>
            <w:vMerge w:val="continue"/>
            <w:noWrap w:val="0"/>
            <w:vAlign w:val="center"/>
          </w:tcPr>
          <w:p>
            <w:pPr>
              <w:pStyle w:val="73"/>
              <w:rPr>
                <w:rFonts w:hint="default" w:ascii="Times New Roman" w:hAnsi="Times New Roman" w:cs="Times New Roman"/>
                <w:color w:val="auto"/>
                <w:u w:val="single"/>
              </w:rPr>
            </w:pPr>
          </w:p>
        </w:tc>
        <w:tc>
          <w:tcPr>
            <w:tcW w:w="579"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u w:val="single"/>
              </w:rPr>
              <w:t>0.001305</w:t>
            </w:r>
          </w:p>
        </w:tc>
        <w:tc>
          <w:tcPr>
            <w:tcW w:w="292" w:type="pc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kern w:val="0"/>
                <w:sz w:val="21"/>
                <w:szCs w:val="21"/>
                <w:u w:val="single"/>
                <w:lang w:val="en-US" w:eastAsia="zh-CN"/>
              </w:rPr>
              <w:t>t/a</w:t>
            </w:r>
          </w:p>
        </w:tc>
      </w:tr>
    </w:tbl>
    <w:p>
      <w:pPr>
        <w:pStyle w:val="103"/>
        <w:rPr>
          <w:rFonts w:hint="eastAsia"/>
          <w:color w:val="auto"/>
          <w:u w:val="single"/>
        </w:rPr>
      </w:pPr>
    </w:p>
    <w:p>
      <w:pPr>
        <w:pStyle w:val="103"/>
        <w:rPr>
          <w:color w:val="auto"/>
          <w:u w:val="single"/>
        </w:rPr>
      </w:pPr>
      <w:r>
        <w:rPr>
          <w:color w:val="auto"/>
          <w:u w:val="single"/>
        </w:rPr>
        <w:t>表4.2-</w:t>
      </w:r>
      <w:r>
        <w:rPr>
          <w:rFonts w:hint="eastAsia"/>
          <w:color w:val="auto"/>
          <w:u w:val="single"/>
          <w:lang w:val="en-US" w:eastAsia="zh-CN"/>
        </w:rPr>
        <w:t>4</w:t>
      </w:r>
      <w:r>
        <w:rPr>
          <w:color w:val="auto"/>
          <w:u w:val="single"/>
        </w:rPr>
        <w:t xml:space="preserve"> 主要面源源强排放参数</w:t>
      </w:r>
    </w:p>
    <w:tbl>
      <w:tblPr>
        <w:tblStyle w:val="36"/>
        <w:tblW w:w="90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8"/>
        <w:gridCol w:w="709"/>
        <w:gridCol w:w="642"/>
        <w:gridCol w:w="645"/>
        <w:gridCol w:w="693"/>
        <w:gridCol w:w="608"/>
        <w:gridCol w:w="645"/>
        <w:gridCol w:w="645"/>
        <w:gridCol w:w="645"/>
        <w:gridCol w:w="645"/>
        <w:gridCol w:w="645"/>
        <w:gridCol w:w="916"/>
        <w:gridCol w:w="10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568"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编号</w:t>
            </w:r>
          </w:p>
        </w:tc>
        <w:tc>
          <w:tcPr>
            <w:tcW w:w="709"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名称</w:t>
            </w:r>
          </w:p>
        </w:tc>
        <w:tc>
          <w:tcPr>
            <w:tcW w:w="1287" w:type="dxa"/>
            <w:gridSpan w:val="2"/>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面源起点坐标/m</w:t>
            </w:r>
          </w:p>
        </w:tc>
        <w:tc>
          <w:tcPr>
            <w:tcW w:w="693"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面源海拔高度/m</w:t>
            </w:r>
          </w:p>
        </w:tc>
        <w:tc>
          <w:tcPr>
            <w:tcW w:w="608"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面源长度/m</w:t>
            </w:r>
          </w:p>
        </w:tc>
        <w:tc>
          <w:tcPr>
            <w:tcW w:w="645"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面源宽度/m</w:t>
            </w:r>
          </w:p>
        </w:tc>
        <w:tc>
          <w:tcPr>
            <w:tcW w:w="645"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与正北方向夹角/°</w:t>
            </w:r>
          </w:p>
        </w:tc>
        <w:tc>
          <w:tcPr>
            <w:tcW w:w="645"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面源有效排放高度/m</w:t>
            </w:r>
          </w:p>
        </w:tc>
        <w:tc>
          <w:tcPr>
            <w:tcW w:w="645"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年排放小时数/h</w:t>
            </w:r>
          </w:p>
        </w:tc>
        <w:tc>
          <w:tcPr>
            <w:tcW w:w="645" w:type="dxa"/>
            <w:vMerge w:val="restart"/>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排放工况</w:t>
            </w:r>
          </w:p>
        </w:tc>
        <w:tc>
          <w:tcPr>
            <w:tcW w:w="2002" w:type="dxa"/>
            <w:gridSpan w:val="2"/>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污染物排放</w:t>
            </w:r>
            <w:r>
              <w:rPr>
                <w:rFonts w:hint="eastAsia" w:cs="Times New Roman"/>
                <w:color w:val="auto"/>
                <w:kern w:val="0"/>
                <w:sz w:val="21"/>
                <w:szCs w:val="21"/>
                <w:u w:val="single"/>
                <w:lang w:eastAsia="zh-CN"/>
              </w:rPr>
              <w:t>量</w:t>
            </w:r>
            <w:r>
              <w:rPr>
                <w:rFonts w:hint="default" w:ascii="Times New Roman" w:hAnsi="Times New Roman" w:cs="Times New Roman"/>
                <w:color w:val="auto"/>
                <w:kern w:val="0"/>
                <w:sz w:val="21"/>
                <w:szCs w:val="21"/>
                <w:u w:val="single"/>
              </w:rPr>
              <w:t>(</w:t>
            </w:r>
            <w:r>
              <w:rPr>
                <w:rFonts w:hint="eastAsia" w:cs="Times New Roman"/>
                <w:color w:val="auto"/>
                <w:kern w:val="0"/>
                <w:sz w:val="21"/>
                <w:szCs w:val="21"/>
                <w:u w:val="single"/>
                <w:lang w:val="en-US" w:eastAsia="zh-CN"/>
              </w:rPr>
              <w:t>t/a</w:t>
            </w:r>
            <w:r>
              <w:rPr>
                <w:rFonts w:hint="default" w:ascii="Times New Roman" w:hAnsi="Times New Roman" w:cs="Times New Roman"/>
                <w:color w:val="auto"/>
                <w:kern w:val="0"/>
                <w:sz w:val="21"/>
                <w:szCs w:val="21"/>
                <w:u w:val="singl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4" w:hRule="atLeast"/>
          <w:jc w:val="center"/>
        </w:trPr>
        <w:tc>
          <w:tcPr>
            <w:tcW w:w="568"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709"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2"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X</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Y</w:t>
            </w:r>
          </w:p>
        </w:tc>
        <w:tc>
          <w:tcPr>
            <w:tcW w:w="693"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08"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5"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5"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5"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5"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645" w:type="dxa"/>
            <w:vMerge w:val="continue"/>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p>
        </w:tc>
        <w:tc>
          <w:tcPr>
            <w:tcW w:w="916"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sz w:val="21"/>
                <w:szCs w:val="21"/>
                <w:u w:val="single"/>
              </w:rPr>
              <w:t>NH</w:t>
            </w:r>
            <w:r>
              <w:rPr>
                <w:rFonts w:hint="default" w:ascii="Times New Roman" w:hAnsi="Times New Roman" w:cs="Times New Roman"/>
                <w:color w:val="auto"/>
                <w:sz w:val="21"/>
                <w:szCs w:val="21"/>
                <w:u w:val="single"/>
                <w:vertAlign w:val="subscript"/>
              </w:rPr>
              <w:t>3</w:t>
            </w:r>
          </w:p>
        </w:tc>
        <w:tc>
          <w:tcPr>
            <w:tcW w:w="1086"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sz w:val="21"/>
                <w:szCs w:val="21"/>
                <w:u w:val="single"/>
              </w:rPr>
              <w:t>H</w:t>
            </w:r>
            <w:r>
              <w:rPr>
                <w:rFonts w:hint="default" w:ascii="Times New Roman" w:hAnsi="Times New Roman" w:cs="Times New Roman"/>
                <w:color w:val="auto"/>
                <w:sz w:val="21"/>
                <w:szCs w:val="21"/>
                <w:u w:val="single"/>
                <w:vertAlign w:val="subscript"/>
              </w:rPr>
              <w:t>2</w:t>
            </w:r>
            <w:r>
              <w:rPr>
                <w:rFonts w:hint="default" w:ascii="Times New Roman" w:hAnsi="Times New Roman" w:cs="Times New Roman"/>
                <w:color w:val="auto"/>
                <w:sz w:val="21"/>
                <w:szCs w:val="21"/>
                <w:u w:val="single"/>
              </w:rPr>
              <w:t>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68"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1</w:t>
            </w:r>
          </w:p>
        </w:tc>
        <w:tc>
          <w:tcPr>
            <w:tcW w:w="709"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污水处理厂</w:t>
            </w:r>
          </w:p>
        </w:tc>
        <w:tc>
          <w:tcPr>
            <w:tcW w:w="642"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-3</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13</w:t>
            </w:r>
          </w:p>
        </w:tc>
        <w:tc>
          <w:tcPr>
            <w:tcW w:w="693"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292</w:t>
            </w:r>
          </w:p>
        </w:tc>
        <w:tc>
          <w:tcPr>
            <w:tcW w:w="608"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20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10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rPr>
            </w:pPr>
            <w:r>
              <w:rPr>
                <w:rFonts w:hint="default" w:ascii="Times New Roman" w:hAnsi="Times New Roman" w:cs="Times New Roman"/>
                <w:color w:val="auto"/>
                <w:kern w:val="0"/>
                <w:sz w:val="21"/>
                <w:szCs w:val="21"/>
                <w:u w:val="single"/>
                <w:lang w:val="en-US" w:eastAsia="zh-CN"/>
              </w:rPr>
              <w:t>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4</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8760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正常</w:t>
            </w:r>
          </w:p>
        </w:tc>
        <w:tc>
          <w:tcPr>
            <w:tcW w:w="916"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0.011485</w:t>
            </w:r>
          </w:p>
        </w:tc>
        <w:tc>
          <w:tcPr>
            <w:tcW w:w="1086"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0.000127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68"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eastAsia" w:ascii="Times New Roman" w:hAnsi="Times New Roman" w:eastAsia="宋体" w:cs="Times New Roman"/>
                <w:color w:val="auto"/>
                <w:kern w:val="0"/>
                <w:sz w:val="21"/>
                <w:szCs w:val="21"/>
                <w:u w:val="single"/>
                <w:lang w:val="en-US" w:eastAsia="zh-CN" w:bidi="ar-SA"/>
              </w:rPr>
            </w:pPr>
            <w:r>
              <w:rPr>
                <w:rFonts w:hint="eastAsia" w:ascii="Times New Roman" w:hAnsi="Times New Roman" w:cs="Times New Roman"/>
                <w:color w:val="auto"/>
                <w:kern w:val="0"/>
                <w:sz w:val="21"/>
                <w:szCs w:val="21"/>
                <w:u w:val="single"/>
                <w:lang w:val="en-US" w:eastAsia="zh-CN"/>
              </w:rPr>
              <w:t>2</w:t>
            </w:r>
          </w:p>
        </w:tc>
        <w:tc>
          <w:tcPr>
            <w:tcW w:w="709"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rPr>
              <w:t>污水处理厂</w:t>
            </w:r>
          </w:p>
        </w:tc>
        <w:tc>
          <w:tcPr>
            <w:tcW w:w="642"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-3</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13</w:t>
            </w:r>
          </w:p>
        </w:tc>
        <w:tc>
          <w:tcPr>
            <w:tcW w:w="693"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292</w:t>
            </w:r>
          </w:p>
        </w:tc>
        <w:tc>
          <w:tcPr>
            <w:tcW w:w="608"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20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10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lang w:val="en-US" w:eastAsia="zh-CN"/>
              </w:rPr>
              <w:t>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rPr>
              <w:t>4</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kern w:val="0"/>
                <w:sz w:val="21"/>
                <w:szCs w:val="21"/>
                <w:u w:val="single"/>
              </w:rPr>
              <w:t>8760</w:t>
            </w:r>
          </w:p>
        </w:tc>
        <w:tc>
          <w:tcPr>
            <w:tcW w:w="645" w:type="dxa"/>
            <w:noWrap w:val="0"/>
            <w:vAlign w:val="center"/>
          </w:tcPr>
          <w:p>
            <w:pPr>
              <w:keepNext/>
              <w:keepLines/>
              <w:tabs>
                <w:tab w:val="left" w:pos="2976"/>
                <w:tab w:val="left" w:pos="8820"/>
                <w:tab w:val="left" w:pos="9000"/>
              </w:tabs>
              <w:adjustRightInd w:val="0"/>
              <w:snapToGrid w:val="0"/>
              <w:spacing w:line="240" w:lineRule="auto"/>
              <w:ind w:firstLine="0" w:firstLineChars="0"/>
              <w:jc w:val="center"/>
              <w:textAlignment w:val="baseline"/>
              <w:outlineLvl w:val="4"/>
              <w:rPr>
                <w:rFonts w:hint="default" w:ascii="Times New Roman" w:hAnsi="Times New Roman" w:cs="Times New Roman"/>
                <w:color w:val="auto"/>
                <w:kern w:val="0"/>
                <w:sz w:val="21"/>
                <w:szCs w:val="21"/>
                <w:u w:val="single"/>
                <w:lang w:val="en-US" w:eastAsia="zh-CN" w:bidi="ar-SA"/>
              </w:rPr>
            </w:pPr>
            <w:r>
              <w:rPr>
                <w:rFonts w:hint="eastAsia" w:ascii="Times New Roman" w:hAnsi="Times New Roman" w:cs="Times New Roman"/>
                <w:color w:val="auto"/>
                <w:kern w:val="0"/>
                <w:sz w:val="21"/>
                <w:szCs w:val="21"/>
                <w:u w:val="single"/>
                <w:lang w:eastAsia="zh-CN"/>
              </w:rPr>
              <w:t>非</w:t>
            </w:r>
            <w:r>
              <w:rPr>
                <w:rFonts w:hint="default" w:ascii="Times New Roman" w:hAnsi="Times New Roman" w:cs="Times New Roman"/>
                <w:color w:val="auto"/>
                <w:kern w:val="0"/>
                <w:sz w:val="21"/>
                <w:szCs w:val="21"/>
                <w:u w:val="single"/>
              </w:rPr>
              <w:t>正常</w:t>
            </w:r>
          </w:p>
        </w:tc>
        <w:tc>
          <w:tcPr>
            <w:tcW w:w="916" w:type="dxa"/>
            <w:noWrap w:val="0"/>
            <w:vAlign w:val="center"/>
          </w:tcPr>
          <w:p>
            <w:pPr>
              <w:pStyle w:val="73"/>
              <w:rPr>
                <w:rFonts w:hint="eastAsia" w:ascii="Times New Roman" w:hAnsi="Times New Roman" w:cs="Times New Roman"/>
                <w:color w:val="auto"/>
                <w:u w:val="single"/>
                <w:lang w:val="en-US" w:eastAsia="zh-CN"/>
              </w:rPr>
            </w:pPr>
            <w:r>
              <w:rPr>
                <w:rFonts w:hint="eastAsia" w:ascii="Times New Roman" w:cs="Times New Roman"/>
                <w:color w:val="auto"/>
                <w:u w:val="single"/>
                <w:lang w:val="en-US" w:eastAsia="zh-CN"/>
              </w:rPr>
              <w:t>0</w:t>
            </w:r>
            <w:r>
              <w:rPr>
                <w:rFonts w:hint="eastAsia" w:ascii="Times New Roman" w:hAnsi="Times New Roman" w:cs="Times New Roman"/>
                <w:color w:val="auto"/>
                <w:u w:val="single"/>
                <w:lang w:val="en-US" w:eastAsia="zh-CN"/>
              </w:rPr>
              <w:t>.032814</w:t>
            </w:r>
          </w:p>
        </w:tc>
        <w:tc>
          <w:tcPr>
            <w:tcW w:w="1086" w:type="dxa"/>
            <w:noWrap w:val="0"/>
            <w:vAlign w:val="center"/>
          </w:tcPr>
          <w:p>
            <w:pPr>
              <w:pStyle w:val="73"/>
              <w:rPr>
                <w:rFonts w:hint="eastAsia"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0.001270</w:t>
            </w:r>
          </w:p>
        </w:tc>
      </w:tr>
    </w:tbl>
    <w:p>
      <w:pPr>
        <w:widowControl w:val="0"/>
        <w:spacing w:line="460" w:lineRule="atLeast"/>
        <w:ind w:firstLine="480"/>
        <w:jc w:val="both"/>
        <w:rPr>
          <w:color w:val="auto"/>
          <w:u w:val="single"/>
        </w:rPr>
      </w:pPr>
      <w:r>
        <w:rPr>
          <w:rFonts w:hint="eastAsia"/>
          <w:color w:val="auto"/>
          <w:u w:val="single"/>
        </w:rPr>
        <w:t>⑤</w:t>
      </w:r>
      <w:r>
        <w:rPr>
          <w:color w:val="auto"/>
          <w:u w:val="single"/>
        </w:rPr>
        <w:t>预测结果</w:t>
      </w:r>
    </w:p>
    <w:p>
      <w:pPr>
        <w:widowControl w:val="0"/>
        <w:spacing w:line="460" w:lineRule="atLeast"/>
        <w:ind w:firstLine="480"/>
        <w:jc w:val="both"/>
        <w:rPr>
          <w:color w:val="auto"/>
          <w:u w:val="single"/>
        </w:rPr>
      </w:pPr>
      <w:r>
        <w:rPr>
          <w:color w:val="auto"/>
          <w:u w:val="single"/>
        </w:rPr>
        <w:t>模式的预测结果见表4.2-</w:t>
      </w:r>
      <w:r>
        <w:rPr>
          <w:rFonts w:hint="eastAsia"/>
          <w:color w:val="auto"/>
          <w:u w:val="single"/>
          <w:lang w:val="en-US" w:eastAsia="zh-CN"/>
        </w:rPr>
        <w:t>5</w:t>
      </w:r>
      <w:r>
        <w:rPr>
          <w:color w:val="auto"/>
          <w:u w:val="single"/>
        </w:rPr>
        <w:t>。</w:t>
      </w:r>
    </w:p>
    <w:p>
      <w:pPr>
        <w:pStyle w:val="103"/>
        <w:rPr>
          <w:color w:val="auto"/>
          <w:u w:val="single"/>
        </w:rPr>
      </w:pPr>
      <w:r>
        <w:rPr>
          <w:color w:val="auto"/>
          <w:u w:val="single"/>
        </w:rPr>
        <w:t>表4.2-</w:t>
      </w:r>
      <w:r>
        <w:rPr>
          <w:rFonts w:hint="eastAsia"/>
          <w:color w:val="auto"/>
          <w:u w:val="single"/>
          <w:lang w:val="en-US" w:eastAsia="zh-CN"/>
        </w:rPr>
        <w:t>5</w:t>
      </w:r>
      <w:r>
        <w:rPr>
          <w:color w:val="auto"/>
          <w:u w:val="single"/>
        </w:rPr>
        <w:t xml:space="preserve"> 预测结果一览表</w:t>
      </w:r>
    </w:p>
    <w:tbl>
      <w:tblPr>
        <w:tblStyle w:val="36"/>
        <w:tblW w:w="79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32"/>
        <w:gridCol w:w="1559"/>
        <w:gridCol w:w="1166"/>
        <w:gridCol w:w="1076"/>
        <w:gridCol w:w="982"/>
        <w:gridCol w:w="1011"/>
        <w:gridCol w:w="106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jc w:val="center"/>
        </w:trPr>
        <w:tc>
          <w:tcPr>
            <w:tcW w:w="1132"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污染源类型</w:t>
            </w:r>
          </w:p>
        </w:tc>
        <w:tc>
          <w:tcPr>
            <w:tcW w:w="155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产生单元</w:t>
            </w:r>
          </w:p>
        </w:tc>
        <w:tc>
          <w:tcPr>
            <w:tcW w:w="116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评价因子</w:t>
            </w:r>
          </w:p>
        </w:tc>
        <w:tc>
          <w:tcPr>
            <w:tcW w:w="107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下风向最大浓度(μg/m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w:t>
            </w:r>
          </w:p>
        </w:tc>
        <w:tc>
          <w:tcPr>
            <w:tcW w:w="982"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最大浓度出现距离（m）</w:t>
            </w:r>
          </w:p>
        </w:tc>
        <w:tc>
          <w:tcPr>
            <w:tcW w:w="1011"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占标率（%）</w:t>
            </w:r>
          </w:p>
        </w:tc>
        <w:tc>
          <w:tcPr>
            <w:tcW w:w="106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质量标准(mg/m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jc w:val="center"/>
        </w:trPr>
        <w:tc>
          <w:tcPr>
            <w:tcW w:w="1132"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有组织（正常工况）</w:t>
            </w:r>
          </w:p>
        </w:tc>
        <w:tc>
          <w:tcPr>
            <w:tcW w:w="1559" w:type="dxa"/>
            <w:vMerge w:val="restart"/>
            <w:noWrap w:val="0"/>
            <w:vAlign w:val="center"/>
          </w:tcPr>
          <w:p>
            <w:pPr>
              <w:pStyle w:val="73"/>
              <w:rPr>
                <w:rFonts w:hint="default" w:ascii="Times New Roman" w:hAnsi="Times New Roman" w:cs="Times New Roman"/>
                <w:color w:val="auto"/>
                <w:u w:val="single"/>
              </w:rPr>
            </w:pPr>
            <w:r>
              <w:rPr>
                <w:rFonts w:hint="eastAsia" w:ascii="Times New Roman" w:hAnsi="Times New Roman" w:cs="Times New Roman"/>
                <w:color w:val="auto"/>
                <w:u w:val="single"/>
                <w:lang w:val="en-US" w:eastAsia="zh-CN"/>
              </w:rPr>
              <w:t>DA001</w:t>
            </w:r>
            <w:r>
              <w:rPr>
                <w:rFonts w:hint="default" w:ascii="Times New Roman" w:hAnsi="Times New Roman" w:cs="Times New Roman"/>
                <w:color w:val="auto"/>
                <w:u w:val="single"/>
              </w:rPr>
              <w:t>排气筒</w:t>
            </w:r>
          </w:p>
        </w:tc>
        <w:tc>
          <w:tcPr>
            <w:tcW w:w="1166" w:type="dxa"/>
            <w:noWrap w:val="0"/>
            <w:vAlign w:val="center"/>
          </w:tcPr>
          <w:p>
            <w:pPr>
              <w:pStyle w:val="73"/>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1076" w:type="dxa"/>
            <w:noWrap w:val="0"/>
            <w:vAlign w:val="center"/>
          </w:tcPr>
          <w:p>
            <w:pPr>
              <w:pStyle w:val="73"/>
              <w:rPr>
                <w:rFonts w:hint="default" w:ascii="Times New Roman" w:hAnsi="Times New Roman" w:cs="Times New Roman"/>
                <w:color w:val="auto"/>
                <w:u w:val="single"/>
                <w:lang w:val="en-US"/>
              </w:rPr>
            </w:pPr>
            <w:r>
              <w:rPr>
                <w:rFonts w:hint="eastAsia" w:ascii="Times New Roman" w:hAnsi="Times New Roman" w:cs="Times New Roman"/>
                <w:color w:val="auto"/>
                <w:u w:val="single"/>
                <w:lang w:val="en-US" w:eastAsia="zh-CN"/>
              </w:rPr>
              <w:t>0.000889</w:t>
            </w:r>
          </w:p>
        </w:tc>
        <w:tc>
          <w:tcPr>
            <w:tcW w:w="982"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113</w:t>
            </w:r>
          </w:p>
        </w:tc>
        <w:tc>
          <w:tcPr>
            <w:tcW w:w="1011"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0.44</w:t>
            </w:r>
          </w:p>
        </w:tc>
        <w:tc>
          <w:tcPr>
            <w:tcW w:w="106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1132" w:type="dxa"/>
            <w:vMerge w:val="continue"/>
            <w:noWrap w:val="0"/>
            <w:vAlign w:val="center"/>
          </w:tcPr>
          <w:p>
            <w:pPr>
              <w:pStyle w:val="73"/>
              <w:rPr>
                <w:rFonts w:hint="default" w:ascii="Times New Roman" w:hAnsi="Times New Roman" w:cs="Times New Roman"/>
                <w:color w:val="auto"/>
                <w:u w:val="single"/>
              </w:rPr>
            </w:pPr>
          </w:p>
        </w:tc>
        <w:tc>
          <w:tcPr>
            <w:tcW w:w="1559" w:type="dxa"/>
            <w:vMerge w:val="continue"/>
            <w:noWrap w:val="0"/>
            <w:vAlign w:val="center"/>
          </w:tcPr>
          <w:p>
            <w:pPr>
              <w:pStyle w:val="73"/>
              <w:rPr>
                <w:rFonts w:hint="default" w:ascii="Times New Roman" w:hAnsi="Times New Roman" w:cs="Times New Roman"/>
                <w:color w:val="auto"/>
                <w:u w:val="single"/>
              </w:rPr>
            </w:pPr>
          </w:p>
        </w:tc>
        <w:tc>
          <w:tcPr>
            <w:tcW w:w="116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1076" w:type="dxa"/>
            <w:noWrap w:val="0"/>
            <w:vAlign w:val="center"/>
          </w:tcPr>
          <w:p>
            <w:pPr>
              <w:pStyle w:val="73"/>
              <w:rPr>
                <w:rFonts w:hint="default" w:ascii="Times New Roman" w:hAnsi="Times New Roman" w:cs="Times New Roman"/>
                <w:color w:val="auto"/>
                <w:u w:val="single"/>
                <w:lang w:val="en-US"/>
              </w:rPr>
            </w:pPr>
            <w:r>
              <w:rPr>
                <w:rFonts w:hint="eastAsia" w:ascii="Times New Roman" w:hAnsi="Times New Roman" w:cs="Times New Roman"/>
                <w:color w:val="auto"/>
                <w:u w:val="single"/>
                <w:lang w:val="en-US" w:eastAsia="zh-CN"/>
              </w:rPr>
              <w:t>0.0000344</w:t>
            </w:r>
          </w:p>
        </w:tc>
        <w:tc>
          <w:tcPr>
            <w:tcW w:w="982"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113</w:t>
            </w:r>
          </w:p>
        </w:tc>
        <w:tc>
          <w:tcPr>
            <w:tcW w:w="1011"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0.34</w:t>
            </w:r>
          </w:p>
        </w:tc>
        <w:tc>
          <w:tcPr>
            <w:tcW w:w="106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1132"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有组织（</w:t>
            </w:r>
            <w:r>
              <w:rPr>
                <w:rFonts w:hint="eastAsia" w:ascii="Times New Roman" w:hAnsi="Times New Roman" w:cs="Times New Roman"/>
                <w:color w:val="auto"/>
                <w:u w:val="single"/>
                <w:lang w:eastAsia="zh-CN"/>
              </w:rPr>
              <w:t>非</w:t>
            </w:r>
            <w:r>
              <w:rPr>
                <w:rFonts w:hint="default" w:ascii="Times New Roman" w:hAnsi="Times New Roman" w:cs="Times New Roman"/>
                <w:color w:val="auto"/>
                <w:u w:val="single"/>
              </w:rPr>
              <w:t>正常工况）</w:t>
            </w:r>
          </w:p>
        </w:tc>
        <w:tc>
          <w:tcPr>
            <w:tcW w:w="1559" w:type="dxa"/>
            <w:vMerge w:val="continue"/>
            <w:noWrap w:val="0"/>
            <w:vAlign w:val="center"/>
          </w:tcPr>
          <w:p>
            <w:pPr>
              <w:pStyle w:val="73"/>
              <w:rPr>
                <w:rFonts w:hint="default" w:ascii="Times New Roman" w:hAnsi="Times New Roman" w:cs="Times New Roman"/>
                <w:color w:val="auto"/>
                <w:u w:val="single"/>
              </w:rPr>
            </w:pPr>
          </w:p>
        </w:tc>
        <w:tc>
          <w:tcPr>
            <w:tcW w:w="1166" w:type="dxa"/>
            <w:noWrap w:val="0"/>
            <w:vAlign w:val="center"/>
          </w:tcPr>
          <w:p>
            <w:pPr>
              <w:pStyle w:val="73"/>
              <w:ind w:firstLine="0" w:firstLineChars="0"/>
              <w:rPr>
                <w:rFonts w:hint="default" w:ascii="Times New Roman" w:hAnsi="Times New Roman" w:cs="Times New Roman"/>
                <w:color w:val="auto"/>
                <w:kern w:val="0"/>
                <w:sz w:val="21"/>
                <w:szCs w:val="21"/>
                <w:u w:val="single"/>
                <w:vertAlign w:val="subscript"/>
                <w:lang w:val="en-US" w:eastAsia="zh-CN" w:bidi="ar-SA"/>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1076" w:type="dxa"/>
            <w:noWrap w:val="0"/>
            <w:vAlign w:val="center"/>
          </w:tcPr>
          <w:p>
            <w:pPr>
              <w:pStyle w:val="73"/>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0.00889</w:t>
            </w:r>
          </w:p>
        </w:tc>
        <w:tc>
          <w:tcPr>
            <w:tcW w:w="982" w:type="dxa"/>
            <w:noWrap w:val="0"/>
            <w:vAlign w:val="center"/>
          </w:tcPr>
          <w:p>
            <w:pPr>
              <w:pStyle w:val="73"/>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113</w:t>
            </w:r>
          </w:p>
        </w:tc>
        <w:tc>
          <w:tcPr>
            <w:tcW w:w="1011"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4.44</w:t>
            </w:r>
          </w:p>
        </w:tc>
        <w:tc>
          <w:tcPr>
            <w:tcW w:w="1063"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1132" w:type="dxa"/>
            <w:vMerge w:val="continue"/>
            <w:noWrap w:val="0"/>
            <w:vAlign w:val="center"/>
          </w:tcPr>
          <w:p>
            <w:pPr>
              <w:pStyle w:val="73"/>
              <w:rPr>
                <w:rFonts w:hint="default" w:ascii="Times New Roman" w:hAnsi="Times New Roman" w:cs="Times New Roman"/>
                <w:color w:val="auto"/>
                <w:u w:val="single"/>
              </w:rPr>
            </w:pPr>
          </w:p>
        </w:tc>
        <w:tc>
          <w:tcPr>
            <w:tcW w:w="1559" w:type="dxa"/>
            <w:vMerge w:val="continue"/>
            <w:noWrap w:val="0"/>
            <w:vAlign w:val="center"/>
          </w:tcPr>
          <w:p>
            <w:pPr>
              <w:pStyle w:val="73"/>
              <w:rPr>
                <w:rFonts w:hint="default" w:ascii="Times New Roman" w:hAnsi="Times New Roman" w:cs="Times New Roman"/>
                <w:color w:val="auto"/>
                <w:u w:val="single"/>
              </w:rPr>
            </w:pPr>
          </w:p>
        </w:tc>
        <w:tc>
          <w:tcPr>
            <w:tcW w:w="1166" w:type="dxa"/>
            <w:noWrap w:val="0"/>
            <w:vAlign w:val="center"/>
          </w:tcPr>
          <w:p>
            <w:pPr>
              <w:pStyle w:val="73"/>
              <w:ind w:firstLine="0" w:firstLineChars="0"/>
              <w:rPr>
                <w:rFonts w:hint="default" w:ascii="Times New Roman" w:hAnsi="Times New Roman" w:cs="Times New Roman"/>
                <w:color w:val="auto"/>
                <w:kern w:val="0"/>
                <w:sz w:val="21"/>
                <w:szCs w:val="21"/>
                <w:u w:val="single"/>
                <w:lang w:val="en-US" w:eastAsia="zh-CN" w:bidi="ar-SA"/>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1076" w:type="dxa"/>
            <w:noWrap w:val="0"/>
            <w:vAlign w:val="center"/>
          </w:tcPr>
          <w:p>
            <w:pPr>
              <w:pStyle w:val="73"/>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0.0000393</w:t>
            </w:r>
          </w:p>
        </w:tc>
        <w:tc>
          <w:tcPr>
            <w:tcW w:w="982" w:type="dxa"/>
            <w:noWrap w:val="0"/>
            <w:vAlign w:val="center"/>
          </w:tcPr>
          <w:p>
            <w:pPr>
              <w:pStyle w:val="73"/>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113</w:t>
            </w:r>
          </w:p>
        </w:tc>
        <w:tc>
          <w:tcPr>
            <w:tcW w:w="1011"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0.39</w:t>
            </w:r>
          </w:p>
        </w:tc>
        <w:tc>
          <w:tcPr>
            <w:tcW w:w="1063" w:type="dxa"/>
            <w:noWrap w:val="0"/>
            <w:vAlign w:val="center"/>
          </w:tcPr>
          <w:p>
            <w:pPr>
              <w:pStyle w:val="73"/>
              <w:ind w:firstLine="0" w:firstLineChars="0"/>
              <w:rPr>
                <w:rFonts w:hint="default" w:ascii="Times New Roman" w:hAnsi="Times New Roman" w:cs="Times New Roman"/>
                <w:color w:val="auto"/>
                <w:u w:val="single"/>
              </w:rPr>
            </w:pPr>
            <w:r>
              <w:rPr>
                <w:rFonts w:hint="default" w:ascii="Times New Roman" w:hAnsi="Times New Roman" w:cs="Times New Roman"/>
                <w:color w:val="auto"/>
                <w:u w:val="single"/>
              </w:rPr>
              <w:t>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9" w:hRule="atLeast"/>
          <w:jc w:val="center"/>
        </w:trPr>
        <w:tc>
          <w:tcPr>
            <w:tcW w:w="1132"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无组织</w:t>
            </w:r>
          </w:p>
        </w:tc>
        <w:tc>
          <w:tcPr>
            <w:tcW w:w="1559"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szCs w:val="20"/>
                <w:u w:val="single"/>
              </w:rPr>
              <w:t>污水处理厂</w:t>
            </w:r>
          </w:p>
        </w:tc>
        <w:tc>
          <w:tcPr>
            <w:tcW w:w="1166" w:type="dxa"/>
            <w:noWrap w:val="0"/>
            <w:vAlign w:val="center"/>
          </w:tcPr>
          <w:p>
            <w:pPr>
              <w:pStyle w:val="73"/>
              <w:rPr>
                <w:rFonts w:hint="default" w:ascii="Times New Roman" w:hAnsi="Times New Roman" w:cs="Times New Roman"/>
                <w:color w:val="auto"/>
                <w:u w:val="single"/>
                <w:vertAlign w:val="subscript"/>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p>
        </w:tc>
        <w:tc>
          <w:tcPr>
            <w:tcW w:w="1076" w:type="dxa"/>
            <w:noWrap w:val="0"/>
            <w:vAlign w:val="center"/>
          </w:tcPr>
          <w:p>
            <w:pPr>
              <w:pStyle w:val="73"/>
              <w:rPr>
                <w:rFonts w:hint="default" w:ascii="Times New Roman" w:hAnsi="Times New Roman" w:cs="Times New Roman"/>
                <w:color w:val="auto"/>
                <w:sz w:val="22"/>
                <w:szCs w:val="22"/>
                <w:u w:val="single"/>
                <w:lang w:val="en-US"/>
              </w:rPr>
            </w:pPr>
            <w:r>
              <w:rPr>
                <w:rFonts w:hint="eastAsia" w:ascii="Times New Roman" w:hAnsi="Times New Roman" w:cs="Times New Roman"/>
                <w:color w:val="auto"/>
                <w:sz w:val="22"/>
                <w:szCs w:val="22"/>
                <w:u w:val="single"/>
                <w:lang w:val="en-US" w:eastAsia="zh-CN"/>
              </w:rPr>
              <w:t>0.0111</w:t>
            </w:r>
          </w:p>
        </w:tc>
        <w:tc>
          <w:tcPr>
            <w:tcW w:w="982"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eastAsia" w:ascii="Times New Roman" w:hAnsi="Times New Roman" w:cs="Times New Roman"/>
                <w:color w:val="auto"/>
                <w:sz w:val="22"/>
                <w:szCs w:val="22"/>
                <w:u w:val="single"/>
                <w:lang w:val="en-US" w:eastAsia="zh-CN"/>
              </w:rPr>
              <w:t>15</w:t>
            </w:r>
          </w:p>
        </w:tc>
        <w:tc>
          <w:tcPr>
            <w:tcW w:w="1011" w:type="dxa"/>
            <w:noWrap w:val="0"/>
            <w:vAlign w:val="center"/>
          </w:tcPr>
          <w:p>
            <w:pPr>
              <w:pStyle w:val="73"/>
              <w:rPr>
                <w:rFonts w:hint="default" w:ascii="Times New Roman" w:hAnsi="Times New Roman" w:eastAsia="宋体" w:cs="Times New Roman"/>
                <w:color w:val="FF0000"/>
                <w:sz w:val="22"/>
                <w:szCs w:val="22"/>
                <w:u w:val="single"/>
                <w:lang w:val="en-US" w:eastAsia="zh-CN"/>
              </w:rPr>
            </w:pPr>
            <w:r>
              <w:rPr>
                <w:rFonts w:hint="eastAsia" w:ascii="Times New Roman" w:hAnsi="Times New Roman" w:cs="Times New Roman"/>
                <w:color w:val="FF0000"/>
                <w:sz w:val="22"/>
                <w:szCs w:val="22"/>
                <w:u w:val="single"/>
                <w:lang w:val="en-US" w:eastAsia="zh-CN"/>
              </w:rPr>
              <w:t>5.57</w:t>
            </w:r>
          </w:p>
        </w:tc>
        <w:tc>
          <w:tcPr>
            <w:tcW w:w="106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1" w:hRule="atLeast"/>
          <w:jc w:val="center"/>
        </w:trPr>
        <w:tc>
          <w:tcPr>
            <w:tcW w:w="1132" w:type="dxa"/>
            <w:vMerge w:val="continue"/>
            <w:noWrap w:val="0"/>
            <w:vAlign w:val="center"/>
          </w:tcPr>
          <w:p>
            <w:pPr>
              <w:pStyle w:val="73"/>
              <w:rPr>
                <w:rFonts w:hint="default" w:ascii="Times New Roman" w:hAnsi="Times New Roman" w:cs="Times New Roman"/>
                <w:color w:val="auto"/>
                <w:u w:val="single"/>
              </w:rPr>
            </w:pPr>
          </w:p>
        </w:tc>
        <w:tc>
          <w:tcPr>
            <w:tcW w:w="1559" w:type="dxa"/>
            <w:vMerge w:val="continue"/>
            <w:noWrap w:val="0"/>
            <w:vAlign w:val="center"/>
          </w:tcPr>
          <w:p>
            <w:pPr>
              <w:pStyle w:val="73"/>
              <w:rPr>
                <w:rFonts w:hint="default" w:ascii="Times New Roman" w:hAnsi="Times New Roman" w:cs="Times New Roman"/>
                <w:color w:val="auto"/>
                <w:u w:val="single"/>
              </w:rPr>
            </w:pPr>
          </w:p>
        </w:tc>
        <w:tc>
          <w:tcPr>
            <w:tcW w:w="1166"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w:t>
            </w:r>
          </w:p>
        </w:tc>
        <w:tc>
          <w:tcPr>
            <w:tcW w:w="1076" w:type="dxa"/>
            <w:noWrap w:val="0"/>
            <w:vAlign w:val="center"/>
          </w:tcPr>
          <w:p>
            <w:pPr>
              <w:pStyle w:val="73"/>
              <w:rPr>
                <w:rFonts w:hint="default" w:ascii="Times New Roman" w:hAnsi="Times New Roman" w:cs="Times New Roman"/>
                <w:color w:val="auto"/>
                <w:sz w:val="22"/>
                <w:szCs w:val="22"/>
                <w:u w:val="single"/>
                <w:lang w:val="en-US"/>
              </w:rPr>
            </w:pPr>
            <w:r>
              <w:rPr>
                <w:rFonts w:hint="eastAsia" w:ascii="Times New Roman" w:hAnsi="Times New Roman" w:cs="Times New Roman"/>
                <w:color w:val="auto"/>
                <w:sz w:val="22"/>
                <w:szCs w:val="22"/>
                <w:u w:val="single"/>
                <w:lang w:val="en-US" w:eastAsia="zh-CN"/>
              </w:rPr>
              <w:t>0.000123</w:t>
            </w:r>
          </w:p>
        </w:tc>
        <w:tc>
          <w:tcPr>
            <w:tcW w:w="982"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eastAsia" w:ascii="Times New Roman" w:hAnsi="Times New Roman" w:cs="Times New Roman"/>
                <w:color w:val="auto"/>
                <w:sz w:val="22"/>
                <w:szCs w:val="22"/>
                <w:u w:val="single"/>
                <w:lang w:val="en-US" w:eastAsia="zh-CN"/>
              </w:rPr>
              <w:t>15</w:t>
            </w:r>
          </w:p>
        </w:tc>
        <w:tc>
          <w:tcPr>
            <w:tcW w:w="1011"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eastAsia" w:ascii="Times New Roman" w:hAnsi="Times New Roman" w:cs="Times New Roman"/>
                <w:color w:val="auto"/>
                <w:sz w:val="22"/>
                <w:szCs w:val="22"/>
                <w:u w:val="single"/>
                <w:lang w:val="en-US" w:eastAsia="zh-CN"/>
              </w:rPr>
              <w:t>1.23</w:t>
            </w:r>
          </w:p>
        </w:tc>
        <w:tc>
          <w:tcPr>
            <w:tcW w:w="106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0.01</w:t>
            </w:r>
          </w:p>
        </w:tc>
      </w:tr>
    </w:tbl>
    <w:p>
      <w:pPr>
        <w:widowControl w:val="0"/>
        <w:ind w:firstLine="480"/>
        <w:jc w:val="both"/>
        <w:rPr>
          <w:color w:val="auto"/>
          <w:szCs w:val="21"/>
          <w:u w:val="single"/>
        </w:rPr>
      </w:pPr>
      <w:r>
        <w:rPr>
          <w:color w:val="auto"/>
          <w:szCs w:val="21"/>
          <w:u w:val="single"/>
        </w:rPr>
        <w:t>本项目所有污染源的P</w:t>
      </w:r>
      <w:r>
        <w:rPr>
          <w:color w:val="auto"/>
          <w:szCs w:val="21"/>
          <w:u w:val="single"/>
          <w:vertAlign w:val="subscript"/>
        </w:rPr>
        <w:t>max</w:t>
      </w:r>
      <w:r>
        <w:rPr>
          <w:color w:val="auto"/>
          <w:szCs w:val="21"/>
          <w:u w:val="single"/>
        </w:rPr>
        <w:t>和D10%预测结果如下：</w:t>
      </w:r>
    </w:p>
    <w:p>
      <w:pPr>
        <w:ind w:firstLine="422"/>
        <w:jc w:val="center"/>
        <w:rPr>
          <w:b/>
          <w:color w:val="auto"/>
          <w:kern w:val="0"/>
          <w:sz w:val="21"/>
          <w:szCs w:val="21"/>
          <w:u w:val="single"/>
        </w:rPr>
      </w:pPr>
      <w:r>
        <w:rPr>
          <w:rFonts w:hint="eastAsia"/>
          <w:b/>
          <w:color w:val="auto"/>
          <w:kern w:val="0"/>
          <w:sz w:val="21"/>
          <w:szCs w:val="21"/>
          <w:u w:val="single"/>
        </w:rPr>
        <w:t>表4.</w:t>
      </w:r>
      <w:r>
        <w:rPr>
          <w:b/>
          <w:color w:val="auto"/>
          <w:kern w:val="0"/>
          <w:sz w:val="21"/>
          <w:szCs w:val="21"/>
          <w:u w:val="single"/>
        </w:rPr>
        <w:t>2</w:t>
      </w:r>
      <w:r>
        <w:rPr>
          <w:rFonts w:hint="eastAsia"/>
          <w:b/>
          <w:color w:val="auto"/>
          <w:kern w:val="0"/>
          <w:sz w:val="21"/>
          <w:szCs w:val="21"/>
          <w:u w:val="single"/>
        </w:rPr>
        <w:t>-</w:t>
      </w:r>
      <w:r>
        <w:rPr>
          <w:rFonts w:hint="eastAsia"/>
          <w:b/>
          <w:color w:val="auto"/>
          <w:kern w:val="0"/>
          <w:sz w:val="21"/>
          <w:szCs w:val="21"/>
          <w:u w:val="single"/>
          <w:lang w:val="en-US" w:eastAsia="zh-CN"/>
        </w:rPr>
        <w:t>6</w:t>
      </w:r>
      <w:r>
        <w:rPr>
          <w:rFonts w:hint="eastAsia"/>
          <w:b/>
          <w:color w:val="auto"/>
          <w:kern w:val="0"/>
          <w:sz w:val="21"/>
          <w:szCs w:val="21"/>
          <w:u w:val="single"/>
        </w:rPr>
        <w:t>项目有组织各项污染物最大占标率和落地浓度（正常工况）</w:t>
      </w:r>
    </w:p>
    <w:tbl>
      <w:tblPr>
        <w:tblStyle w:val="36"/>
        <w:tblW w:w="8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127"/>
        <w:gridCol w:w="1417"/>
        <w:gridCol w:w="1843"/>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下方向距离(m)</w:t>
            </w:r>
          </w:p>
        </w:tc>
        <w:tc>
          <w:tcPr>
            <w:tcW w:w="7102" w:type="dxa"/>
            <w:gridSpan w:val="4"/>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DA001</w:t>
            </w:r>
            <w:r>
              <w:rPr>
                <w:rFonts w:hint="default" w:ascii="Times New Roman" w:hAnsi="Times New Roman" w:cs="Times New Roman"/>
                <w:color w:val="auto"/>
                <w:u w:val="single"/>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noWrap w:val="0"/>
            <w:vAlign w:val="center"/>
          </w:tcPr>
          <w:p>
            <w:pPr>
              <w:pStyle w:val="73"/>
              <w:rPr>
                <w:rFonts w:hint="default" w:ascii="Times New Roman" w:hAnsi="Times New Roman" w:cs="Times New Roman"/>
                <w:color w:val="auto"/>
                <w:u w:val="single"/>
              </w:rPr>
            </w:pPr>
          </w:p>
        </w:tc>
        <w:tc>
          <w:tcPr>
            <w:tcW w:w="2127"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r>
              <w:rPr>
                <w:rFonts w:hint="default" w:ascii="Times New Roman" w:hAnsi="Times New Roman" w:cs="Times New Roman"/>
                <w:color w:val="auto"/>
                <w:u w:val="single"/>
              </w:rPr>
              <w:t>浓度（μg/m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w:t>
            </w:r>
          </w:p>
        </w:tc>
        <w:tc>
          <w:tcPr>
            <w:tcW w:w="1417"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r>
              <w:rPr>
                <w:rFonts w:hint="default" w:ascii="Times New Roman" w:hAnsi="Times New Roman" w:cs="Times New Roman"/>
                <w:color w:val="auto"/>
                <w:u w:val="single"/>
              </w:rPr>
              <w:t>占标率（%）</w:t>
            </w:r>
          </w:p>
        </w:tc>
        <w:tc>
          <w:tcPr>
            <w:tcW w:w="184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S浓度（μg/m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w:t>
            </w:r>
          </w:p>
        </w:tc>
        <w:tc>
          <w:tcPr>
            <w:tcW w:w="1715"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09" w:type="dxa"/>
            <w:noWrap w:val="0"/>
            <w:vAlign w:val="center"/>
          </w:tcPr>
          <w:p>
            <w:pPr>
              <w:pStyle w:val="73"/>
              <w:rPr>
                <w:rFonts w:hint="default" w:ascii="Times New Roman" w:hAnsi="Times New Roman" w:cs="Times New Roman"/>
                <w:color w:val="auto"/>
                <w:sz w:val="22"/>
                <w:szCs w:val="22"/>
                <w:u w:val="single"/>
              </w:rPr>
            </w:pPr>
            <w:r>
              <w:rPr>
                <w:rFonts w:hint="default" w:ascii="Times New Roman" w:hAnsi="Times New Roman" w:cs="Times New Roman"/>
                <w:color w:val="auto"/>
                <w:sz w:val="22"/>
                <w:szCs w:val="22"/>
                <w:u w:val="single"/>
              </w:rPr>
              <w:t>10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eastAsia="宋体" w:cs="Times New Roman"/>
                <w:color w:val="auto"/>
                <w:sz w:val="22"/>
                <w:szCs w:val="22"/>
                <w:u w:val="single"/>
                <w:lang w:val="en-US" w:eastAsia="zh-CN"/>
              </w:rPr>
              <w:t>0.0000412</w:t>
            </w:r>
          </w:p>
        </w:tc>
        <w:tc>
          <w:tcPr>
            <w:tcW w:w="141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0.02</w:t>
            </w:r>
          </w:p>
        </w:tc>
        <w:tc>
          <w:tcPr>
            <w:tcW w:w="1843" w:type="dxa"/>
            <w:noWrap w:val="0"/>
            <w:vAlign w:val="center"/>
          </w:tcPr>
          <w:p>
            <w:pPr>
              <w:pStyle w:val="73"/>
              <w:ind w:firstLine="0" w:firstLineChars="0"/>
              <w:rPr>
                <w:rFonts w:hint="default" w:ascii="Times New Roman" w:hAnsi="Times New Roman" w:eastAsia="宋体" w:cs="Times New Roman"/>
                <w:color w:val="auto"/>
                <w:sz w:val="22"/>
                <w:szCs w:val="22"/>
                <w:u w:val="single"/>
                <w:lang w:val="en-US" w:eastAsia="zh-CN"/>
              </w:rPr>
            </w:pPr>
            <w:r>
              <w:rPr>
                <w:rFonts w:hint="default" w:ascii="Times New Roman" w:hAnsi="Times New Roman" w:eastAsia="宋体" w:cs="Times New Roman"/>
                <w:color w:val="auto"/>
                <w:sz w:val="22"/>
                <w:szCs w:val="22"/>
                <w:u w:val="single"/>
                <w:lang w:val="en-US" w:eastAsia="zh-CN"/>
              </w:rPr>
              <w:t>0.00000159</w:t>
            </w:r>
          </w:p>
        </w:tc>
        <w:tc>
          <w:tcPr>
            <w:tcW w:w="1715" w:type="dxa"/>
            <w:noWrap w:val="0"/>
            <w:vAlign w:val="center"/>
          </w:tcPr>
          <w:p>
            <w:pPr>
              <w:pStyle w:val="73"/>
              <w:ind w:firstLine="0" w:firstLineChars="0"/>
              <w:rPr>
                <w:rFonts w:hint="default" w:ascii="Times New Roman" w:hAnsi="Times New Roman" w:cs="Times New Roman"/>
                <w:color w:val="auto"/>
                <w:sz w:val="22"/>
                <w:szCs w:val="22"/>
                <w:u w:val="single"/>
                <w:lang w:val="en-US"/>
              </w:rPr>
            </w:pPr>
            <w:r>
              <w:rPr>
                <w:rFonts w:hint="default" w:ascii="Times New Roman" w:hAnsi="Times New Roman" w:cs="Times New Roman"/>
                <w:color w:val="auto"/>
                <w:sz w:val="22"/>
                <w:szCs w:val="22"/>
                <w:u w:val="singl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25</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eastAsia="宋体" w:cs="Times New Roman"/>
                <w:color w:val="auto"/>
                <w:sz w:val="22"/>
                <w:szCs w:val="22"/>
                <w:u w:val="single"/>
                <w:lang w:val="en-US" w:eastAsia="zh-CN"/>
              </w:rPr>
              <w:t>0.000273</w:t>
            </w:r>
          </w:p>
        </w:tc>
        <w:tc>
          <w:tcPr>
            <w:tcW w:w="1417" w:type="dxa"/>
            <w:noWrap w:val="0"/>
            <w:vAlign w:val="center"/>
          </w:tcPr>
          <w:p>
            <w:pPr>
              <w:pStyle w:val="73"/>
              <w:bidi w:val="0"/>
              <w:rPr>
                <w:rFonts w:hint="default" w:ascii="Times New Roman" w:hAnsi="Times New Roman" w:cs="Times New Roman"/>
                <w:color w:val="auto"/>
                <w:u w:val="single"/>
                <w:lang w:val="en-US"/>
              </w:rPr>
            </w:pPr>
            <w:r>
              <w:rPr>
                <w:rFonts w:hint="default" w:ascii="Times New Roman" w:hAnsi="Times New Roman" w:cs="Times New Roman"/>
                <w:color w:val="auto"/>
                <w:u w:val="single"/>
                <w:lang w:val="en-US" w:eastAsia="zh-CN"/>
              </w:rPr>
              <w:t>0.14</w:t>
            </w:r>
          </w:p>
        </w:tc>
        <w:tc>
          <w:tcPr>
            <w:tcW w:w="1843" w:type="dxa"/>
            <w:noWrap w:val="0"/>
            <w:vAlign w:val="center"/>
          </w:tcPr>
          <w:p>
            <w:pPr>
              <w:pStyle w:val="73"/>
              <w:ind w:firstLine="0" w:firstLineChars="0"/>
              <w:rPr>
                <w:rFonts w:hint="default" w:ascii="Times New Roman" w:hAnsi="Times New Roman" w:eastAsia="宋体" w:cs="Times New Roman"/>
                <w:color w:val="auto"/>
                <w:sz w:val="22"/>
                <w:szCs w:val="22"/>
                <w:u w:val="single"/>
                <w:lang w:val="en-US" w:eastAsia="zh-CN"/>
              </w:rPr>
            </w:pPr>
            <w:r>
              <w:rPr>
                <w:rFonts w:hint="default" w:ascii="Times New Roman" w:hAnsi="Times New Roman" w:eastAsia="宋体" w:cs="Times New Roman"/>
                <w:color w:val="auto"/>
                <w:sz w:val="22"/>
                <w:szCs w:val="22"/>
                <w:u w:val="single"/>
                <w:lang w:val="en-US" w:eastAsia="zh-CN"/>
              </w:rPr>
              <w:t>0.0000106</w:t>
            </w:r>
          </w:p>
        </w:tc>
        <w:tc>
          <w:tcPr>
            <w:tcW w:w="1715" w:type="dxa"/>
            <w:noWrap w:val="0"/>
            <w:vAlign w:val="center"/>
          </w:tcPr>
          <w:p>
            <w:pPr>
              <w:pStyle w:val="73"/>
              <w:bidi w:val="0"/>
              <w:ind w:firstLine="0" w:firstLineChars="0"/>
              <w:rPr>
                <w:rFonts w:hint="default" w:ascii="Times New Roman" w:hAnsi="Times New Roman" w:cs="Times New Roman"/>
                <w:color w:val="auto"/>
                <w:sz w:val="22"/>
                <w:szCs w:val="22"/>
                <w:u w:val="single"/>
                <w:lang w:val="en-US"/>
              </w:rPr>
            </w:pPr>
            <w:r>
              <w:rPr>
                <w:rFonts w:hint="default" w:ascii="Times New Roman" w:hAnsi="Times New Roman" w:cs="Times New Roman"/>
                <w:color w:val="auto"/>
                <w:u w:val="singl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50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eastAsia="宋体" w:cs="Times New Roman"/>
                <w:color w:val="auto"/>
                <w:sz w:val="22"/>
                <w:szCs w:val="22"/>
                <w:u w:val="single"/>
                <w:lang w:val="en-US" w:eastAsia="zh-CN"/>
              </w:rPr>
              <w:t>0.000404</w:t>
            </w:r>
          </w:p>
        </w:tc>
        <w:tc>
          <w:tcPr>
            <w:tcW w:w="1417" w:type="dxa"/>
            <w:noWrap w:val="0"/>
            <w:vAlign w:val="center"/>
          </w:tcPr>
          <w:p>
            <w:pPr>
              <w:pStyle w:val="73"/>
              <w:bidi w:val="0"/>
              <w:rPr>
                <w:rFonts w:hint="default" w:ascii="Times New Roman" w:hAnsi="Times New Roman" w:cs="Times New Roman"/>
                <w:color w:val="auto"/>
                <w:u w:val="single"/>
                <w:lang w:val="en-US"/>
              </w:rPr>
            </w:pPr>
            <w:r>
              <w:rPr>
                <w:rFonts w:hint="default" w:ascii="Times New Roman" w:hAnsi="Times New Roman" w:cs="Times New Roman"/>
                <w:color w:val="auto"/>
                <w:u w:val="single"/>
                <w:lang w:val="en-US" w:eastAsia="zh-CN"/>
              </w:rPr>
              <w:t>0.20</w:t>
            </w:r>
          </w:p>
        </w:tc>
        <w:tc>
          <w:tcPr>
            <w:tcW w:w="1843" w:type="dxa"/>
            <w:noWrap w:val="0"/>
            <w:vAlign w:val="center"/>
          </w:tcPr>
          <w:p>
            <w:pPr>
              <w:pStyle w:val="73"/>
              <w:ind w:firstLine="0" w:firstLineChars="0"/>
              <w:rPr>
                <w:rFonts w:hint="default" w:ascii="Times New Roman" w:hAnsi="Times New Roman" w:eastAsia="宋体" w:cs="Times New Roman"/>
                <w:color w:val="auto"/>
                <w:sz w:val="22"/>
                <w:szCs w:val="22"/>
                <w:u w:val="single"/>
                <w:lang w:val="en-US" w:eastAsia="zh-CN"/>
              </w:rPr>
            </w:pPr>
            <w:r>
              <w:rPr>
                <w:rFonts w:hint="default" w:ascii="Times New Roman" w:hAnsi="Times New Roman" w:eastAsia="宋体" w:cs="Times New Roman"/>
                <w:color w:val="auto"/>
                <w:sz w:val="22"/>
                <w:szCs w:val="22"/>
                <w:u w:val="single"/>
                <w:lang w:val="en-US" w:eastAsia="zh-CN"/>
              </w:rPr>
              <w:t>0.0000156</w:t>
            </w:r>
          </w:p>
        </w:tc>
        <w:tc>
          <w:tcPr>
            <w:tcW w:w="1715" w:type="dxa"/>
            <w:noWrap w:val="0"/>
            <w:vAlign w:val="center"/>
          </w:tcPr>
          <w:p>
            <w:pPr>
              <w:pStyle w:val="73"/>
              <w:bidi w:val="0"/>
              <w:ind w:firstLine="0" w:firstLineChars="0"/>
              <w:rPr>
                <w:rFonts w:hint="default" w:ascii="Times New Roman" w:hAnsi="Times New Roman" w:cs="Times New Roman"/>
                <w:color w:val="auto"/>
                <w:sz w:val="22"/>
                <w:szCs w:val="22"/>
                <w:u w:val="single"/>
                <w:lang w:val="en-US"/>
              </w:rPr>
            </w:pPr>
            <w:r>
              <w:rPr>
                <w:rFonts w:hint="default" w:ascii="Times New Roman" w:hAnsi="Times New Roman" w:cs="Times New Roman"/>
                <w:color w:val="auto"/>
                <w:u w:val="single"/>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100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eastAsia="宋体" w:cs="Times New Roman"/>
                <w:color w:val="auto"/>
                <w:sz w:val="22"/>
                <w:szCs w:val="22"/>
                <w:u w:val="single"/>
                <w:lang w:val="en-US" w:eastAsia="zh-CN"/>
              </w:rPr>
              <w:t>0.000875</w:t>
            </w:r>
          </w:p>
        </w:tc>
        <w:tc>
          <w:tcPr>
            <w:tcW w:w="1417" w:type="dxa"/>
            <w:noWrap w:val="0"/>
            <w:vAlign w:val="center"/>
          </w:tcPr>
          <w:p>
            <w:pPr>
              <w:pStyle w:val="73"/>
              <w:bidi w:val="0"/>
              <w:rPr>
                <w:rFonts w:hint="default" w:ascii="Times New Roman" w:hAnsi="Times New Roman" w:cs="Times New Roman"/>
                <w:color w:val="auto"/>
                <w:u w:val="single"/>
                <w:lang w:val="en-US"/>
              </w:rPr>
            </w:pPr>
            <w:r>
              <w:rPr>
                <w:rFonts w:hint="default" w:ascii="Times New Roman" w:hAnsi="Times New Roman" w:cs="Times New Roman"/>
                <w:color w:val="FF0000"/>
                <w:u w:val="single"/>
                <w:lang w:val="en-US" w:eastAsia="zh-CN"/>
              </w:rPr>
              <w:t>0.44</w:t>
            </w:r>
          </w:p>
        </w:tc>
        <w:tc>
          <w:tcPr>
            <w:tcW w:w="1843" w:type="dxa"/>
            <w:noWrap w:val="0"/>
            <w:vAlign w:val="center"/>
          </w:tcPr>
          <w:p>
            <w:pPr>
              <w:pStyle w:val="73"/>
              <w:ind w:firstLine="0" w:firstLineChars="0"/>
              <w:rPr>
                <w:rFonts w:hint="default" w:ascii="Times New Roman" w:hAnsi="Times New Roman" w:eastAsia="宋体" w:cs="Times New Roman"/>
                <w:color w:val="auto"/>
                <w:sz w:val="22"/>
                <w:szCs w:val="22"/>
                <w:u w:val="single"/>
                <w:lang w:val="en-US" w:eastAsia="zh-CN"/>
              </w:rPr>
            </w:pPr>
            <w:r>
              <w:rPr>
                <w:rFonts w:hint="default" w:ascii="Times New Roman" w:hAnsi="Times New Roman" w:eastAsia="宋体" w:cs="Times New Roman"/>
                <w:color w:val="auto"/>
                <w:sz w:val="22"/>
                <w:szCs w:val="22"/>
                <w:u w:val="single"/>
                <w:lang w:val="en-US" w:eastAsia="zh-CN"/>
              </w:rPr>
              <w:t>0.0000339</w:t>
            </w:r>
          </w:p>
        </w:tc>
        <w:tc>
          <w:tcPr>
            <w:tcW w:w="1715" w:type="dxa"/>
            <w:noWrap w:val="0"/>
            <w:vAlign w:val="center"/>
          </w:tcPr>
          <w:p>
            <w:pPr>
              <w:pStyle w:val="120"/>
              <w:bidi w:val="0"/>
              <w:rPr>
                <w:rFonts w:hint="default" w:ascii="Times New Roman" w:hAnsi="Times New Roman" w:cs="Times New Roman"/>
                <w:u w:val="single"/>
                <w:lang w:val="en-US"/>
              </w:rPr>
            </w:pPr>
            <w:r>
              <w:rPr>
                <w:rFonts w:hint="default" w:ascii="Times New Roman" w:hAnsi="Times New Roman" w:cs="Times New Roman"/>
                <w:color w:val="FF0000"/>
                <w:u w:val="single"/>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113</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eastAsia="宋体" w:cs="Times New Roman"/>
                <w:color w:val="FF0000"/>
                <w:sz w:val="22"/>
                <w:szCs w:val="22"/>
                <w:u w:val="single"/>
                <w:lang w:val="en-US" w:eastAsia="zh-CN"/>
              </w:rPr>
              <w:t>0.000889</w:t>
            </w:r>
          </w:p>
        </w:tc>
        <w:tc>
          <w:tcPr>
            <w:tcW w:w="1417" w:type="dxa"/>
            <w:noWrap w:val="0"/>
            <w:vAlign w:val="center"/>
          </w:tcPr>
          <w:p>
            <w:pPr>
              <w:pStyle w:val="73"/>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0.44</w:t>
            </w:r>
          </w:p>
        </w:tc>
        <w:tc>
          <w:tcPr>
            <w:tcW w:w="1843" w:type="dxa"/>
            <w:noWrap w:val="0"/>
            <w:vAlign w:val="center"/>
          </w:tcPr>
          <w:p>
            <w:pPr>
              <w:pStyle w:val="73"/>
              <w:ind w:firstLine="0" w:firstLineChars="0"/>
              <w:rPr>
                <w:rFonts w:hint="default" w:ascii="Times New Roman" w:hAnsi="Times New Roman" w:eastAsia="宋体" w:cs="Times New Roman"/>
                <w:color w:val="auto"/>
                <w:sz w:val="22"/>
                <w:szCs w:val="22"/>
                <w:u w:val="single"/>
                <w:lang w:val="en-US" w:eastAsia="zh-CN"/>
              </w:rPr>
            </w:pPr>
            <w:r>
              <w:rPr>
                <w:rFonts w:hint="default" w:ascii="Times New Roman" w:hAnsi="Times New Roman" w:eastAsia="宋体" w:cs="Times New Roman"/>
                <w:color w:val="FF0000"/>
                <w:sz w:val="22"/>
                <w:szCs w:val="22"/>
                <w:u w:val="single"/>
                <w:lang w:val="en-US" w:eastAsia="zh-CN"/>
              </w:rPr>
              <w:t>0.0000344</w:t>
            </w:r>
          </w:p>
        </w:tc>
        <w:tc>
          <w:tcPr>
            <w:tcW w:w="1715" w:type="dxa"/>
            <w:noWrap w:val="0"/>
            <w:vAlign w:val="center"/>
          </w:tcPr>
          <w:p>
            <w:pPr>
              <w:pStyle w:val="120"/>
              <w:bidi w:val="0"/>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200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0.000706</w:t>
            </w:r>
          </w:p>
        </w:tc>
        <w:tc>
          <w:tcPr>
            <w:tcW w:w="1417" w:type="dxa"/>
            <w:noWrap w:val="0"/>
            <w:vAlign w:val="center"/>
          </w:tcPr>
          <w:p>
            <w:pPr>
              <w:pStyle w:val="73"/>
              <w:bidi w:val="0"/>
              <w:rPr>
                <w:rFonts w:hint="default" w:ascii="Times New Roman" w:hAnsi="Times New Roman" w:cs="Times New Roman"/>
                <w:color w:val="auto"/>
                <w:u w:val="single"/>
                <w:lang w:val="en-US"/>
              </w:rPr>
            </w:pPr>
            <w:r>
              <w:rPr>
                <w:rFonts w:hint="default" w:ascii="Times New Roman" w:hAnsi="Times New Roman" w:cs="Times New Roman"/>
                <w:color w:val="auto"/>
                <w:u w:val="single"/>
                <w:lang w:val="en-US" w:eastAsia="zh-CN"/>
              </w:rPr>
              <w:t>0.35</w:t>
            </w:r>
          </w:p>
        </w:tc>
        <w:tc>
          <w:tcPr>
            <w:tcW w:w="1843" w:type="dxa"/>
            <w:noWrap w:val="0"/>
            <w:vAlign w:val="center"/>
          </w:tcPr>
          <w:p>
            <w:pPr>
              <w:pStyle w:val="73"/>
              <w:ind w:firstLine="0" w:firstLineChars="0"/>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0.0000273</w:t>
            </w:r>
          </w:p>
        </w:tc>
        <w:tc>
          <w:tcPr>
            <w:tcW w:w="1715" w:type="dxa"/>
            <w:noWrap w:val="0"/>
            <w:vAlign w:val="center"/>
          </w:tcPr>
          <w:p>
            <w:pPr>
              <w:pStyle w:val="120"/>
              <w:bidi w:val="0"/>
              <w:rPr>
                <w:rFonts w:hint="default" w:ascii="Times New Roman" w:hAnsi="Times New Roman" w:cs="Times New Roman"/>
                <w:u w:val="single"/>
                <w:lang w:val="en-US"/>
              </w:rPr>
            </w:pPr>
            <w:r>
              <w:rPr>
                <w:rFonts w:hint="default" w:ascii="Times New Roman" w:hAnsi="Times New Roman" w:cs="Times New Roman"/>
                <w:u w:val="single"/>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300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0.000500</w:t>
            </w:r>
          </w:p>
        </w:tc>
        <w:tc>
          <w:tcPr>
            <w:tcW w:w="1417" w:type="dxa"/>
            <w:noWrap w:val="0"/>
            <w:vAlign w:val="center"/>
          </w:tcPr>
          <w:p>
            <w:pPr>
              <w:pStyle w:val="73"/>
              <w:bidi w:val="0"/>
              <w:rPr>
                <w:rFonts w:hint="default" w:ascii="Times New Roman" w:hAnsi="Times New Roman" w:cs="Times New Roman"/>
                <w:color w:val="auto"/>
                <w:u w:val="single"/>
                <w:lang w:val="en-US"/>
              </w:rPr>
            </w:pPr>
            <w:r>
              <w:rPr>
                <w:rFonts w:hint="default" w:ascii="Times New Roman" w:hAnsi="Times New Roman" w:cs="Times New Roman"/>
                <w:color w:val="auto"/>
                <w:u w:val="single"/>
                <w:lang w:val="en-US" w:eastAsia="zh-CN"/>
              </w:rPr>
              <w:t>0.25</w:t>
            </w:r>
          </w:p>
        </w:tc>
        <w:tc>
          <w:tcPr>
            <w:tcW w:w="1843" w:type="dxa"/>
            <w:noWrap w:val="0"/>
            <w:vAlign w:val="center"/>
          </w:tcPr>
          <w:p>
            <w:pPr>
              <w:pStyle w:val="73"/>
              <w:ind w:firstLine="0" w:firstLineChars="0"/>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0.0000194</w:t>
            </w:r>
          </w:p>
        </w:tc>
        <w:tc>
          <w:tcPr>
            <w:tcW w:w="1715" w:type="dxa"/>
            <w:noWrap w:val="0"/>
            <w:vAlign w:val="center"/>
          </w:tcPr>
          <w:p>
            <w:pPr>
              <w:pStyle w:val="120"/>
              <w:bidi w:val="0"/>
              <w:rPr>
                <w:rFonts w:hint="default" w:ascii="Times New Roman" w:hAnsi="Times New Roman" w:cs="Times New Roman"/>
                <w:u w:val="single"/>
                <w:lang w:val="en-US"/>
              </w:rPr>
            </w:pPr>
            <w:r>
              <w:rPr>
                <w:rFonts w:hint="default" w:ascii="Times New Roman" w:hAnsi="Times New Roman" w:cs="Times New Roman"/>
                <w:u w:val="single"/>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400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0.000369</w:t>
            </w:r>
          </w:p>
        </w:tc>
        <w:tc>
          <w:tcPr>
            <w:tcW w:w="1417" w:type="dxa"/>
            <w:noWrap w:val="0"/>
            <w:vAlign w:val="center"/>
          </w:tcPr>
          <w:p>
            <w:pPr>
              <w:pStyle w:val="73"/>
              <w:bidi w:val="0"/>
              <w:rPr>
                <w:rFonts w:hint="default" w:ascii="Times New Roman" w:hAnsi="Times New Roman" w:cs="Times New Roman"/>
                <w:color w:val="auto"/>
                <w:u w:val="single"/>
                <w:lang w:val="en-US"/>
              </w:rPr>
            </w:pPr>
            <w:r>
              <w:rPr>
                <w:rFonts w:hint="default" w:ascii="Times New Roman" w:hAnsi="Times New Roman" w:cs="Times New Roman"/>
                <w:color w:val="auto"/>
                <w:u w:val="single"/>
                <w:lang w:val="en-US" w:eastAsia="zh-CN"/>
              </w:rPr>
              <w:t>0.18</w:t>
            </w:r>
          </w:p>
        </w:tc>
        <w:tc>
          <w:tcPr>
            <w:tcW w:w="1843" w:type="dxa"/>
            <w:noWrap w:val="0"/>
            <w:vAlign w:val="center"/>
          </w:tcPr>
          <w:p>
            <w:pPr>
              <w:pStyle w:val="73"/>
              <w:ind w:firstLine="0" w:firstLineChars="0"/>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0.0000143</w:t>
            </w:r>
          </w:p>
        </w:tc>
        <w:tc>
          <w:tcPr>
            <w:tcW w:w="1715" w:type="dxa"/>
            <w:noWrap w:val="0"/>
            <w:vAlign w:val="center"/>
          </w:tcPr>
          <w:p>
            <w:pPr>
              <w:pStyle w:val="120"/>
              <w:bidi w:val="0"/>
              <w:rPr>
                <w:rFonts w:hint="default" w:ascii="Times New Roman" w:hAnsi="Times New Roman" w:cs="Times New Roman"/>
                <w:u w:val="single"/>
                <w:lang w:val="en-US"/>
              </w:rPr>
            </w:pPr>
            <w:r>
              <w:rPr>
                <w:rFonts w:hint="default" w:ascii="Times New Roman" w:hAnsi="Times New Roman" w:cs="Times New Roman"/>
                <w:u w:val="single"/>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500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0.000285</w:t>
            </w:r>
          </w:p>
        </w:tc>
        <w:tc>
          <w:tcPr>
            <w:tcW w:w="1417" w:type="dxa"/>
            <w:noWrap w:val="0"/>
            <w:vAlign w:val="center"/>
          </w:tcPr>
          <w:p>
            <w:pPr>
              <w:pStyle w:val="73"/>
              <w:bidi w:val="0"/>
              <w:rPr>
                <w:rFonts w:hint="default" w:ascii="Times New Roman" w:hAnsi="Times New Roman" w:cs="Times New Roman"/>
                <w:color w:val="auto"/>
                <w:u w:val="single"/>
                <w:lang w:val="en-US"/>
              </w:rPr>
            </w:pPr>
            <w:r>
              <w:rPr>
                <w:rFonts w:hint="default" w:ascii="Times New Roman" w:hAnsi="Times New Roman" w:cs="Times New Roman"/>
                <w:color w:val="auto"/>
                <w:u w:val="single"/>
                <w:lang w:val="en-US" w:eastAsia="zh-CN"/>
              </w:rPr>
              <w:t>0.14</w:t>
            </w:r>
          </w:p>
        </w:tc>
        <w:tc>
          <w:tcPr>
            <w:tcW w:w="1843" w:type="dxa"/>
            <w:noWrap w:val="0"/>
            <w:vAlign w:val="center"/>
          </w:tcPr>
          <w:p>
            <w:pPr>
              <w:pStyle w:val="73"/>
              <w:ind w:firstLine="0" w:firstLineChars="0"/>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0.0000110</w:t>
            </w:r>
          </w:p>
        </w:tc>
        <w:tc>
          <w:tcPr>
            <w:tcW w:w="1715" w:type="dxa"/>
            <w:noWrap w:val="0"/>
            <w:vAlign w:val="center"/>
          </w:tcPr>
          <w:p>
            <w:pPr>
              <w:pStyle w:val="120"/>
              <w:bidi w:val="0"/>
              <w:rPr>
                <w:rFonts w:hint="default" w:ascii="Times New Roman" w:hAnsi="Times New Roman" w:cs="Times New Roman"/>
                <w:u w:val="single"/>
                <w:lang w:val="en-US"/>
              </w:rPr>
            </w:pPr>
            <w:r>
              <w:rPr>
                <w:rFonts w:hint="default" w:ascii="Times New Roman" w:hAnsi="Times New Roman" w:cs="Times New Roman"/>
                <w:u w:val="singl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1000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0.0000125</w:t>
            </w:r>
          </w:p>
        </w:tc>
        <w:tc>
          <w:tcPr>
            <w:tcW w:w="1417" w:type="dxa"/>
            <w:noWrap w:val="0"/>
            <w:vAlign w:val="center"/>
          </w:tcPr>
          <w:p>
            <w:pPr>
              <w:pStyle w:val="120"/>
              <w:bidi w:val="0"/>
              <w:rPr>
                <w:rFonts w:hint="default" w:ascii="Times New Roman" w:hAnsi="Times New Roman" w:cs="Times New Roman"/>
                <w:u w:val="single"/>
                <w:lang w:val="en-US"/>
              </w:rPr>
            </w:pPr>
            <w:r>
              <w:rPr>
                <w:rFonts w:hint="default" w:ascii="Times New Roman" w:hAnsi="Times New Roman" w:cs="Times New Roman"/>
                <w:u w:val="single"/>
                <w:lang w:val="en-US" w:eastAsia="zh-CN"/>
              </w:rPr>
              <w:t>0.06</w:t>
            </w:r>
          </w:p>
        </w:tc>
        <w:tc>
          <w:tcPr>
            <w:tcW w:w="1843"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0.000000484</w:t>
            </w:r>
          </w:p>
        </w:tc>
        <w:tc>
          <w:tcPr>
            <w:tcW w:w="1715" w:type="dxa"/>
            <w:noWrap w:val="0"/>
            <w:vAlign w:val="center"/>
          </w:tcPr>
          <w:p>
            <w:pPr>
              <w:pStyle w:val="120"/>
              <w:bidi w:val="0"/>
              <w:rPr>
                <w:rFonts w:hint="default" w:ascii="Times New Roman" w:hAnsi="Times New Roman" w:cs="Times New Roman"/>
                <w:u w:val="single"/>
                <w:lang w:val="en-US"/>
              </w:rPr>
            </w:pPr>
            <w:r>
              <w:rPr>
                <w:rFonts w:hint="default" w:ascii="Times New Roman" w:hAnsi="Times New Roman" w:cs="Times New Roman"/>
                <w:u w:val="singl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1500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0.00000756</w:t>
            </w:r>
          </w:p>
        </w:tc>
        <w:tc>
          <w:tcPr>
            <w:tcW w:w="1417" w:type="dxa"/>
            <w:noWrap w:val="0"/>
            <w:vAlign w:val="center"/>
          </w:tcPr>
          <w:p>
            <w:pPr>
              <w:pStyle w:val="120"/>
              <w:bidi w:val="0"/>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0.04</w:t>
            </w:r>
          </w:p>
        </w:tc>
        <w:tc>
          <w:tcPr>
            <w:tcW w:w="1843"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0.000000293</w:t>
            </w:r>
          </w:p>
        </w:tc>
        <w:tc>
          <w:tcPr>
            <w:tcW w:w="1715" w:type="dxa"/>
            <w:noWrap w:val="0"/>
            <w:vAlign w:val="center"/>
          </w:tcPr>
          <w:p>
            <w:pPr>
              <w:pStyle w:val="120"/>
              <w:bidi w:val="0"/>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809" w:type="dxa"/>
            <w:noWrap w:val="0"/>
            <w:vAlign w:val="center"/>
          </w:tcPr>
          <w:p>
            <w:pPr>
              <w:pStyle w:val="73"/>
              <w:rPr>
                <w:rFonts w:hint="default" w:ascii="Times New Roman" w:hAnsi="Times New Roman" w:cs="Times New Roman"/>
                <w:color w:val="auto"/>
                <w:sz w:val="22"/>
                <w:szCs w:val="22"/>
                <w:u w:val="single"/>
              </w:rPr>
            </w:pPr>
            <w:r>
              <w:rPr>
                <w:rFonts w:hint="default" w:ascii="Times New Roman" w:hAnsi="Times New Roman" w:cs="Times New Roman"/>
                <w:color w:val="auto"/>
                <w:sz w:val="22"/>
                <w:szCs w:val="22"/>
                <w:u w:val="single"/>
              </w:rPr>
              <w:t>2000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0.00000521</w:t>
            </w:r>
          </w:p>
        </w:tc>
        <w:tc>
          <w:tcPr>
            <w:tcW w:w="1417" w:type="dxa"/>
            <w:noWrap w:val="0"/>
            <w:vAlign w:val="center"/>
          </w:tcPr>
          <w:p>
            <w:pPr>
              <w:pStyle w:val="120"/>
              <w:bidi w:val="0"/>
              <w:rPr>
                <w:rFonts w:hint="default" w:ascii="Times New Roman" w:hAnsi="Times New Roman" w:cs="Times New Roman"/>
                <w:u w:val="single"/>
                <w:lang w:val="en-US"/>
              </w:rPr>
            </w:pPr>
            <w:r>
              <w:rPr>
                <w:rFonts w:hint="default" w:ascii="Times New Roman" w:hAnsi="Times New Roman" w:cs="Times New Roman"/>
                <w:u w:val="single"/>
                <w:lang w:val="en-US" w:eastAsia="zh-CN"/>
              </w:rPr>
              <w:t>0.03</w:t>
            </w:r>
          </w:p>
        </w:tc>
        <w:tc>
          <w:tcPr>
            <w:tcW w:w="1843"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0.000000202</w:t>
            </w:r>
          </w:p>
        </w:tc>
        <w:tc>
          <w:tcPr>
            <w:tcW w:w="1715" w:type="dxa"/>
            <w:noWrap w:val="0"/>
            <w:vAlign w:val="center"/>
          </w:tcPr>
          <w:p>
            <w:pPr>
              <w:pStyle w:val="120"/>
              <w:bidi w:val="0"/>
              <w:rPr>
                <w:rFonts w:hint="default" w:ascii="Times New Roman" w:hAnsi="Times New Roman" w:cs="Times New Roman"/>
                <w:u w:val="single"/>
                <w:lang w:val="en-US"/>
              </w:rPr>
            </w:pPr>
            <w:r>
              <w:rPr>
                <w:rFonts w:hint="default" w:ascii="Times New Roman" w:hAnsi="Times New Roman" w:cs="Times New Roman"/>
                <w:u w:val="singl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809" w:type="dxa"/>
            <w:noWrap w:val="0"/>
            <w:vAlign w:val="center"/>
          </w:tcPr>
          <w:p>
            <w:pPr>
              <w:pStyle w:val="73"/>
              <w:rPr>
                <w:rFonts w:hint="default" w:ascii="Times New Roman" w:hAnsi="Times New Roman" w:cs="Times New Roman"/>
                <w:color w:val="auto"/>
                <w:sz w:val="22"/>
                <w:szCs w:val="22"/>
                <w:u w:val="single"/>
              </w:rPr>
            </w:pPr>
            <w:r>
              <w:rPr>
                <w:rFonts w:hint="default" w:ascii="Times New Roman" w:hAnsi="Times New Roman" w:cs="Times New Roman"/>
                <w:color w:val="auto"/>
                <w:sz w:val="22"/>
                <w:szCs w:val="22"/>
                <w:u w:val="single"/>
              </w:rPr>
              <w:t>2500</w:t>
            </w:r>
          </w:p>
        </w:tc>
        <w:tc>
          <w:tcPr>
            <w:tcW w:w="2127"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0.00000387</w:t>
            </w:r>
          </w:p>
        </w:tc>
        <w:tc>
          <w:tcPr>
            <w:tcW w:w="1417" w:type="dxa"/>
            <w:noWrap w:val="0"/>
            <w:vAlign w:val="center"/>
          </w:tcPr>
          <w:p>
            <w:pPr>
              <w:pStyle w:val="73"/>
              <w:bidi w:val="0"/>
              <w:rPr>
                <w:rFonts w:hint="default" w:ascii="Times New Roman" w:hAnsi="Times New Roman" w:cs="Times New Roman"/>
                <w:color w:val="auto"/>
                <w:u w:val="single"/>
                <w:lang w:val="en-US"/>
              </w:rPr>
            </w:pPr>
            <w:r>
              <w:rPr>
                <w:rFonts w:hint="default" w:ascii="Times New Roman" w:hAnsi="Times New Roman" w:cs="Times New Roman"/>
                <w:color w:val="auto"/>
                <w:u w:val="single"/>
                <w:lang w:val="en-US" w:eastAsia="zh-CN"/>
              </w:rPr>
              <w:t>0.02</w:t>
            </w:r>
          </w:p>
        </w:tc>
        <w:tc>
          <w:tcPr>
            <w:tcW w:w="1843"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0.000000150</w:t>
            </w:r>
          </w:p>
        </w:tc>
        <w:tc>
          <w:tcPr>
            <w:tcW w:w="1715" w:type="dxa"/>
            <w:noWrap w:val="0"/>
            <w:vAlign w:val="center"/>
          </w:tcPr>
          <w:p>
            <w:pPr>
              <w:pStyle w:val="120"/>
              <w:bidi w:val="0"/>
              <w:rPr>
                <w:rFonts w:hint="default" w:ascii="Times New Roman" w:hAnsi="Times New Roman" w:cs="Times New Roman"/>
                <w:u w:val="single"/>
                <w:lang w:val="en-US"/>
              </w:rPr>
            </w:pPr>
            <w:r>
              <w:rPr>
                <w:rFonts w:hint="default" w:ascii="Times New Roman" w:hAnsi="Times New Roman" w:cs="Times New Roman"/>
                <w:u w:val="singl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下风向最大浓度</w:t>
            </w:r>
          </w:p>
        </w:tc>
        <w:tc>
          <w:tcPr>
            <w:tcW w:w="3544" w:type="dxa"/>
            <w:gridSpan w:val="2"/>
            <w:noWrap w:val="0"/>
            <w:vAlign w:val="center"/>
          </w:tcPr>
          <w:p>
            <w:pPr>
              <w:pStyle w:val="73"/>
              <w:rPr>
                <w:rFonts w:hint="default" w:ascii="Times New Roman" w:hAnsi="Times New Roman" w:cs="Times New Roman"/>
                <w:color w:val="auto"/>
                <w:sz w:val="22"/>
                <w:szCs w:val="22"/>
                <w:u w:val="single"/>
                <w:lang w:val="en-US"/>
              </w:rPr>
            </w:pPr>
            <w:r>
              <w:rPr>
                <w:rFonts w:hint="default" w:ascii="Times New Roman" w:hAnsi="Times New Roman" w:cs="Times New Roman"/>
                <w:color w:val="auto"/>
                <w:u w:val="single"/>
                <w:lang w:val="en-US" w:eastAsia="zh-CN"/>
              </w:rPr>
              <w:t>0.000889</w:t>
            </w:r>
          </w:p>
        </w:tc>
        <w:tc>
          <w:tcPr>
            <w:tcW w:w="3558" w:type="dxa"/>
            <w:gridSpan w:val="2"/>
            <w:noWrap w:val="0"/>
            <w:vAlign w:val="center"/>
          </w:tcPr>
          <w:p>
            <w:pPr>
              <w:pStyle w:val="73"/>
              <w:rPr>
                <w:rFonts w:hint="default" w:ascii="Times New Roman" w:hAnsi="Times New Roman" w:cs="Times New Roman"/>
                <w:color w:val="auto"/>
                <w:sz w:val="22"/>
                <w:szCs w:val="22"/>
                <w:u w:val="single"/>
                <w:lang w:val="en-US"/>
              </w:rPr>
            </w:pPr>
            <w:r>
              <w:rPr>
                <w:rFonts w:hint="default" w:ascii="Times New Roman" w:hAnsi="Times New Roman" w:cs="Times New Roman"/>
                <w:color w:val="auto"/>
                <w:u w:val="single"/>
                <w:lang w:val="en-US" w:eastAsia="zh-CN"/>
              </w:rPr>
              <w:t>0.0000344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下风向最大浓度出现距离</w:t>
            </w:r>
          </w:p>
        </w:tc>
        <w:tc>
          <w:tcPr>
            <w:tcW w:w="3544" w:type="dxa"/>
            <w:gridSpan w:val="2"/>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113</w:t>
            </w:r>
          </w:p>
        </w:tc>
        <w:tc>
          <w:tcPr>
            <w:tcW w:w="3558" w:type="dxa"/>
            <w:gridSpan w:val="2"/>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113</w:t>
            </w:r>
          </w:p>
        </w:tc>
      </w:tr>
    </w:tbl>
    <w:p>
      <w:pPr>
        <w:keepNext w:val="0"/>
        <w:keepLines w:val="0"/>
        <w:widowControl/>
        <w:suppressLineNumbers w:val="0"/>
        <w:ind w:left="0" w:leftChars="0" w:firstLine="0" w:firstLineChars="0"/>
        <w:jc w:val="center"/>
        <w:rPr>
          <w:rFonts w:hint="eastAsia" w:eastAsia="宋体"/>
          <w:color w:val="auto"/>
          <w:u w:val="single"/>
          <w:lang w:eastAsia="zh-CN"/>
        </w:rPr>
      </w:pPr>
      <w:r>
        <w:rPr>
          <w:u w:val="single"/>
        </w:rPr>
        <w:drawing>
          <wp:inline distT="0" distB="0" distL="114300" distR="114300">
            <wp:extent cx="4502150" cy="2811780"/>
            <wp:effectExtent l="0" t="0" r="8890" b="7620"/>
            <wp:docPr id="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7"/>
                    <pic:cNvPicPr>
                      <a:picLocks noChangeAspect="1"/>
                    </pic:cNvPicPr>
                  </pic:nvPicPr>
                  <pic:blipFill>
                    <a:blip r:embed="rId43"/>
                    <a:stretch>
                      <a:fillRect/>
                    </a:stretch>
                  </pic:blipFill>
                  <pic:spPr>
                    <a:xfrm>
                      <a:off x="0" y="0"/>
                      <a:ext cx="4502150" cy="2811780"/>
                    </a:xfrm>
                    <a:prstGeom prst="rect">
                      <a:avLst/>
                    </a:prstGeom>
                    <a:noFill/>
                    <a:ln>
                      <a:noFill/>
                    </a:ln>
                  </pic:spPr>
                </pic:pic>
              </a:graphicData>
            </a:graphic>
          </wp:inline>
        </w:drawing>
      </w:r>
    </w:p>
    <w:p>
      <w:pPr>
        <w:ind w:firstLine="175" w:firstLineChars="83"/>
        <w:jc w:val="center"/>
        <w:rPr>
          <w:b/>
          <w:color w:val="auto"/>
          <w:kern w:val="0"/>
          <w:sz w:val="21"/>
          <w:szCs w:val="21"/>
          <w:u w:val="single"/>
        </w:rPr>
      </w:pPr>
      <w:r>
        <w:rPr>
          <w:rFonts w:hint="eastAsia"/>
          <w:b/>
          <w:color w:val="auto"/>
          <w:kern w:val="0"/>
          <w:sz w:val="21"/>
          <w:szCs w:val="21"/>
          <w:u w:val="single"/>
        </w:rPr>
        <w:t>图4.</w:t>
      </w:r>
      <w:r>
        <w:rPr>
          <w:b/>
          <w:color w:val="auto"/>
          <w:kern w:val="0"/>
          <w:sz w:val="21"/>
          <w:szCs w:val="21"/>
          <w:u w:val="single"/>
        </w:rPr>
        <w:t>2</w:t>
      </w:r>
      <w:r>
        <w:rPr>
          <w:rFonts w:hint="eastAsia"/>
          <w:b/>
          <w:color w:val="auto"/>
          <w:kern w:val="0"/>
          <w:sz w:val="21"/>
          <w:szCs w:val="21"/>
          <w:u w:val="single"/>
        </w:rPr>
        <w:t>-</w:t>
      </w:r>
      <w:r>
        <w:rPr>
          <w:rFonts w:hint="eastAsia"/>
          <w:b/>
          <w:color w:val="auto"/>
          <w:kern w:val="0"/>
          <w:sz w:val="21"/>
          <w:szCs w:val="21"/>
          <w:u w:val="single"/>
          <w:lang w:val="en-US" w:eastAsia="zh-CN"/>
        </w:rPr>
        <w:t>1</w:t>
      </w:r>
      <w:r>
        <w:rPr>
          <w:b/>
          <w:color w:val="auto"/>
          <w:kern w:val="0"/>
          <w:sz w:val="21"/>
          <w:szCs w:val="21"/>
          <w:u w:val="single"/>
        </w:rPr>
        <w:t xml:space="preserve"> </w:t>
      </w:r>
      <w:r>
        <w:rPr>
          <w:rFonts w:hint="eastAsia"/>
          <w:b/>
          <w:color w:val="auto"/>
          <w:kern w:val="0"/>
          <w:sz w:val="21"/>
          <w:szCs w:val="21"/>
          <w:u w:val="single"/>
        </w:rPr>
        <w:t>大气预测结果图</w:t>
      </w:r>
    </w:p>
    <w:p>
      <w:pPr>
        <w:ind w:firstLine="422"/>
        <w:jc w:val="center"/>
        <w:rPr>
          <w:b/>
          <w:color w:val="auto"/>
          <w:kern w:val="0"/>
          <w:sz w:val="21"/>
          <w:szCs w:val="21"/>
          <w:u w:val="single"/>
        </w:rPr>
      </w:pPr>
      <w:r>
        <w:rPr>
          <w:rFonts w:hint="eastAsia"/>
          <w:b/>
          <w:color w:val="auto"/>
          <w:kern w:val="0"/>
          <w:sz w:val="21"/>
          <w:szCs w:val="21"/>
          <w:u w:val="single"/>
        </w:rPr>
        <w:t>表4.</w:t>
      </w:r>
      <w:r>
        <w:rPr>
          <w:b/>
          <w:color w:val="auto"/>
          <w:kern w:val="0"/>
          <w:sz w:val="21"/>
          <w:szCs w:val="21"/>
          <w:u w:val="single"/>
        </w:rPr>
        <w:t>2</w:t>
      </w:r>
      <w:r>
        <w:rPr>
          <w:rFonts w:hint="eastAsia"/>
          <w:b/>
          <w:color w:val="auto"/>
          <w:kern w:val="0"/>
          <w:sz w:val="21"/>
          <w:szCs w:val="21"/>
          <w:u w:val="single"/>
        </w:rPr>
        <w:t>-</w:t>
      </w:r>
      <w:r>
        <w:rPr>
          <w:rFonts w:hint="eastAsia"/>
          <w:b/>
          <w:color w:val="auto"/>
          <w:kern w:val="0"/>
          <w:sz w:val="21"/>
          <w:szCs w:val="21"/>
          <w:u w:val="single"/>
          <w:lang w:val="en-US" w:eastAsia="zh-CN"/>
        </w:rPr>
        <w:t>7</w:t>
      </w:r>
      <w:r>
        <w:rPr>
          <w:b/>
          <w:color w:val="auto"/>
          <w:kern w:val="0"/>
          <w:sz w:val="21"/>
          <w:szCs w:val="21"/>
          <w:u w:val="single"/>
        </w:rPr>
        <w:t xml:space="preserve"> </w:t>
      </w:r>
      <w:r>
        <w:rPr>
          <w:rFonts w:hint="eastAsia"/>
          <w:b/>
          <w:color w:val="auto"/>
          <w:kern w:val="0"/>
          <w:sz w:val="21"/>
          <w:szCs w:val="21"/>
          <w:u w:val="single"/>
        </w:rPr>
        <w:t>项目有组织各项污染物最大占标率和落地浓度（非正常工况）</w:t>
      </w:r>
    </w:p>
    <w:tbl>
      <w:tblPr>
        <w:tblStyle w:val="36"/>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2009"/>
        <w:gridCol w:w="1338"/>
        <w:gridCol w:w="1741"/>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下方向距离(m)</w:t>
            </w:r>
          </w:p>
        </w:tc>
        <w:tc>
          <w:tcPr>
            <w:tcW w:w="6710" w:type="dxa"/>
            <w:gridSpan w:val="4"/>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臭气处理设施1#排气筒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709" w:type="dxa"/>
            <w:vMerge w:val="continue"/>
            <w:noWrap w:val="0"/>
            <w:vAlign w:val="center"/>
          </w:tcPr>
          <w:p>
            <w:pPr>
              <w:pStyle w:val="73"/>
              <w:rPr>
                <w:rFonts w:hint="default" w:ascii="Times New Roman" w:hAnsi="Times New Roman" w:cs="Times New Roman"/>
                <w:color w:val="auto"/>
                <w:u w:val="single"/>
              </w:rPr>
            </w:pPr>
          </w:p>
        </w:tc>
        <w:tc>
          <w:tcPr>
            <w:tcW w:w="20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r>
              <w:rPr>
                <w:rFonts w:hint="default" w:ascii="Times New Roman" w:hAnsi="Times New Roman" w:cs="Times New Roman"/>
                <w:color w:val="auto"/>
                <w:u w:val="single"/>
              </w:rPr>
              <w:t>浓度（μg/m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w:t>
            </w:r>
          </w:p>
        </w:tc>
        <w:tc>
          <w:tcPr>
            <w:tcW w:w="1338"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r>
              <w:rPr>
                <w:rFonts w:hint="default" w:ascii="Times New Roman" w:hAnsi="Times New Roman" w:cs="Times New Roman"/>
                <w:color w:val="auto"/>
                <w:u w:val="single"/>
              </w:rPr>
              <w:t>占标率（%）</w:t>
            </w:r>
          </w:p>
        </w:tc>
        <w:tc>
          <w:tcPr>
            <w:tcW w:w="1741"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S浓度（μg/m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w:t>
            </w:r>
          </w:p>
        </w:tc>
        <w:tc>
          <w:tcPr>
            <w:tcW w:w="1622"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noWrap w:val="0"/>
            <w:vAlign w:val="center"/>
          </w:tcPr>
          <w:p>
            <w:pPr>
              <w:pStyle w:val="73"/>
              <w:rPr>
                <w:rFonts w:hint="default" w:ascii="Times New Roman" w:hAnsi="Times New Roman" w:cs="Times New Roman"/>
                <w:color w:val="auto"/>
                <w:sz w:val="22"/>
                <w:szCs w:val="22"/>
                <w:u w:val="single"/>
              </w:rPr>
            </w:pPr>
            <w:r>
              <w:rPr>
                <w:rFonts w:hint="default" w:ascii="Times New Roman" w:hAnsi="Times New Roman" w:cs="Times New Roman"/>
                <w:color w:val="auto"/>
                <w:sz w:val="22"/>
                <w:szCs w:val="22"/>
                <w:u w:val="single"/>
              </w:rPr>
              <w:t>10</w:t>
            </w:r>
          </w:p>
        </w:tc>
        <w:tc>
          <w:tcPr>
            <w:tcW w:w="20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0.000412</w:t>
            </w:r>
          </w:p>
        </w:tc>
        <w:tc>
          <w:tcPr>
            <w:tcW w:w="1338"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0.21</w:t>
            </w:r>
          </w:p>
        </w:tc>
        <w:tc>
          <w:tcPr>
            <w:tcW w:w="1741"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0.00000182</w:t>
            </w:r>
          </w:p>
        </w:tc>
        <w:tc>
          <w:tcPr>
            <w:tcW w:w="1622"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25</w:t>
            </w:r>
          </w:p>
        </w:tc>
        <w:tc>
          <w:tcPr>
            <w:tcW w:w="20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0.00273</w:t>
            </w:r>
          </w:p>
        </w:tc>
        <w:tc>
          <w:tcPr>
            <w:tcW w:w="1338"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1.36</w:t>
            </w:r>
          </w:p>
        </w:tc>
        <w:tc>
          <w:tcPr>
            <w:tcW w:w="1741"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0.0000121</w:t>
            </w:r>
          </w:p>
        </w:tc>
        <w:tc>
          <w:tcPr>
            <w:tcW w:w="1622"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50</w:t>
            </w:r>
          </w:p>
        </w:tc>
        <w:tc>
          <w:tcPr>
            <w:tcW w:w="20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0.00404</w:t>
            </w:r>
          </w:p>
        </w:tc>
        <w:tc>
          <w:tcPr>
            <w:tcW w:w="1338"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2.02</w:t>
            </w:r>
          </w:p>
        </w:tc>
        <w:tc>
          <w:tcPr>
            <w:tcW w:w="1741"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0.0000179</w:t>
            </w:r>
          </w:p>
        </w:tc>
        <w:tc>
          <w:tcPr>
            <w:tcW w:w="1622"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113</w:t>
            </w:r>
          </w:p>
        </w:tc>
        <w:tc>
          <w:tcPr>
            <w:tcW w:w="20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FF0000"/>
                <w:u w:val="single"/>
                <w:lang w:val="en-US" w:eastAsia="zh-CN"/>
              </w:rPr>
              <w:t>0.00889</w:t>
            </w:r>
          </w:p>
        </w:tc>
        <w:tc>
          <w:tcPr>
            <w:tcW w:w="1338"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FF0000"/>
                <w:u w:val="single"/>
                <w:lang w:val="en-US" w:eastAsia="zh-CN"/>
              </w:rPr>
              <w:t>4.44</w:t>
            </w:r>
          </w:p>
        </w:tc>
        <w:tc>
          <w:tcPr>
            <w:tcW w:w="1741"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FF0000"/>
                <w:u w:val="single"/>
                <w:lang w:val="en-US" w:eastAsia="zh-CN"/>
              </w:rPr>
              <w:t>0.0000393</w:t>
            </w:r>
          </w:p>
        </w:tc>
        <w:tc>
          <w:tcPr>
            <w:tcW w:w="1622" w:type="dxa"/>
            <w:noWrap w:val="0"/>
            <w:vAlign w:val="center"/>
          </w:tcPr>
          <w:p>
            <w:pPr>
              <w:pStyle w:val="73"/>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noWrap w:val="0"/>
            <w:vAlign w:val="center"/>
          </w:tcPr>
          <w:p>
            <w:pPr>
              <w:pStyle w:val="73"/>
              <w:rPr>
                <w:rFonts w:hint="default" w:ascii="Times New Roman" w:hAnsi="Times New Roman" w:cs="Times New Roman"/>
                <w:color w:val="auto"/>
                <w:sz w:val="22"/>
                <w:szCs w:val="22"/>
                <w:u w:val="single"/>
              </w:rPr>
            </w:pPr>
            <w:r>
              <w:rPr>
                <w:rFonts w:hint="default" w:ascii="Times New Roman" w:hAnsi="Times New Roman" w:cs="Times New Roman"/>
                <w:color w:val="auto"/>
                <w:sz w:val="22"/>
                <w:szCs w:val="22"/>
                <w:u w:val="single"/>
              </w:rPr>
              <w:t>200</w:t>
            </w:r>
          </w:p>
        </w:tc>
        <w:tc>
          <w:tcPr>
            <w:tcW w:w="20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0.00706</w:t>
            </w:r>
          </w:p>
        </w:tc>
        <w:tc>
          <w:tcPr>
            <w:tcW w:w="1338"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3.53</w:t>
            </w:r>
          </w:p>
        </w:tc>
        <w:tc>
          <w:tcPr>
            <w:tcW w:w="1741"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0.0000312</w:t>
            </w:r>
          </w:p>
        </w:tc>
        <w:tc>
          <w:tcPr>
            <w:tcW w:w="1622"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noWrap w:val="0"/>
            <w:vAlign w:val="center"/>
          </w:tcPr>
          <w:p>
            <w:pPr>
              <w:pStyle w:val="73"/>
              <w:rPr>
                <w:rFonts w:hint="default" w:ascii="Times New Roman" w:hAnsi="Times New Roman" w:cs="Times New Roman"/>
                <w:color w:val="auto"/>
                <w:sz w:val="22"/>
                <w:szCs w:val="22"/>
                <w:u w:val="single"/>
              </w:rPr>
            </w:pPr>
            <w:r>
              <w:rPr>
                <w:rFonts w:hint="default" w:ascii="Times New Roman" w:hAnsi="Times New Roman" w:cs="Times New Roman"/>
                <w:color w:val="auto"/>
                <w:sz w:val="22"/>
                <w:szCs w:val="22"/>
                <w:u w:val="single"/>
              </w:rPr>
              <w:t>500</w:t>
            </w:r>
          </w:p>
        </w:tc>
        <w:tc>
          <w:tcPr>
            <w:tcW w:w="20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0.00285</w:t>
            </w:r>
          </w:p>
        </w:tc>
        <w:tc>
          <w:tcPr>
            <w:tcW w:w="1338"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1.43</w:t>
            </w:r>
          </w:p>
        </w:tc>
        <w:tc>
          <w:tcPr>
            <w:tcW w:w="1741"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0.0000126</w:t>
            </w:r>
          </w:p>
        </w:tc>
        <w:tc>
          <w:tcPr>
            <w:tcW w:w="1622"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noWrap w:val="0"/>
            <w:vAlign w:val="center"/>
          </w:tcPr>
          <w:p>
            <w:pPr>
              <w:pStyle w:val="73"/>
              <w:rPr>
                <w:rFonts w:hint="default" w:ascii="Times New Roman" w:hAnsi="Times New Roman" w:cs="Times New Roman"/>
                <w:color w:val="auto"/>
                <w:sz w:val="22"/>
                <w:szCs w:val="22"/>
                <w:u w:val="single"/>
              </w:rPr>
            </w:pPr>
            <w:r>
              <w:rPr>
                <w:rFonts w:hint="default" w:ascii="Times New Roman" w:hAnsi="Times New Roman" w:cs="Times New Roman"/>
                <w:color w:val="auto"/>
                <w:sz w:val="22"/>
                <w:szCs w:val="22"/>
                <w:u w:val="single"/>
              </w:rPr>
              <w:t>1000</w:t>
            </w:r>
          </w:p>
        </w:tc>
        <w:tc>
          <w:tcPr>
            <w:tcW w:w="20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0.00125</w:t>
            </w:r>
          </w:p>
        </w:tc>
        <w:tc>
          <w:tcPr>
            <w:tcW w:w="1338"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0.62</w:t>
            </w:r>
          </w:p>
        </w:tc>
        <w:tc>
          <w:tcPr>
            <w:tcW w:w="1741"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0.00000552</w:t>
            </w:r>
          </w:p>
        </w:tc>
        <w:tc>
          <w:tcPr>
            <w:tcW w:w="1622"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09" w:type="dxa"/>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auto"/>
                <w:sz w:val="22"/>
                <w:szCs w:val="22"/>
                <w:u w:val="single"/>
                <w:lang w:val="en-US" w:eastAsia="zh-CN"/>
              </w:rPr>
              <w:t>1500</w:t>
            </w:r>
          </w:p>
        </w:tc>
        <w:tc>
          <w:tcPr>
            <w:tcW w:w="20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0.000756</w:t>
            </w:r>
          </w:p>
        </w:tc>
        <w:tc>
          <w:tcPr>
            <w:tcW w:w="1338"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0.38</w:t>
            </w:r>
          </w:p>
        </w:tc>
        <w:tc>
          <w:tcPr>
            <w:tcW w:w="1741"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0.00000334</w:t>
            </w:r>
          </w:p>
        </w:tc>
        <w:tc>
          <w:tcPr>
            <w:tcW w:w="1622"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noWrap w:val="0"/>
            <w:vAlign w:val="center"/>
          </w:tcPr>
          <w:p>
            <w:pPr>
              <w:pStyle w:val="73"/>
              <w:rPr>
                <w:rFonts w:hint="default" w:ascii="Times New Roman" w:hAnsi="Times New Roman" w:cs="Times New Roman"/>
                <w:color w:val="auto"/>
                <w:sz w:val="22"/>
                <w:szCs w:val="22"/>
                <w:u w:val="single"/>
              </w:rPr>
            </w:pPr>
            <w:r>
              <w:rPr>
                <w:rFonts w:hint="default" w:ascii="Times New Roman" w:hAnsi="Times New Roman" w:cs="Times New Roman"/>
                <w:color w:val="auto"/>
                <w:sz w:val="22"/>
                <w:szCs w:val="22"/>
                <w:u w:val="single"/>
              </w:rPr>
              <w:t>2000</w:t>
            </w:r>
          </w:p>
        </w:tc>
        <w:tc>
          <w:tcPr>
            <w:tcW w:w="20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0.000521</w:t>
            </w:r>
          </w:p>
        </w:tc>
        <w:tc>
          <w:tcPr>
            <w:tcW w:w="1338"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0.26</w:t>
            </w:r>
          </w:p>
        </w:tc>
        <w:tc>
          <w:tcPr>
            <w:tcW w:w="1741"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0.00000230</w:t>
            </w:r>
          </w:p>
        </w:tc>
        <w:tc>
          <w:tcPr>
            <w:tcW w:w="1622"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noWrap w:val="0"/>
            <w:vAlign w:val="center"/>
          </w:tcPr>
          <w:p>
            <w:pPr>
              <w:pStyle w:val="73"/>
              <w:rPr>
                <w:rFonts w:hint="default" w:ascii="Times New Roman" w:hAnsi="Times New Roman" w:cs="Times New Roman"/>
                <w:color w:val="auto"/>
                <w:sz w:val="22"/>
                <w:szCs w:val="22"/>
                <w:u w:val="single"/>
              </w:rPr>
            </w:pPr>
            <w:r>
              <w:rPr>
                <w:rFonts w:hint="default" w:ascii="Times New Roman" w:hAnsi="Times New Roman" w:cs="Times New Roman"/>
                <w:color w:val="auto"/>
                <w:sz w:val="22"/>
                <w:szCs w:val="22"/>
                <w:u w:val="single"/>
              </w:rPr>
              <w:t>2500</w:t>
            </w:r>
          </w:p>
        </w:tc>
        <w:tc>
          <w:tcPr>
            <w:tcW w:w="20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0.000387</w:t>
            </w:r>
          </w:p>
        </w:tc>
        <w:tc>
          <w:tcPr>
            <w:tcW w:w="1338"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0.19</w:t>
            </w:r>
          </w:p>
        </w:tc>
        <w:tc>
          <w:tcPr>
            <w:tcW w:w="1741"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0.00000171</w:t>
            </w:r>
          </w:p>
        </w:tc>
        <w:tc>
          <w:tcPr>
            <w:tcW w:w="1622"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下风向最大浓度</w:t>
            </w:r>
          </w:p>
        </w:tc>
        <w:tc>
          <w:tcPr>
            <w:tcW w:w="3347" w:type="dxa"/>
            <w:gridSpan w:val="2"/>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FF0000"/>
                <w:u w:val="single"/>
                <w:lang w:val="en-US" w:eastAsia="zh-CN"/>
              </w:rPr>
              <w:t>0.00889</w:t>
            </w:r>
          </w:p>
        </w:tc>
        <w:tc>
          <w:tcPr>
            <w:tcW w:w="3363" w:type="dxa"/>
            <w:gridSpan w:val="2"/>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FF0000"/>
                <w:u w:val="single"/>
                <w:lang w:val="en-US" w:eastAsia="zh-CN"/>
              </w:rPr>
              <w:t>0.0000393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7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下风向最大浓度出现距离</w:t>
            </w:r>
          </w:p>
        </w:tc>
        <w:tc>
          <w:tcPr>
            <w:tcW w:w="3347" w:type="dxa"/>
            <w:gridSpan w:val="2"/>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sz w:val="22"/>
                <w:szCs w:val="22"/>
                <w:u w:val="single"/>
                <w:lang w:val="en-US" w:eastAsia="zh-CN"/>
              </w:rPr>
              <w:t>113</w:t>
            </w:r>
          </w:p>
        </w:tc>
        <w:tc>
          <w:tcPr>
            <w:tcW w:w="3363" w:type="dxa"/>
            <w:gridSpan w:val="2"/>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113</w:t>
            </w:r>
          </w:p>
        </w:tc>
      </w:tr>
    </w:tbl>
    <w:p>
      <w:pPr>
        <w:ind w:firstLine="0" w:firstLineChars="0"/>
        <w:rPr>
          <w:rFonts w:hint="eastAsia" w:eastAsia="宋体"/>
          <w:bCs/>
          <w:color w:val="auto"/>
          <w:kern w:val="0"/>
          <w:sz w:val="21"/>
          <w:szCs w:val="21"/>
          <w:u w:val="single"/>
          <w:lang w:eastAsia="zh-CN"/>
        </w:rPr>
      </w:pPr>
      <w:r>
        <w:rPr>
          <w:u w:val="single"/>
        </w:rPr>
        <w:drawing>
          <wp:inline distT="0" distB="0" distL="114300" distR="114300">
            <wp:extent cx="5270500" cy="3574415"/>
            <wp:effectExtent l="0" t="0" r="2540" b="6985"/>
            <wp:docPr id="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8"/>
                    <pic:cNvPicPr>
                      <a:picLocks noChangeAspect="1"/>
                    </pic:cNvPicPr>
                  </pic:nvPicPr>
                  <pic:blipFill>
                    <a:blip r:embed="rId44"/>
                    <a:stretch>
                      <a:fillRect/>
                    </a:stretch>
                  </pic:blipFill>
                  <pic:spPr>
                    <a:xfrm>
                      <a:off x="0" y="0"/>
                      <a:ext cx="5270500" cy="3574415"/>
                    </a:xfrm>
                    <a:prstGeom prst="rect">
                      <a:avLst/>
                    </a:prstGeom>
                    <a:noFill/>
                    <a:ln>
                      <a:noFill/>
                    </a:ln>
                  </pic:spPr>
                </pic:pic>
              </a:graphicData>
            </a:graphic>
          </wp:inline>
        </w:drawing>
      </w:r>
    </w:p>
    <w:p>
      <w:pPr>
        <w:ind w:firstLine="175" w:firstLineChars="83"/>
        <w:jc w:val="center"/>
        <w:rPr>
          <w:rFonts w:hint="eastAsia"/>
          <w:color w:val="auto"/>
          <w:u w:val="single"/>
        </w:rPr>
      </w:pPr>
      <w:r>
        <w:rPr>
          <w:rFonts w:hint="eastAsia"/>
          <w:b/>
          <w:color w:val="auto"/>
          <w:kern w:val="0"/>
          <w:sz w:val="21"/>
          <w:szCs w:val="21"/>
          <w:u w:val="single"/>
        </w:rPr>
        <w:t>图4.</w:t>
      </w:r>
      <w:r>
        <w:rPr>
          <w:b/>
          <w:color w:val="auto"/>
          <w:kern w:val="0"/>
          <w:sz w:val="21"/>
          <w:szCs w:val="21"/>
          <w:u w:val="single"/>
        </w:rPr>
        <w:t>2</w:t>
      </w:r>
      <w:r>
        <w:rPr>
          <w:rFonts w:hint="eastAsia"/>
          <w:b/>
          <w:color w:val="auto"/>
          <w:kern w:val="0"/>
          <w:sz w:val="21"/>
          <w:szCs w:val="21"/>
          <w:u w:val="single"/>
        </w:rPr>
        <w:t>-</w:t>
      </w:r>
      <w:r>
        <w:rPr>
          <w:rFonts w:hint="eastAsia"/>
          <w:b/>
          <w:color w:val="auto"/>
          <w:kern w:val="0"/>
          <w:sz w:val="21"/>
          <w:szCs w:val="21"/>
          <w:u w:val="single"/>
          <w:lang w:val="en-US" w:eastAsia="zh-CN"/>
        </w:rPr>
        <w:t>2DA001非正常工况</w:t>
      </w:r>
      <w:r>
        <w:rPr>
          <w:rFonts w:hint="eastAsia"/>
          <w:b/>
          <w:color w:val="auto"/>
          <w:kern w:val="0"/>
          <w:sz w:val="21"/>
          <w:szCs w:val="21"/>
          <w:u w:val="single"/>
        </w:rPr>
        <w:t>大气预测结果图</w:t>
      </w:r>
    </w:p>
    <w:p>
      <w:pPr>
        <w:ind w:firstLine="422"/>
        <w:jc w:val="center"/>
        <w:rPr>
          <w:b/>
          <w:color w:val="auto"/>
          <w:kern w:val="0"/>
          <w:sz w:val="21"/>
          <w:szCs w:val="21"/>
          <w:u w:val="single"/>
        </w:rPr>
      </w:pPr>
      <w:r>
        <w:rPr>
          <w:rFonts w:hint="eastAsia"/>
          <w:b/>
          <w:color w:val="auto"/>
          <w:kern w:val="0"/>
          <w:sz w:val="21"/>
          <w:szCs w:val="21"/>
          <w:u w:val="single"/>
        </w:rPr>
        <w:t>表4.</w:t>
      </w:r>
      <w:r>
        <w:rPr>
          <w:b/>
          <w:color w:val="auto"/>
          <w:kern w:val="0"/>
          <w:sz w:val="21"/>
          <w:szCs w:val="21"/>
          <w:u w:val="single"/>
        </w:rPr>
        <w:t>2</w:t>
      </w:r>
      <w:r>
        <w:rPr>
          <w:rFonts w:hint="eastAsia"/>
          <w:b/>
          <w:color w:val="auto"/>
          <w:kern w:val="0"/>
          <w:sz w:val="21"/>
          <w:szCs w:val="21"/>
          <w:u w:val="single"/>
        </w:rPr>
        <w:t>-</w:t>
      </w:r>
      <w:r>
        <w:rPr>
          <w:rFonts w:hint="eastAsia"/>
          <w:b/>
          <w:color w:val="auto"/>
          <w:kern w:val="0"/>
          <w:sz w:val="21"/>
          <w:szCs w:val="21"/>
          <w:u w:val="single"/>
          <w:lang w:val="en-US" w:eastAsia="zh-CN"/>
        </w:rPr>
        <w:t>8</w:t>
      </w:r>
      <w:r>
        <w:rPr>
          <w:b/>
          <w:color w:val="auto"/>
          <w:kern w:val="0"/>
          <w:sz w:val="21"/>
          <w:szCs w:val="21"/>
          <w:u w:val="single"/>
        </w:rPr>
        <w:t xml:space="preserve"> </w:t>
      </w:r>
      <w:r>
        <w:rPr>
          <w:rFonts w:hint="eastAsia"/>
          <w:b/>
          <w:color w:val="auto"/>
          <w:kern w:val="0"/>
          <w:sz w:val="21"/>
          <w:szCs w:val="21"/>
          <w:u w:val="single"/>
        </w:rPr>
        <w:t>项目无组织各项污染物最大占标率和落地浓度</w:t>
      </w:r>
    </w:p>
    <w:tbl>
      <w:tblPr>
        <w:tblStyle w:val="36"/>
        <w:tblW w:w="8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127"/>
        <w:gridCol w:w="1417"/>
        <w:gridCol w:w="1843"/>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restart"/>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下方向距离(m)</w:t>
            </w:r>
          </w:p>
        </w:tc>
        <w:tc>
          <w:tcPr>
            <w:tcW w:w="7102" w:type="dxa"/>
            <w:gridSpan w:val="4"/>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污水处理厂（面源）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809" w:type="dxa"/>
            <w:vMerge w:val="continue"/>
            <w:noWrap w:val="0"/>
            <w:vAlign w:val="center"/>
          </w:tcPr>
          <w:p>
            <w:pPr>
              <w:pStyle w:val="73"/>
              <w:rPr>
                <w:rFonts w:hint="default" w:ascii="Times New Roman" w:hAnsi="Times New Roman" w:cs="Times New Roman"/>
                <w:color w:val="auto"/>
                <w:u w:val="single"/>
              </w:rPr>
            </w:pPr>
          </w:p>
        </w:tc>
        <w:tc>
          <w:tcPr>
            <w:tcW w:w="2127"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r>
              <w:rPr>
                <w:rFonts w:hint="default" w:ascii="Times New Roman" w:hAnsi="Times New Roman" w:cs="Times New Roman"/>
                <w:color w:val="auto"/>
                <w:u w:val="single"/>
              </w:rPr>
              <w:t>浓度（μg/m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w:t>
            </w:r>
          </w:p>
        </w:tc>
        <w:tc>
          <w:tcPr>
            <w:tcW w:w="1417"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NH</w:t>
            </w:r>
            <w:r>
              <w:rPr>
                <w:rFonts w:hint="default" w:ascii="Times New Roman" w:hAnsi="Times New Roman" w:cs="Times New Roman"/>
                <w:color w:val="auto"/>
                <w:u w:val="single"/>
                <w:vertAlign w:val="subscript"/>
              </w:rPr>
              <w:t>3</w:t>
            </w:r>
            <w:r>
              <w:rPr>
                <w:rFonts w:hint="default" w:ascii="Times New Roman" w:hAnsi="Times New Roman" w:cs="Times New Roman"/>
                <w:color w:val="auto"/>
                <w:u w:val="single"/>
              </w:rPr>
              <w:t>占标率（%）</w:t>
            </w:r>
          </w:p>
        </w:tc>
        <w:tc>
          <w:tcPr>
            <w:tcW w:w="1843"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S浓度（μg/m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w:t>
            </w:r>
          </w:p>
        </w:tc>
        <w:tc>
          <w:tcPr>
            <w:tcW w:w="1715"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H</w:t>
            </w:r>
            <w:r>
              <w:rPr>
                <w:rFonts w:hint="default" w:ascii="Times New Roman" w:hAnsi="Times New Roman" w:cs="Times New Roman"/>
                <w:color w:val="auto"/>
                <w:u w:val="single"/>
                <w:vertAlign w:val="subscript"/>
              </w:rPr>
              <w:t>2</w:t>
            </w:r>
            <w:r>
              <w:rPr>
                <w:rFonts w:hint="default" w:ascii="Times New Roman" w:hAnsi="Times New Roman" w:cs="Times New Roman"/>
                <w:color w:val="auto"/>
                <w:u w:val="single"/>
              </w:rPr>
              <w:t>S占标率（%）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10</w:t>
            </w:r>
          </w:p>
        </w:tc>
        <w:tc>
          <w:tcPr>
            <w:tcW w:w="2127"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0.0103</w:t>
            </w:r>
          </w:p>
        </w:tc>
        <w:tc>
          <w:tcPr>
            <w:tcW w:w="14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5.14</w:t>
            </w:r>
          </w:p>
        </w:tc>
        <w:tc>
          <w:tcPr>
            <w:tcW w:w="1843"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0.000114</w:t>
            </w:r>
          </w:p>
        </w:tc>
        <w:tc>
          <w:tcPr>
            <w:tcW w:w="1715"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15</w:t>
            </w:r>
          </w:p>
        </w:tc>
        <w:tc>
          <w:tcPr>
            <w:tcW w:w="2127" w:type="dxa"/>
            <w:noWrap w:val="0"/>
            <w:vAlign w:val="center"/>
          </w:tcPr>
          <w:p>
            <w:pPr>
              <w:pStyle w:val="73"/>
              <w:rPr>
                <w:rFonts w:hint="default" w:ascii="Times New Roman" w:hAnsi="Times New Roman" w:cs="Times New Roman"/>
                <w:color w:val="auto"/>
                <w:u w:val="single"/>
                <w:lang w:val="en-US" w:eastAsia="zh-CN"/>
              </w:rPr>
            </w:pPr>
            <w:r>
              <w:rPr>
                <w:rFonts w:hint="default" w:ascii="Times New Roman" w:hAnsi="Times New Roman" w:cs="Times New Roman"/>
                <w:color w:val="FF0000"/>
                <w:u w:val="single"/>
                <w:lang w:val="en-US" w:eastAsia="zh-CN"/>
              </w:rPr>
              <w:t>0.0111</w:t>
            </w:r>
          </w:p>
        </w:tc>
        <w:tc>
          <w:tcPr>
            <w:tcW w:w="1417" w:type="dxa"/>
            <w:noWrap w:val="0"/>
            <w:vAlign w:val="center"/>
          </w:tcPr>
          <w:p>
            <w:pPr>
              <w:pStyle w:val="73"/>
              <w:rPr>
                <w:rFonts w:hint="default" w:ascii="Times New Roman" w:hAnsi="Times New Roman" w:cs="Times New Roman"/>
                <w:color w:val="auto"/>
                <w:u w:val="single"/>
                <w:lang w:val="en-US" w:eastAsia="zh-CN"/>
              </w:rPr>
            </w:pPr>
            <w:r>
              <w:rPr>
                <w:rFonts w:hint="eastAsia" w:ascii="Times New Roman" w:cs="Times New Roman"/>
                <w:color w:val="FF0000"/>
                <w:u w:val="single"/>
                <w:lang w:val="en-US" w:eastAsia="zh-CN"/>
              </w:rPr>
              <w:t>5.57</w:t>
            </w:r>
          </w:p>
        </w:tc>
        <w:tc>
          <w:tcPr>
            <w:tcW w:w="1843" w:type="dxa"/>
            <w:noWrap w:val="0"/>
            <w:vAlign w:val="center"/>
          </w:tcPr>
          <w:p>
            <w:pPr>
              <w:pStyle w:val="73"/>
              <w:rPr>
                <w:rFonts w:hint="default" w:ascii="Times New Roman" w:hAnsi="Times New Roman" w:cs="Times New Roman"/>
                <w:color w:val="FF0000"/>
                <w:u w:val="single"/>
                <w:lang w:val="en-US" w:eastAsia="zh-CN"/>
              </w:rPr>
            </w:pPr>
            <w:r>
              <w:rPr>
                <w:rFonts w:hint="default" w:ascii="Times New Roman" w:hAnsi="Times New Roman" w:cs="Times New Roman"/>
                <w:color w:val="FF0000"/>
                <w:u w:val="single"/>
                <w:lang w:val="en-US" w:eastAsia="zh-CN"/>
              </w:rPr>
              <w:t>0.000123</w:t>
            </w:r>
          </w:p>
        </w:tc>
        <w:tc>
          <w:tcPr>
            <w:tcW w:w="1715" w:type="dxa"/>
            <w:noWrap w:val="0"/>
            <w:vAlign w:val="center"/>
          </w:tcPr>
          <w:p>
            <w:pPr>
              <w:pStyle w:val="73"/>
              <w:rPr>
                <w:rFonts w:hint="default" w:ascii="Times New Roman" w:hAnsi="Times New Roman" w:cs="Times New Roman"/>
                <w:color w:val="FF0000"/>
                <w:u w:val="single"/>
                <w:lang w:val="en-US" w:eastAsia="zh-CN"/>
              </w:rPr>
            </w:pPr>
            <w:r>
              <w:rPr>
                <w:rFonts w:hint="eastAsia" w:ascii="Times New Roman" w:cs="Times New Roman"/>
                <w:color w:val="FF0000"/>
                <w:u w:val="single"/>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50</w:t>
            </w:r>
          </w:p>
        </w:tc>
        <w:tc>
          <w:tcPr>
            <w:tcW w:w="2127" w:type="dxa"/>
            <w:noWrap w:val="0"/>
            <w:vAlign w:val="center"/>
          </w:tcPr>
          <w:p>
            <w:pPr>
              <w:pStyle w:val="73"/>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lang w:val="en-US" w:eastAsia="zh-CN"/>
              </w:rPr>
              <w:t>0.00507</w:t>
            </w:r>
          </w:p>
        </w:tc>
        <w:tc>
          <w:tcPr>
            <w:tcW w:w="14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2.54</w:t>
            </w:r>
          </w:p>
        </w:tc>
        <w:tc>
          <w:tcPr>
            <w:tcW w:w="1843" w:type="dxa"/>
            <w:noWrap w:val="0"/>
            <w:vAlign w:val="center"/>
          </w:tcPr>
          <w:p>
            <w:pPr>
              <w:pStyle w:val="73"/>
              <w:rPr>
                <w:rFonts w:hint="default" w:ascii="Times New Roman" w:hAnsi="Times New Roman" w:cs="Times New Roman"/>
                <w:color w:val="auto"/>
                <w:u w:val="single"/>
                <w:lang w:val="en-US"/>
              </w:rPr>
            </w:pPr>
            <w:r>
              <w:rPr>
                <w:rFonts w:hint="default" w:ascii="Times New Roman" w:hAnsi="Times New Roman" w:cs="Times New Roman"/>
                <w:color w:val="auto"/>
                <w:u w:val="single"/>
                <w:lang w:val="en-US" w:eastAsia="zh-CN"/>
              </w:rPr>
              <w:t>0.0000561</w:t>
            </w:r>
          </w:p>
        </w:tc>
        <w:tc>
          <w:tcPr>
            <w:tcW w:w="1715"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100</w:t>
            </w:r>
          </w:p>
        </w:tc>
        <w:tc>
          <w:tcPr>
            <w:tcW w:w="212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0.00231</w:t>
            </w:r>
          </w:p>
        </w:tc>
        <w:tc>
          <w:tcPr>
            <w:tcW w:w="14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1.15</w:t>
            </w:r>
          </w:p>
        </w:tc>
        <w:tc>
          <w:tcPr>
            <w:tcW w:w="1843"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0.0000255</w:t>
            </w:r>
          </w:p>
        </w:tc>
        <w:tc>
          <w:tcPr>
            <w:tcW w:w="1715"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200</w:t>
            </w:r>
          </w:p>
        </w:tc>
        <w:tc>
          <w:tcPr>
            <w:tcW w:w="212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0.000950</w:t>
            </w:r>
          </w:p>
        </w:tc>
        <w:tc>
          <w:tcPr>
            <w:tcW w:w="14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0.47</w:t>
            </w:r>
          </w:p>
        </w:tc>
        <w:tc>
          <w:tcPr>
            <w:tcW w:w="1843"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0.0000105</w:t>
            </w:r>
          </w:p>
        </w:tc>
        <w:tc>
          <w:tcPr>
            <w:tcW w:w="1715"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300</w:t>
            </w:r>
          </w:p>
        </w:tc>
        <w:tc>
          <w:tcPr>
            <w:tcW w:w="212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0.000548</w:t>
            </w:r>
          </w:p>
        </w:tc>
        <w:tc>
          <w:tcPr>
            <w:tcW w:w="14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0.27</w:t>
            </w:r>
          </w:p>
        </w:tc>
        <w:tc>
          <w:tcPr>
            <w:tcW w:w="1843"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0.00000606</w:t>
            </w:r>
          </w:p>
        </w:tc>
        <w:tc>
          <w:tcPr>
            <w:tcW w:w="1715"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400</w:t>
            </w:r>
          </w:p>
        </w:tc>
        <w:tc>
          <w:tcPr>
            <w:tcW w:w="2127"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0.000370</w:t>
            </w:r>
          </w:p>
        </w:tc>
        <w:tc>
          <w:tcPr>
            <w:tcW w:w="14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0.19</w:t>
            </w:r>
          </w:p>
        </w:tc>
        <w:tc>
          <w:tcPr>
            <w:tcW w:w="1843"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0.00000409</w:t>
            </w:r>
          </w:p>
        </w:tc>
        <w:tc>
          <w:tcPr>
            <w:tcW w:w="1715"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500</w:t>
            </w:r>
          </w:p>
        </w:tc>
        <w:tc>
          <w:tcPr>
            <w:tcW w:w="2127"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0.000273</w:t>
            </w:r>
          </w:p>
        </w:tc>
        <w:tc>
          <w:tcPr>
            <w:tcW w:w="14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0.14</w:t>
            </w:r>
          </w:p>
        </w:tc>
        <w:tc>
          <w:tcPr>
            <w:tcW w:w="1843"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0.00000302</w:t>
            </w:r>
          </w:p>
        </w:tc>
        <w:tc>
          <w:tcPr>
            <w:tcW w:w="1715"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1000</w:t>
            </w:r>
          </w:p>
        </w:tc>
        <w:tc>
          <w:tcPr>
            <w:tcW w:w="2127"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0.000106</w:t>
            </w:r>
          </w:p>
        </w:tc>
        <w:tc>
          <w:tcPr>
            <w:tcW w:w="14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0.05</w:t>
            </w:r>
          </w:p>
        </w:tc>
        <w:tc>
          <w:tcPr>
            <w:tcW w:w="1843"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0.00000117</w:t>
            </w:r>
          </w:p>
        </w:tc>
        <w:tc>
          <w:tcPr>
            <w:tcW w:w="1715"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1500</w:t>
            </w:r>
          </w:p>
        </w:tc>
        <w:tc>
          <w:tcPr>
            <w:tcW w:w="2127"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0.0000608</w:t>
            </w:r>
          </w:p>
        </w:tc>
        <w:tc>
          <w:tcPr>
            <w:tcW w:w="14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0.03</w:t>
            </w:r>
          </w:p>
        </w:tc>
        <w:tc>
          <w:tcPr>
            <w:tcW w:w="1843"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0.000000672</w:t>
            </w:r>
          </w:p>
        </w:tc>
        <w:tc>
          <w:tcPr>
            <w:tcW w:w="1715"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2000</w:t>
            </w:r>
          </w:p>
        </w:tc>
        <w:tc>
          <w:tcPr>
            <w:tcW w:w="212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0.0000410</w:t>
            </w:r>
          </w:p>
        </w:tc>
        <w:tc>
          <w:tcPr>
            <w:tcW w:w="1417"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0.02</w:t>
            </w:r>
          </w:p>
        </w:tc>
        <w:tc>
          <w:tcPr>
            <w:tcW w:w="1843"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0.000000453</w:t>
            </w:r>
          </w:p>
        </w:tc>
        <w:tc>
          <w:tcPr>
            <w:tcW w:w="1715"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2500</w:t>
            </w:r>
          </w:p>
        </w:tc>
        <w:tc>
          <w:tcPr>
            <w:tcW w:w="2127"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0.0000302</w:t>
            </w:r>
          </w:p>
        </w:tc>
        <w:tc>
          <w:tcPr>
            <w:tcW w:w="1417" w:type="dxa"/>
            <w:noWrap w:val="0"/>
            <w:vAlign w:val="center"/>
          </w:tcPr>
          <w:p>
            <w:pPr>
              <w:pStyle w:val="73"/>
              <w:rPr>
                <w:rFonts w:hint="default" w:ascii="Times New Roman" w:hAnsi="Times New Roman" w:cs="Times New Roman"/>
                <w:color w:val="auto"/>
                <w:u w:val="single"/>
                <w:lang w:val="en-US"/>
              </w:rPr>
            </w:pPr>
            <w:r>
              <w:rPr>
                <w:rFonts w:hint="eastAsia" w:ascii="Times New Roman" w:cs="Times New Roman"/>
                <w:color w:val="auto"/>
                <w:u w:val="single"/>
                <w:lang w:val="en-US" w:eastAsia="zh-CN"/>
              </w:rPr>
              <w:t>0.02</w:t>
            </w:r>
          </w:p>
        </w:tc>
        <w:tc>
          <w:tcPr>
            <w:tcW w:w="1843" w:type="dxa"/>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0.000000334</w:t>
            </w:r>
          </w:p>
        </w:tc>
        <w:tc>
          <w:tcPr>
            <w:tcW w:w="1715"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下风向最大浓度</w:t>
            </w:r>
          </w:p>
        </w:tc>
        <w:tc>
          <w:tcPr>
            <w:tcW w:w="3544" w:type="dxa"/>
            <w:gridSpan w:val="2"/>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FF0000"/>
                <w:u w:val="single"/>
                <w:lang w:val="en-US" w:eastAsia="zh-CN"/>
              </w:rPr>
              <w:t>0.0111</w:t>
            </w:r>
          </w:p>
        </w:tc>
        <w:tc>
          <w:tcPr>
            <w:tcW w:w="3558" w:type="dxa"/>
            <w:gridSpan w:val="2"/>
            <w:noWrap w:val="0"/>
            <w:vAlign w:val="center"/>
          </w:tcPr>
          <w:p>
            <w:pPr>
              <w:pStyle w:val="73"/>
              <w:rPr>
                <w:rFonts w:hint="default" w:ascii="Times New Roman" w:hAnsi="Times New Roman" w:eastAsia="宋体" w:cs="Times New Roman"/>
                <w:color w:val="auto"/>
                <w:sz w:val="22"/>
                <w:szCs w:val="22"/>
                <w:u w:val="single"/>
                <w:lang w:val="en-US" w:eastAsia="zh-CN"/>
              </w:rPr>
            </w:pPr>
            <w:r>
              <w:rPr>
                <w:rFonts w:hint="default" w:ascii="Times New Roman" w:hAnsi="Times New Roman" w:cs="Times New Roman"/>
                <w:color w:val="FF0000"/>
                <w:u w:val="single"/>
                <w:lang w:val="en-US" w:eastAsia="zh-CN"/>
              </w:rPr>
              <w:t>0.000123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noWrap w:val="0"/>
            <w:vAlign w:val="center"/>
          </w:tcPr>
          <w:p>
            <w:pPr>
              <w:pStyle w:val="73"/>
              <w:rPr>
                <w:rFonts w:hint="default" w:ascii="Times New Roman" w:hAnsi="Times New Roman" w:cs="Times New Roman"/>
                <w:color w:val="auto"/>
                <w:u w:val="single"/>
              </w:rPr>
            </w:pPr>
            <w:r>
              <w:rPr>
                <w:rFonts w:hint="default" w:ascii="Times New Roman" w:hAnsi="Times New Roman" w:cs="Times New Roman"/>
                <w:color w:val="auto"/>
                <w:u w:val="single"/>
              </w:rPr>
              <w:t>下风向最大浓度出现距离</w:t>
            </w:r>
          </w:p>
        </w:tc>
        <w:tc>
          <w:tcPr>
            <w:tcW w:w="3544" w:type="dxa"/>
            <w:gridSpan w:val="2"/>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15</w:t>
            </w:r>
          </w:p>
        </w:tc>
        <w:tc>
          <w:tcPr>
            <w:tcW w:w="3558" w:type="dxa"/>
            <w:gridSpan w:val="2"/>
            <w:noWrap w:val="0"/>
            <w:vAlign w:val="center"/>
          </w:tcPr>
          <w:p>
            <w:pPr>
              <w:pStyle w:val="73"/>
              <w:rPr>
                <w:rFonts w:hint="default" w:ascii="Times New Roman" w:hAnsi="Times New Roman" w:eastAsia="宋体" w:cs="Times New Roman"/>
                <w:color w:val="auto"/>
                <w:u w:val="single"/>
                <w:lang w:val="en-US" w:eastAsia="zh-CN"/>
              </w:rPr>
            </w:pPr>
            <w:r>
              <w:rPr>
                <w:rFonts w:hint="eastAsia" w:ascii="Times New Roman" w:cs="Times New Roman"/>
                <w:color w:val="auto"/>
                <w:u w:val="single"/>
                <w:lang w:val="en-US" w:eastAsia="zh-CN"/>
              </w:rPr>
              <w:t>15</w:t>
            </w:r>
          </w:p>
        </w:tc>
      </w:tr>
    </w:tbl>
    <w:p>
      <w:pPr>
        <w:ind w:firstLine="0" w:firstLineChars="0"/>
        <w:rPr>
          <w:rFonts w:hint="eastAsia" w:eastAsia="宋体"/>
          <w:color w:val="auto"/>
          <w:u w:val="single"/>
          <w:lang w:eastAsia="zh-CN"/>
        </w:rPr>
      </w:pPr>
      <w:r>
        <w:rPr>
          <w:u w:val="single"/>
        </w:rPr>
        <w:drawing>
          <wp:inline distT="0" distB="0" distL="114300" distR="114300">
            <wp:extent cx="5273040" cy="3354705"/>
            <wp:effectExtent l="0" t="0" r="0" b="13335"/>
            <wp:docPr id="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9"/>
                    <pic:cNvPicPr>
                      <a:picLocks noChangeAspect="1"/>
                    </pic:cNvPicPr>
                  </pic:nvPicPr>
                  <pic:blipFill>
                    <a:blip r:embed="rId45"/>
                    <a:stretch>
                      <a:fillRect/>
                    </a:stretch>
                  </pic:blipFill>
                  <pic:spPr>
                    <a:xfrm>
                      <a:off x="0" y="0"/>
                      <a:ext cx="5273040" cy="3354705"/>
                    </a:xfrm>
                    <a:prstGeom prst="rect">
                      <a:avLst/>
                    </a:prstGeom>
                    <a:noFill/>
                    <a:ln>
                      <a:noFill/>
                    </a:ln>
                  </pic:spPr>
                </pic:pic>
              </a:graphicData>
            </a:graphic>
          </wp:inline>
        </w:drawing>
      </w:r>
    </w:p>
    <w:p>
      <w:pPr>
        <w:ind w:firstLine="175" w:firstLineChars="83"/>
        <w:jc w:val="center"/>
        <w:rPr>
          <w:rFonts w:hint="eastAsia"/>
          <w:color w:val="auto"/>
          <w:u w:val="single"/>
        </w:rPr>
      </w:pPr>
      <w:r>
        <w:rPr>
          <w:rFonts w:hint="eastAsia"/>
          <w:b/>
          <w:color w:val="auto"/>
          <w:kern w:val="0"/>
          <w:sz w:val="21"/>
          <w:szCs w:val="21"/>
          <w:u w:val="single"/>
        </w:rPr>
        <w:t>图4.</w:t>
      </w:r>
      <w:r>
        <w:rPr>
          <w:b/>
          <w:color w:val="auto"/>
          <w:kern w:val="0"/>
          <w:sz w:val="21"/>
          <w:szCs w:val="21"/>
          <w:u w:val="single"/>
        </w:rPr>
        <w:t>2</w:t>
      </w:r>
      <w:r>
        <w:rPr>
          <w:rFonts w:hint="eastAsia"/>
          <w:b/>
          <w:color w:val="auto"/>
          <w:kern w:val="0"/>
          <w:sz w:val="21"/>
          <w:szCs w:val="21"/>
          <w:u w:val="single"/>
        </w:rPr>
        <w:t>-</w:t>
      </w:r>
      <w:r>
        <w:rPr>
          <w:rFonts w:hint="eastAsia"/>
          <w:b/>
          <w:color w:val="auto"/>
          <w:kern w:val="0"/>
          <w:sz w:val="21"/>
          <w:szCs w:val="21"/>
          <w:u w:val="single"/>
          <w:lang w:val="en-US" w:eastAsia="zh-CN"/>
        </w:rPr>
        <w:t>3</w:t>
      </w:r>
      <w:r>
        <w:rPr>
          <w:b/>
          <w:color w:val="auto"/>
          <w:kern w:val="0"/>
          <w:sz w:val="21"/>
          <w:szCs w:val="21"/>
          <w:u w:val="single"/>
        </w:rPr>
        <w:t xml:space="preserve">  </w:t>
      </w:r>
      <w:r>
        <w:rPr>
          <w:rFonts w:hint="eastAsia"/>
          <w:b/>
          <w:color w:val="auto"/>
          <w:kern w:val="0"/>
          <w:sz w:val="21"/>
          <w:szCs w:val="21"/>
          <w:u w:val="single"/>
          <w:lang w:eastAsia="zh-CN"/>
        </w:rPr>
        <w:t>无组织废气</w:t>
      </w:r>
      <w:r>
        <w:rPr>
          <w:rFonts w:hint="eastAsia"/>
          <w:b/>
          <w:color w:val="auto"/>
          <w:kern w:val="0"/>
          <w:sz w:val="21"/>
          <w:szCs w:val="21"/>
          <w:u w:val="single"/>
        </w:rPr>
        <w:t>大气预测结果图</w:t>
      </w:r>
    </w:p>
    <w:p>
      <w:pPr>
        <w:ind w:firstLine="480"/>
        <w:jc w:val="both"/>
        <w:rPr>
          <w:rFonts w:hint="eastAsia"/>
          <w:color w:val="auto"/>
          <w:kern w:val="0"/>
          <w:u w:val="none"/>
        </w:rPr>
      </w:pPr>
      <w:r>
        <w:rPr>
          <w:rFonts w:hint="eastAsia"/>
          <w:color w:val="auto"/>
          <w:kern w:val="0"/>
          <w:u w:val="single"/>
        </w:rPr>
        <w:t>由预测结果可见，项目废气处理设备正常运行时，点源NH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113</w:t>
      </w:r>
      <w:r>
        <w:rPr>
          <w:rFonts w:hint="eastAsia"/>
          <w:color w:val="auto"/>
          <w:kern w:val="0"/>
          <w:u w:val="single"/>
        </w:rPr>
        <w:t>m处出现浓度最大值，分别为</w:t>
      </w:r>
      <w:r>
        <w:rPr>
          <w:rFonts w:hint="eastAsia"/>
          <w:color w:val="auto"/>
          <w:u w:val="single"/>
          <w:lang w:val="en-US" w:eastAsia="zh-CN"/>
        </w:rPr>
        <w:t>0.000889</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w:t>
      </w:r>
      <w:r>
        <w:rPr>
          <w:rFonts w:hint="eastAsia"/>
          <w:color w:val="auto"/>
          <w:u w:val="single"/>
          <w:lang w:val="en-US" w:eastAsia="zh-CN"/>
        </w:rPr>
        <w:t>0.0000344</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，其占标率分别为</w:t>
      </w:r>
      <w:r>
        <w:rPr>
          <w:rFonts w:hint="eastAsia"/>
          <w:color w:val="auto"/>
          <w:kern w:val="0"/>
          <w:u w:val="single"/>
          <w:lang w:val="en-US" w:eastAsia="zh-CN"/>
        </w:rPr>
        <w:t>0.44</w:t>
      </w:r>
      <w:r>
        <w:rPr>
          <w:rFonts w:hint="eastAsia"/>
          <w:color w:val="auto"/>
          <w:kern w:val="0"/>
          <w:u w:val="single"/>
        </w:rPr>
        <w:t>%、</w:t>
      </w:r>
      <w:r>
        <w:rPr>
          <w:rFonts w:hint="eastAsia"/>
          <w:color w:val="auto"/>
          <w:kern w:val="0"/>
          <w:u w:val="single"/>
          <w:lang w:val="en-US" w:eastAsia="zh-CN"/>
        </w:rPr>
        <w:t>0.34</w:t>
      </w:r>
      <w:r>
        <w:rPr>
          <w:rFonts w:hint="eastAsia"/>
          <w:color w:val="auto"/>
          <w:kern w:val="0"/>
          <w:u w:val="single"/>
        </w:rPr>
        <w:t>%；点源NH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S非正常工况下在</w:t>
      </w:r>
      <w:r>
        <w:rPr>
          <w:rFonts w:hint="eastAsia"/>
          <w:color w:val="auto"/>
          <w:kern w:val="0"/>
          <w:u w:val="single"/>
          <w:lang w:val="en-US" w:eastAsia="zh-CN"/>
        </w:rPr>
        <w:t>113</w:t>
      </w:r>
      <w:r>
        <w:rPr>
          <w:rFonts w:hint="eastAsia"/>
          <w:color w:val="auto"/>
          <w:kern w:val="0"/>
          <w:u w:val="single"/>
        </w:rPr>
        <w:t>m处出现浓度最大值，分别为</w:t>
      </w:r>
      <w:r>
        <w:rPr>
          <w:rFonts w:hint="eastAsia"/>
          <w:color w:val="auto"/>
          <w:kern w:val="0"/>
          <w:u w:val="single"/>
          <w:lang w:val="en-US" w:eastAsia="zh-CN"/>
        </w:rPr>
        <w:t>0.00889</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w:t>
      </w:r>
      <w:r>
        <w:rPr>
          <w:rFonts w:hint="eastAsia" w:ascii="Times New Roman" w:hAnsi="Times New Roman" w:eastAsia="宋体" w:cs="Times New Roman"/>
          <w:color w:val="auto"/>
          <w:kern w:val="0"/>
          <w:u w:val="single"/>
          <w:lang w:val="en-US" w:eastAsia="zh-CN"/>
        </w:rPr>
        <w:t>0.0000393</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，其占标率分别为</w:t>
      </w:r>
      <w:r>
        <w:rPr>
          <w:rFonts w:hint="eastAsia"/>
          <w:color w:val="auto"/>
          <w:kern w:val="0"/>
          <w:u w:val="single"/>
          <w:lang w:val="en-US" w:eastAsia="zh-CN"/>
        </w:rPr>
        <w:t>0.39</w:t>
      </w:r>
      <w:r>
        <w:rPr>
          <w:rFonts w:hint="eastAsia"/>
          <w:color w:val="auto"/>
          <w:kern w:val="0"/>
          <w:u w:val="single"/>
        </w:rPr>
        <w:t>%、</w:t>
      </w:r>
      <w:r>
        <w:rPr>
          <w:rFonts w:hint="eastAsia"/>
          <w:color w:val="auto"/>
          <w:kern w:val="0"/>
          <w:u w:val="single"/>
          <w:lang w:val="en-US" w:eastAsia="zh-CN"/>
        </w:rPr>
        <w:t>0.01</w:t>
      </w:r>
      <w:r>
        <w:rPr>
          <w:rFonts w:hint="eastAsia"/>
          <w:color w:val="auto"/>
          <w:kern w:val="0"/>
          <w:u w:val="single"/>
        </w:rPr>
        <w:t>%</w:t>
      </w:r>
      <w:r>
        <w:rPr>
          <w:rFonts w:hint="eastAsia"/>
          <w:color w:val="auto"/>
          <w:u w:val="single"/>
        </w:rPr>
        <w:t>；</w:t>
      </w:r>
      <w:r>
        <w:rPr>
          <w:rFonts w:hint="eastAsia"/>
          <w:color w:val="auto"/>
          <w:kern w:val="0"/>
          <w:u w:val="single"/>
        </w:rPr>
        <w:t>面源NH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15</w:t>
      </w:r>
      <w:r>
        <w:rPr>
          <w:rFonts w:hint="eastAsia"/>
          <w:color w:val="auto"/>
          <w:kern w:val="0"/>
          <w:u w:val="single"/>
        </w:rPr>
        <w:t>m处出现浓度最大值，</w:t>
      </w:r>
      <w:r>
        <w:rPr>
          <w:rFonts w:hint="default" w:ascii="Times New Roman" w:hAnsi="Times New Roman" w:cs="Times New Roman"/>
          <w:color w:val="auto"/>
          <w:kern w:val="0"/>
          <w:sz w:val="24"/>
          <w:szCs w:val="24"/>
          <w:u w:val="single"/>
        </w:rPr>
        <w:t>分别为</w:t>
      </w:r>
      <w:r>
        <w:rPr>
          <w:rFonts w:hint="eastAsia" w:ascii="Times New Roman" w:hAnsi="Times New Roman" w:cs="Times New Roman"/>
          <w:color w:val="auto"/>
          <w:sz w:val="24"/>
          <w:szCs w:val="24"/>
          <w:u w:val="single"/>
          <w:lang w:val="en-US" w:eastAsia="zh-CN"/>
        </w:rPr>
        <w:t>0.0111</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w:t>
      </w:r>
      <w:r>
        <w:rPr>
          <w:rFonts w:hint="eastAsia" w:ascii="Times New Roman" w:hAnsi="Times New Roman" w:eastAsia="宋体" w:cs="Times New Roman"/>
          <w:color w:val="auto"/>
          <w:sz w:val="24"/>
          <w:szCs w:val="24"/>
          <w:u w:val="single"/>
          <w:lang w:val="en-US" w:eastAsia="zh-CN"/>
        </w:rPr>
        <w:t>0.000123</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w:t>
      </w:r>
      <w:r>
        <w:rPr>
          <w:rFonts w:hint="eastAsia"/>
          <w:color w:val="auto"/>
          <w:kern w:val="0"/>
          <w:u w:val="single"/>
        </w:rPr>
        <w:t>其占标率分别为</w:t>
      </w:r>
      <w:r>
        <w:rPr>
          <w:rFonts w:hint="eastAsia"/>
          <w:color w:val="auto"/>
          <w:kern w:val="0"/>
          <w:u w:val="single"/>
          <w:lang w:val="en-US" w:eastAsia="zh-CN"/>
        </w:rPr>
        <w:t>5.57</w:t>
      </w:r>
      <w:r>
        <w:rPr>
          <w:rFonts w:hint="eastAsia"/>
          <w:color w:val="auto"/>
          <w:kern w:val="0"/>
          <w:u w:val="single"/>
        </w:rPr>
        <w:t>%、</w:t>
      </w:r>
      <w:r>
        <w:rPr>
          <w:rFonts w:hint="eastAsia"/>
          <w:color w:val="auto"/>
          <w:kern w:val="0"/>
          <w:u w:val="single"/>
          <w:lang w:val="en-US" w:eastAsia="zh-CN"/>
        </w:rPr>
        <w:t>1.23</w:t>
      </w:r>
      <w:r>
        <w:rPr>
          <w:rFonts w:hint="eastAsia"/>
          <w:color w:val="auto"/>
          <w:kern w:val="0"/>
          <w:u w:val="single"/>
        </w:rPr>
        <w:t>%。</w:t>
      </w:r>
      <w:r>
        <w:rPr>
          <w:rFonts w:hint="eastAsia"/>
          <w:color w:val="auto"/>
          <w:kern w:val="0"/>
          <w:u w:val="single"/>
          <w:lang w:eastAsia="zh-CN"/>
        </w:rPr>
        <w:t>正常工况下</w:t>
      </w:r>
      <w:r>
        <w:rPr>
          <w:rFonts w:hint="eastAsia"/>
          <w:color w:val="auto"/>
          <w:kern w:val="0"/>
          <w:u w:val="single"/>
        </w:rPr>
        <w:t>点源NH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1000</w:t>
      </w:r>
      <w:r>
        <w:rPr>
          <w:rFonts w:hint="eastAsia"/>
          <w:color w:val="auto"/>
          <w:kern w:val="0"/>
          <w:u w:val="single"/>
        </w:rPr>
        <w:t>m处（</w:t>
      </w:r>
      <w:r>
        <w:rPr>
          <w:rFonts w:hint="eastAsia"/>
          <w:color w:val="auto"/>
          <w:kern w:val="0"/>
          <w:u w:val="single"/>
          <w:lang w:eastAsia="zh-CN"/>
        </w:rPr>
        <w:t>下风向</w:t>
      </w:r>
      <w:r>
        <w:rPr>
          <w:rFonts w:hint="eastAsia"/>
          <w:color w:val="auto"/>
          <w:kern w:val="0"/>
          <w:u w:val="single"/>
        </w:rPr>
        <w:t>最近居民点</w:t>
      </w:r>
      <w:r>
        <w:rPr>
          <w:rFonts w:hint="eastAsia"/>
          <w:color w:val="auto"/>
          <w:kern w:val="0"/>
          <w:u w:val="single"/>
          <w:lang w:eastAsia="zh-CN"/>
        </w:rPr>
        <w:t>曾家湾</w:t>
      </w:r>
      <w:r>
        <w:rPr>
          <w:rFonts w:hint="eastAsia"/>
          <w:color w:val="auto"/>
          <w:kern w:val="0"/>
          <w:u w:val="single"/>
        </w:rPr>
        <w:t>）浓度分</w:t>
      </w:r>
      <w:r>
        <w:rPr>
          <w:rFonts w:hint="default" w:ascii="Times New Roman" w:hAnsi="Times New Roman" w:cs="Times New Roman"/>
          <w:color w:val="auto"/>
          <w:kern w:val="0"/>
          <w:sz w:val="24"/>
          <w:szCs w:val="24"/>
          <w:u w:val="single"/>
        </w:rPr>
        <w:t>为</w:t>
      </w:r>
      <w:r>
        <w:rPr>
          <w:rFonts w:hint="eastAsia" w:ascii="Times New Roman" w:hAnsi="Times New Roman" w:cs="Times New Roman"/>
          <w:color w:val="auto"/>
          <w:sz w:val="24"/>
          <w:szCs w:val="24"/>
          <w:u w:val="single"/>
          <w:lang w:val="en-US" w:eastAsia="zh-CN"/>
        </w:rPr>
        <w:t>0.0000125</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w:t>
      </w:r>
      <w:r>
        <w:rPr>
          <w:rFonts w:hint="eastAsia" w:ascii="Times New Roman" w:hAnsi="Times New Roman" w:cs="Times New Roman"/>
          <w:color w:val="auto"/>
          <w:sz w:val="24"/>
          <w:szCs w:val="24"/>
          <w:u w:val="single"/>
          <w:lang w:val="en-US" w:eastAsia="zh-CN"/>
        </w:rPr>
        <w:t>0.000000484</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，其</w:t>
      </w:r>
      <w:r>
        <w:rPr>
          <w:rFonts w:hint="eastAsia"/>
          <w:color w:val="auto"/>
          <w:kern w:val="0"/>
          <w:u w:val="single"/>
        </w:rPr>
        <w:t>占标率分别为</w:t>
      </w:r>
      <w:r>
        <w:rPr>
          <w:rFonts w:hint="eastAsia"/>
          <w:color w:val="auto"/>
          <w:kern w:val="0"/>
          <w:u w:val="single"/>
          <w:lang w:val="en-US" w:eastAsia="zh-CN"/>
        </w:rPr>
        <w:t>0.06</w:t>
      </w:r>
      <w:r>
        <w:rPr>
          <w:rFonts w:hint="eastAsia"/>
          <w:color w:val="auto"/>
          <w:kern w:val="0"/>
          <w:u w:val="single"/>
        </w:rPr>
        <w:t>%、</w:t>
      </w:r>
      <w:r>
        <w:rPr>
          <w:rFonts w:hint="eastAsia"/>
          <w:color w:val="auto"/>
          <w:kern w:val="0"/>
          <w:u w:val="single"/>
          <w:lang w:val="en-US" w:eastAsia="zh-CN"/>
        </w:rPr>
        <w:t>0.05</w:t>
      </w:r>
      <w:r>
        <w:rPr>
          <w:rFonts w:hint="eastAsia"/>
          <w:color w:val="auto"/>
          <w:kern w:val="0"/>
          <w:u w:val="single"/>
        </w:rPr>
        <w:t>%，面源NH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1000</w:t>
      </w:r>
      <w:r>
        <w:rPr>
          <w:rFonts w:hint="eastAsia"/>
          <w:color w:val="auto"/>
          <w:kern w:val="0"/>
          <w:u w:val="single"/>
        </w:rPr>
        <w:t>m处（</w:t>
      </w:r>
      <w:r>
        <w:rPr>
          <w:rFonts w:hint="eastAsia"/>
          <w:color w:val="auto"/>
          <w:kern w:val="0"/>
          <w:u w:val="single"/>
          <w:lang w:eastAsia="zh-CN"/>
        </w:rPr>
        <w:t>下风向</w:t>
      </w:r>
      <w:r>
        <w:rPr>
          <w:rFonts w:hint="eastAsia"/>
          <w:color w:val="auto"/>
          <w:kern w:val="0"/>
          <w:u w:val="single"/>
        </w:rPr>
        <w:t>最近居民点</w:t>
      </w:r>
      <w:r>
        <w:rPr>
          <w:rFonts w:hint="eastAsia"/>
          <w:color w:val="auto"/>
          <w:kern w:val="0"/>
          <w:u w:val="single"/>
          <w:lang w:eastAsia="zh-CN"/>
        </w:rPr>
        <w:t>曾家湾</w:t>
      </w:r>
      <w:r>
        <w:rPr>
          <w:rFonts w:hint="eastAsia"/>
          <w:color w:val="auto"/>
          <w:kern w:val="0"/>
          <w:u w:val="single"/>
        </w:rPr>
        <w:t>）浓度分为</w:t>
      </w:r>
      <w:r>
        <w:rPr>
          <w:rFonts w:hint="eastAsia"/>
          <w:color w:val="auto"/>
          <w:kern w:val="0"/>
          <w:u w:val="single"/>
          <w:lang w:val="en-US" w:eastAsia="zh-CN"/>
        </w:rPr>
        <w:t>0.000106</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w:t>
      </w:r>
      <w:r>
        <w:rPr>
          <w:rFonts w:hint="eastAsia"/>
          <w:color w:val="auto"/>
          <w:kern w:val="0"/>
          <w:u w:val="single"/>
          <w:lang w:val="en-US" w:eastAsia="zh-CN"/>
        </w:rPr>
        <w:t>0.00000117</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，其占标率分别为</w:t>
      </w:r>
      <w:r>
        <w:rPr>
          <w:rFonts w:hint="eastAsia"/>
          <w:color w:val="auto"/>
          <w:kern w:val="0"/>
          <w:u w:val="single"/>
          <w:lang w:val="en-US" w:eastAsia="zh-CN"/>
        </w:rPr>
        <w:t>0.05</w:t>
      </w:r>
      <w:r>
        <w:rPr>
          <w:rFonts w:hint="eastAsia"/>
          <w:color w:val="auto"/>
          <w:kern w:val="0"/>
          <w:u w:val="single"/>
        </w:rPr>
        <w:t>%、</w:t>
      </w:r>
      <w:r>
        <w:rPr>
          <w:rFonts w:hint="eastAsia"/>
          <w:color w:val="auto"/>
          <w:kern w:val="0"/>
          <w:u w:val="single"/>
          <w:lang w:val="en-US" w:eastAsia="zh-CN"/>
        </w:rPr>
        <w:t>0.01</w:t>
      </w:r>
      <w:r>
        <w:rPr>
          <w:rFonts w:hint="eastAsia"/>
          <w:color w:val="auto"/>
          <w:kern w:val="0"/>
          <w:u w:val="single"/>
        </w:rPr>
        <w:t>%。</w:t>
      </w:r>
      <w:r>
        <w:rPr>
          <w:rFonts w:hint="eastAsia"/>
          <w:color w:val="auto"/>
          <w:u w:val="single"/>
        </w:rPr>
        <w:t>根据《环境影响评价技术导则大气环境》</w:t>
      </w:r>
      <w:r>
        <w:rPr>
          <w:color w:val="auto"/>
          <w:u w:val="single"/>
        </w:rPr>
        <w:t>(HJ2.2-2018)</w:t>
      </w:r>
      <w:r>
        <w:rPr>
          <w:rFonts w:hint="eastAsia"/>
          <w:color w:val="auto"/>
          <w:u w:val="single"/>
        </w:rPr>
        <w:t>分级判据，确定本项目大气环境影响评价工作等级为二级。</w:t>
      </w:r>
      <w:r>
        <w:rPr>
          <w:rFonts w:hint="eastAsia"/>
          <w:color w:val="auto"/>
          <w:kern w:val="0"/>
          <w:u w:val="single"/>
          <w:lang w:eastAsia="zh-CN"/>
        </w:rPr>
        <w:t>根据预测，</w:t>
      </w:r>
      <w:r>
        <w:rPr>
          <w:rFonts w:hint="eastAsia"/>
          <w:color w:val="auto"/>
          <w:kern w:val="0"/>
          <w:u w:val="single"/>
        </w:rPr>
        <w:t>项目废气正常排放时，各污染物最大落地浓度远低于相应质量标准要求，对周边环境空气几乎不会造成影响。</w:t>
      </w:r>
    </w:p>
    <w:p>
      <w:pPr>
        <w:pStyle w:val="93"/>
        <w:ind w:firstLine="480"/>
        <w:rPr>
          <w:color w:val="auto"/>
          <w:u w:val="none"/>
        </w:rPr>
      </w:pPr>
      <w:r>
        <w:rPr>
          <w:rFonts w:hint="eastAsia"/>
          <w:color w:val="auto"/>
          <w:u w:val="none"/>
        </w:rPr>
        <w:t>⑥大气环境防护距离</w:t>
      </w:r>
    </w:p>
    <w:p>
      <w:pPr>
        <w:ind w:firstLine="480"/>
        <w:jc w:val="both"/>
        <w:rPr>
          <w:rFonts w:cs="宋体"/>
          <w:color w:val="auto"/>
          <w:u w:val="none"/>
        </w:rPr>
      </w:pPr>
      <w:r>
        <w:rPr>
          <w:rFonts w:hint="eastAsia" w:cs="宋体"/>
          <w:color w:val="auto"/>
          <w:u w:val="none"/>
        </w:rPr>
        <w:t>本项目大气评价等级定为二级，按照《环境影响评价技术导则－大气环境》（</w:t>
      </w:r>
      <w:r>
        <w:rPr>
          <w:rFonts w:cs="宋体"/>
          <w:color w:val="auto"/>
          <w:u w:val="none"/>
        </w:rPr>
        <w:t>HJ2.2-2018</w:t>
      </w:r>
      <w:r>
        <w:rPr>
          <w:rFonts w:hint="eastAsia" w:cs="宋体"/>
          <w:color w:val="auto"/>
          <w:u w:val="none"/>
        </w:rPr>
        <w:t>）规定</w:t>
      </w:r>
      <w:r>
        <w:rPr>
          <w:rFonts w:cs="宋体"/>
          <w:color w:val="auto"/>
          <w:u w:val="none"/>
        </w:rPr>
        <w:t>8.7.5</w:t>
      </w:r>
      <w:r>
        <w:rPr>
          <w:rFonts w:hint="eastAsia" w:cs="宋体"/>
          <w:color w:val="auto"/>
          <w:u w:val="none"/>
        </w:rPr>
        <w:t>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上述计算结果，本项目无组织和有组织排放的非氨氮、硫化氢预测值满足</w:t>
      </w:r>
      <w:r>
        <w:rPr>
          <w:rFonts w:hint="eastAsia"/>
          <w:color w:val="auto"/>
          <w:kern w:val="0"/>
          <w:u w:val="none"/>
        </w:rPr>
        <w:t>《恶臭污染物排放标准》（</w:t>
      </w:r>
      <w:r>
        <w:rPr>
          <w:color w:val="auto"/>
          <w:kern w:val="0"/>
          <w:u w:val="none"/>
        </w:rPr>
        <w:t>GB14554-1993</w:t>
      </w:r>
      <w:r>
        <w:rPr>
          <w:rFonts w:hint="eastAsia"/>
          <w:color w:val="auto"/>
          <w:kern w:val="0"/>
          <w:u w:val="none"/>
        </w:rPr>
        <w:t>）表</w:t>
      </w:r>
      <w:r>
        <w:rPr>
          <w:color w:val="auto"/>
          <w:kern w:val="0"/>
          <w:u w:val="none"/>
        </w:rPr>
        <w:t>2</w:t>
      </w:r>
      <w:r>
        <w:rPr>
          <w:rFonts w:hint="eastAsia"/>
          <w:color w:val="auto"/>
          <w:kern w:val="0"/>
          <w:u w:val="none"/>
        </w:rPr>
        <w:t>中二级标准</w:t>
      </w:r>
      <w:r>
        <w:rPr>
          <w:rFonts w:hint="eastAsia" w:cs="宋体"/>
          <w:color w:val="auto"/>
          <w:u w:val="none"/>
        </w:rPr>
        <w:t>，且能达到相应环境质量标准，故无需计算大气环境防护距离，无需设置大气环境防护区域。</w:t>
      </w:r>
    </w:p>
    <w:p>
      <w:pPr>
        <w:pStyle w:val="6"/>
        <w:bidi w:val="0"/>
        <w:rPr>
          <w:rFonts w:hint="eastAsia"/>
          <w:u w:val="single"/>
        </w:rPr>
      </w:pPr>
      <w:r>
        <w:rPr>
          <w:rFonts w:hint="eastAsia"/>
          <w:u w:val="single"/>
        </w:rPr>
        <w:t>4.</w:t>
      </w:r>
      <w:r>
        <w:rPr>
          <w:u w:val="single"/>
        </w:rPr>
        <w:t>2</w:t>
      </w:r>
      <w:r>
        <w:rPr>
          <w:rFonts w:hint="eastAsia"/>
          <w:u w:val="single"/>
        </w:rPr>
        <w:t>.2地表水环境影响预测与评价</w:t>
      </w:r>
    </w:p>
    <w:p>
      <w:pPr>
        <w:bidi w:val="0"/>
        <w:jc w:val="both"/>
        <w:rPr>
          <w:rFonts w:hint="eastAsia" w:eastAsia="宋体"/>
          <w:u w:val="single"/>
          <w:lang w:val="en-US" w:eastAsia="zh-CN"/>
        </w:rPr>
      </w:pPr>
      <w:r>
        <w:rPr>
          <w:rFonts w:hint="eastAsia"/>
          <w:u w:val="single"/>
          <w:lang w:val="en-US" w:eastAsia="zh-CN"/>
        </w:rPr>
        <w:t>本项目分两期建设，一期工程设计规模为400</w:t>
      </w:r>
      <w:r>
        <w:rPr>
          <w:rFonts w:hint="eastAsia"/>
          <w:color w:val="auto"/>
          <w:kern w:val="0"/>
          <w:u w:val="single"/>
        </w:rPr>
        <w:t>m</w:t>
      </w:r>
      <w:r>
        <w:rPr>
          <w:rFonts w:hint="eastAsia"/>
          <w:color w:val="auto"/>
          <w:kern w:val="0"/>
          <w:u w:val="single"/>
          <w:vertAlign w:val="superscript"/>
        </w:rPr>
        <w:t>3</w:t>
      </w:r>
      <w:r>
        <w:rPr>
          <w:rFonts w:hint="eastAsia"/>
          <w:color w:val="auto"/>
          <w:kern w:val="0"/>
          <w:u w:val="single"/>
        </w:rPr>
        <w:t>/d，</w:t>
      </w:r>
      <w:r>
        <w:rPr>
          <w:rFonts w:hint="eastAsia"/>
          <w:color w:val="auto"/>
          <w:kern w:val="0"/>
          <w:u w:val="single"/>
          <w:lang w:eastAsia="zh-CN"/>
        </w:rPr>
        <w:t>二期新增设备后总设计规模为</w:t>
      </w:r>
      <w:r>
        <w:rPr>
          <w:rFonts w:hint="eastAsia"/>
          <w:color w:val="auto"/>
          <w:kern w:val="0"/>
          <w:u w:val="single"/>
          <w:lang w:val="en-US" w:eastAsia="zh-CN"/>
        </w:rPr>
        <w:t>1000</w:t>
      </w:r>
      <w:r>
        <w:rPr>
          <w:rFonts w:hint="eastAsia"/>
          <w:color w:val="auto"/>
          <w:kern w:val="0"/>
          <w:u w:val="single"/>
        </w:rPr>
        <w:t>m</w:t>
      </w:r>
      <w:r>
        <w:rPr>
          <w:rFonts w:hint="eastAsia"/>
          <w:color w:val="auto"/>
          <w:kern w:val="0"/>
          <w:u w:val="single"/>
          <w:vertAlign w:val="superscript"/>
        </w:rPr>
        <w:t>3</w:t>
      </w:r>
      <w:r>
        <w:rPr>
          <w:rFonts w:hint="eastAsia"/>
          <w:color w:val="auto"/>
          <w:kern w:val="0"/>
          <w:u w:val="single"/>
        </w:rPr>
        <w:t>/d，</w:t>
      </w:r>
      <w:r>
        <w:rPr>
          <w:rFonts w:hint="eastAsia"/>
          <w:color w:val="auto"/>
          <w:kern w:val="0"/>
          <w:u w:val="single"/>
          <w:lang w:eastAsia="zh-CN"/>
        </w:rPr>
        <w:t>本环评地表水评价包含一期二期工程，故地表水预测按照处理能力</w:t>
      </w:r>
      <w:r>
        <w:rPr>
          <w:rFonts w:hint="eastAsia"/>
          <w:color w:val="auto"/>
          <w:kern w:val="0"/>
          <w:u w:val="single"/>
          <w:lang w:val="en-US" w:eastAsia="zh-CN"/>
        </w:rPr>
        <w:t>1000</w:t>
      </w:r>
      <w:r>
        <w:rPr>
          <w:rFonts w:hint="eastAsia"/>
          <w:color w:val="auto"/>
          <w:kern w:val="0"/>
          <w:u w:val="single"/>
        </w:rPr>
        <w:t>m</w:t>
      </w:r>
      <w:r>
        <w:rPr>
          <w:rFonts w:hint="eastAsia"/>
          <w:color w:val="auto"/>
          <w:kern w:val="0"/>
          <w:u w:val="single"/>
          <w:vertAlign w:val="superscript"/>
        </w:rPr>
        <w:t>3</w:t>
      </w:r>
      <w:r>
        <w:rPr>
          <w:rFonts w:hint="eastAsia"/>
          <w:color w:val="auto"/>
          <w:kern w:val="0"/>
          <w:u w:val="single"/>
        </w:rPr>
        <w:t>/d</w:t>
      </w:r>
      <w:r>
        <w:rPr>
          <w:rFonts w:hint="eastAsia"/>
          <w:color w:val="auto"/>
          <w:kern w:val="0"/>
          <w:u w:val="single"/>
          <w:lang w:eastAsia="zh-CN"/>
        </w:rPr>
        <w:t>进行预测。</w:t>
      </w:r>
    </w:p>
    <w:p>
      <w:pPr>
        <w:pStyle w:val="69"/>
        <w:bidi w:val="0"/>
        <w:rPr>
          <w:rFonts w:hint="eastAsia"/>
          <w:color w:val="auto"/>
          <w:u w:val="single"/>
          <w:lang w:val="en-US" w:eastAsia="zh-CN"/>
        </w:rPr>
      </w:pPr>
      <w:r>
        <w:rPr>
          <w:rFonts w:hint="eastAsia"/>
          <w:color w:val="auto"/>
          <w:u w:val="single"/>
          <w:lang w:val="en-US" w:eastAsia="zh-CN"/>
        </w:rPr>
        <w:t>4.2.2.1枯水期预测</w:t>
      </w:r>
    </w:p>
    <w:p>
      <w:pPr>
        <w:ind w:firstLine="480"/>
        <w:jc w:val="both"/>
        <w:rPr>
          <w:color w:val="auto"/>
          <w:kern w:val="0"/>
          <w:u w:val="single"/>
        </w:rPr>
      </w:pPr>
      <w:r>
        <w:rPr>
          <w:rFonts w:hint="eastAsia"/>
          <w:color w:val="auto"/>
          <w:kern w:val="0"/>
          <w:u w:val="single"/>
        </w:rPr>
        <w:t>本项目处理废水量规模为</w:t>
      </w:r>
      <w:r>
        <w:rPr>
          <w:rFonts w:hint="eastAsia"/>
          <w:color w:val="auto"/>
          <w:kern w:val="0"/>
          <w:u w:val="single"/>
          <w:lang w:val="en-US" w:eastAsia="zh-CN"/>
        </w:rPr>
        <w:t>1000</w:t>
      </w:r>
      <w:r>
        <w:rPr>
          <w:rFonts w:hint="eastAsia"/>
          <w:color w:val="auto"/>
          <w:kern w:val="0"/>
          <w:u w:val="single"/>
        </w:rPr>
        <w:t>m</w:t>
      </w:r>
      <w:r>
        <w:rPr>
          <w:rFonts w:hint="eastAsia"/>
          <w:color w:val="auto"/>
          <w:kern w:val="0"/>
          <w:u w:val="single"/>
          <w:vertAlign w:val="superscript"/>
        </w:rPr>
        <w:t>3</w:t>
      </w:r>
      <w:r>
        <w:rPr>
          <w:rFonts w:hint="eastAsia"/>
          <w:color w:val="auto"/>
          <w:kern w:val="0"/>
          <w:u w:val="single"/>
        </w:rPr>
        <w:t>/d，废水处理达</w:t>
      </w:r>
      <w:r>
        <w:rPr>
          <w:rFonts w:hint="eastAsia"/>
          <w:color w:val="auto"/>
          <w:u w:val="single"/>
        </w:rPr>
        <w:t>《城镇污水处理厂污染物排放标准》中一级A标</w:t>
      </w:r>
      <w:r>
        <w:rPr>
          <w:rFonts w:hint="eastAsia"/>
          <w:color w:val="auto"/>
          <w:u w:val="single"/>
          <w:lang w:eastAsia="zh-CN"/>
        </w:rPr>
        <w:t>准</w:t>
      </w:r>
      <w:r>
        <w:rPr>
          <w:rFonts w:hint="eastAsia"/>
          <w:color w:val="auto"/>
          <w:kern w:val="0"/>
          <w:u w:val="single"/>
        </w:rPr>
        <w:t>排放至</w:t>
      </w:r>
      <w:r>
        <w:rPr>
          <w:rFonts w:hint="eastAsia"/>
          <w:color w:val="auto"/>
          <w:kern w:val="0"/>
          <w:u w:val="single"/>
          <w:lang w:eastAsia="zh-CN"/>
        </w:rPr>
        <w:t>猛洞河</w:t>
      </w:r>
      <w:r>
        <w:rPr>
          <w:rFonts w:hint="eastAsia"/>
          <w:color w:val="auto"/>
          <w:kern w:val="0"/>
          <w:u w:val="single"/>
        </w:rPr>
        <w:t>。</w:t>
      </w:r>
    </w:p>
    <w:p>
      <w:pPr>
        <w:ind w:firstLine="480"/>
        <w:jc w:val="both"/>
        <w:rPr>
          <w:rFonts w:hint="eastAsia" w:hAnsi="宋体" w:eastAsia="宋体"/>
          <w:color w:val="auto"/>
          <w:kern w:val="0"/>
          <w:u w:val="single"/>
          <w:lang w:eastAsia="zh-CN"/>
        </w:rPr>
      </w:pPr>
      <w:r>
        <w:rPr>
          <w:rFonts w:hint="eastAsia" w:hAnsi="宋体"/>
          <w:color w:val="auto"/>
          <w:kern w:val="0"/>
          <w:u w:val="single"/>
          <w:lang w:eastAsia="zh-CN"/>
        </w:rPr>
        <w:t>预测过程详见第八章，本章节直接取预测结果进行评价</w:t>
      </w:r>
    </w:p>
    <w:p>
      <w:pPr>
        <w:ind w:firstLine="559" w:firstLineChars="233"/>
        <w:rPr>
          <w:rFonts w:hint="eastAsia"/>
          <w:color w:val="auto"/>
          <w:kern w:val="0"/>
          <w:u w:val="single"/>
        </w:rPr>
      </w:pPr>
      <w:r>
        <w:rPr>
          <w:rFonts w:hint="eastAsia"/>
          <w:color w:val="auto"/>
          <w:kern w:val="0"/>
          <w:u w:val="single"/>
          <w:lang w:eastAsia="zh-CN"/>
        </w:rPr>
        <w:t>（</w:t>
      </w:r>
      <w:r>
        <w:rPr>
          <w:rFonts w:hint="eastAsia"/>
          <w:color w:val="auto"/>
          <w:kern w:val="0"/>
          <w:u w:val="single"/>
          <w:lang w:val="en-US" w:eastAsia="zh-CN"/>
        </w:rPr>
        <w:t>1</w:t>
      </w:r>
      <w:r>
        <w:rPr>
          <w:rFonts w:hint="eastAsia"/>
          <w:color w:val="auto"/>
          <w:kern w:val="0"/>
          <w:u w:val="single"/>
          <w:lang w:eastAsia="zh-CN"/>
        </w:rPr>
        <w:t>）</w:t>
      </w:r>
      <w:r>
        <w:rPr>
          <w:rFonts w:hint="eastAsia"/>
          <w:color w:val="auto"/>
          <w:kern w:val="0"/>
          <w:u w:val="single"/>
        </w:rPr>
        <w:t>预测结果及分析</w:t>
      </w:r>
    </w:p>
    <w:p>
      <w:pPr>
        <w:ind w:firstLine="559" w:firstLineChars="233"/>
        <w:rPr>
          <w:rFonts w:hint="eastAsia"/>
          <w:color w:val="auto"/>
          <w:kern w:val="0"/>
          <w:u w:val="single"/>
        </w:rPr>
      </w:pPr>
      <w:r>
        <w:rPr>
          <w:rFonts w:hint="eastAsia"/>
          <w:color w:val="auto"/>
          <w:kern w:val="0"/>
          <w:u w:val="single"/>
        </w:rPr>
        <w:t>尾水排放污染物COD、NH</w:t>
      </w:r>
      <w:r>
        <w:rPr>
          <w:rFonts w:hint="eastAsia"/>
          <w:color w:val="auto"/>
          <w:kern w:val="0"/>
          <w:u w:val="single"/>
          <w:vertAlign w:val="subscript"/>
        </w:rPr>
        <w:t>3</w:t>
      </w:r>
      <w:r>
        <w:rPr>
          <w:rFonts w:hint="eastAsia"/>
          <w:color w:val="auto"/>
          <w:kern w:val="0"/>
          <w:u w:val="single"/>
        </w:rPr>
        <w:t>-N</w:t>
      </w:r>
      <w:r>
        <w:rPr>
          <w:rFonts w:hint="eastAsia"/>
          <w:color w:val="auto"/>
          <w:kern w:val="0"/>
          <w:u w:val="single"/>
          <w:lang w:eastAsia="zh-CN"/>
        </w:rPr>
        <w:t>、</w:t>
      </w:r>
      <w:r>
        <w:rPr>
          <w:rFonts w:hint="eastAsia"/>
          <w:color w:val="auto"/>
          <w:kern w:val="0"/>
          <w:u w:val="single"/>
          <w:lang w:val="en-US" w:eastAsia="zh-CN"/>
        </w:rPr>
        <w:t>TP</w:t>
      </w:r>
      <w:r>
        <w:rPr>
          <w:rFonts w:hint="eastAsia"/>
          <w:color w:val="auto"/>
          <w:kern w:val="0"/>
          <w:u w:val="single"/>
        </w:rPr>
        <w:t>对</w:t>
      </w:r>
      <w:r>
        <w:rPr>
          <w:rFonts w:hint="eastAsia"/>
          <w:color w:val="auto"/>
          <w:kern w:val="0"/>
          <w:u w:val="single"/>
          <w:lang w:eastAsia="zh-CN"/>
        </w:rPr>
        <w:t>猛洞河</w:t>
      </w:r>
      <w:r>
        <w:rPr>
          <w:rFonts w:hint="eastAsia"/>
          <w:color w:val="auto"/>
          <w:kern w:val="0"/>
          <w:u w:val="single"/>
        </w:rPr>
        <w:t>环境影响预测结果见表4.</w:t>
      </w:r>
      <w:r>
        <w:rPr>
          <w:color w:val="auto"/>
          <w:kern w:val="0"/>
          <w:u w:val="single"/>
        </w:rPr>
        <w:t>2-</w:t>
      </w:r>
      <w:r>
        <w:rPr>
          <w:rFonts w:hint="eastAsia"/>
          <w:color w:val="auto"/>
          <w:kern w:val="0"/>
          <w:u w:val="single"/>
          <w:lang w:val="en-US" w:eastAsia="zh-CN"/>
        </w:rPr>
        <w:t>9</w:t>
      </w:r>
      <w:r>
        <w:rPr>
          <w:rFonts w:hint="eastAsia"/>
          <w:color w:val="auto"/>
          <w:kern w:val="0"/>
          <w:u w:val="single"/>
        </w:rPr>
        <w:t>。</w:t>
      </w:r>
    </w:p>
    <w:p>
      <w:pPr>
        <w:pStyle w:val="74"/>
        <w:rPr>
          <w:color w:val="auto"/>
          <w:u w:val="single"/>
        </w:rPr>
      </w:pPr>
      <w:r>
        <w:rPr>
          <w:color w:val="auto"/>
          <w:sz w:val="21"/>
          <w:szCs w:val="21"/>
          <w:u w:val="single"/>
        </w:rPr>
        <w:t xml:space="preserve">表 </w:t>
      </w:r>
      <w:r>
        <w:rPr>
          <w:rFonts w:hint="eastAsia"/>
          <w:color w:val="auto"/>
          <w:sz w:val="21"/>
          <w:szCs w:val="21"/>
          <w:u w:val="single"/>
          <w:lang w:val="en-US" w:eastAsia="zh-CN"/>
        </w:rPr>
        <w:t>4.2-9</w:t>
      </w:r>
      <w:r>
        <w:rPr>
          <w:color w:val="auto"/>
          <w:sz w:val="21"/>
          <w:szCs w:val="21"/>
          <w:u w:val="single"/>
        </w:rPr>
        <w:t xml:space="preserve">  COD、NH</w:t>
      </w:r>
      <w:r>
        <w:rPr>
          <w:color w:val="auto"/>
          <w:sz w:val="21"/>
          <w:szCs w:val="21"/>
          <w:u w:val="single"/>
          <w:vertAlign w:val="subscript"/>
        </w:rPr>
        <w:t>3</w:t>
      </w:r>
      <w:r>
        <w:rPr>
          <w:color w:val="auto"/>
          <w:sz w:val="21"/>
          <w:szCs w:val="21"/>
          <w:u w:val="single"/>
        </w:rPr>
        <w:t>-N和TP预测结果表（枯水期）单位：mg/L</w:t>
      </w:r>
    </w:p>
    <w:tbl>
      <w:tblPr>
        <w:tblStyle w:val="36"/>
        <w:tblW w:w="5000" w:type="pct"/>
        <w:tblInd w:w="0" w:type="dxa"/>
        <w:tblLayout w:type="fixed"/>
        <w:tblCellMar>
          <w:top w:w="0" w:type="dxa"/>
          <w:left w:w="108" w:type="dxa"/>
          <w:bottom w:w="0" w:type="dxa"/>
          <w:right w:w="108" w:type="dxa"/>
        </w:tblCellMar>
      </w:tblPr>
      <w:tblGrid>
        <w:gridCol w:w="789"/>
        <w:gridCol w:w="1288"/>
        <w:gridCol w:w="1296"/>
        <w:gridCol w:w="1287"/>
        <w:gridCol w:w="1287"/>
        <w:gridCol w:w="1287"/>
        <w:gridCol w:w="1288"/>
      </w:tblGrid>
      <w:tr>
        <w:tblPrEx>
          <w:tblCellMar>
            <w:top w:w="0" w:type="dxa"/>
            <w:left w:w="108" w:type="dxa"/>
            <w:bottom w:w="0" w:type="dxa"/>
            <w:right w:w="108" w:type="dxa"/>
          </w:tblCellMar>
        </w:tblPrEx>
        <w:trPr>
          <w:trHeight w:val="496" w:hRule="atLeast"/>
        </w:trPr>
        <w:tc>
          <w:tcPr>
            <w:tcW w:w="462" w:type="pct"/>
            <w:vMerge w:val="restart"/>
            <w:tcBorders>
              <w:top w:val="single" w:color="auto" w:sz="12" w:space="0"/>
              <w:left w:val="single" w:color="auto" w:sz="8" w:space="0"/>
              <w:bottom w:val="single" w:color="000000" w:sz="8" w:space="0"/>
              <w:right w:val="single" w:color="auto" w:sz="8" w:space="0"/>
              <w:tl2br w:val="single" w:color="auto" w:sz="8" w:space="0"/>
            </w:tcBorders>
            <w:noWrap w:val="0"/>
            <w:vAlign w:val="center"/>
          </w:tcPr>
          <w:p>
            <w:pPr>
              <w:widowControl/>
              <w:snapToGrid/>
              <w:spacing w:line="240" w:lineRule="auto"/>
              <w:ind w:firstLine="0" w:firstLineChars="0"/>
              <w:jc w:val="center"/>
              <w:rPr>
                <w:rFonts w:hint="default" w:ascii="Times New Roman" w:hAnsi="Times New Roman" w:cs="Times New Roman"/>
                <w:color w:val="auto"/>
                <w:kern w:val="0"/>
                <w:sz w:val="21"/>
                <w:u w:val="single"/>
              </w:rPr>
            </w:pPr>
            <w:r>
              <w:rPr>
                <w:rFonts w:hint="default" w:ascii="Times New Roman" w:hAnsi="Times New Roman" w:cs="Times New Roman"/>
                <w:color w:val="auto"/>
                <w:kern w:val="0"/>
                <w:sz w:val="21"/>
                <w:u w:val="single"/>
              </w:rPr>
              <w:t>浓度值</w:t>
            </w:r>
          </w:p>
          <w:p>
            <w:pPr>
              <w:pStyle w:val="2"/>
              <w:ind w:firstLine="0" w:firstLineChars="0"/>
              <w:rPr>
                <w:rFonts w:hint="default" w:ascii="Times New Roman" w:hAnsi="Times New Roman" w:cs="Times New Roman"/>
                <w:color w:val="auto"/>
                <w:u w:val="single"/>
              </w:rPr>
            </w:pPr>
            <w:r>
              <w:rPr>
                <w:rFonts w:hint="default" w:ascii="Times New Roman" w:hAnsi="Times New Roman" w:cs="Times New Roman"/>
                <w:color w:val="auto"/>
                <w:kern w:val="0"/>
                <w:sz w:val="21"/>
                <w:u w:val="single"/>
              </w:rPr>
              <w:t>X/m</w:t>
            </w:r>
          </w:p>
        </w:tc>
        <w:tc>
          <w:tcPr>
            <w:tcW w:w="1516" w:type="pct"/>
            <w:gridSpan w:val="2"/>
            <w:tcBorders>
              <w:top w:val="single" w:color="auto" w:sz="12" w:space="0"/>
              <w:left w:val="nil"/>
              <w:bottom w:val="single" w:color="auto" w:sz="8" w:space="0"/>
              <w:right w:val="single" w:color="000000"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1"/>
                <w:u w:val="single"/>
              </w:rPr>
            </w:pPr>
            <w:r>
              <w:rPr>
                <w:rFonts w:hint="default" w:ascii="Times New Roman" w:hAnsi="Times New Roman" w:eastAsia="等线" w:cs="Times New Roman"/>
                <w:color w:val="auto"/>
                <w:kern w:val="0"/>
                <w:sz w:val="21"/>
                <w:u w:val="single"/>
              </w:rPr>
              <w:t>COD</w:t>
            </w:r>
          </w:p>
        </w:tc>
        <w:tc>
          <w:tcPr>
            <w:tcW w:w="1510" w:type="pct"/>
            <w:gridSpan w:val="2"/>
            <w:tcBorders>
              <w:top w:val="single" w:color="auto" w:sz="12" w:space="0"/>
              <w:left w:val="nil"/>
              <w:bottom w:val="single" w:color="auto" w:sz="8" w:space="0"/>
              <w:right w:val="single" w:color="000000"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1"/>
                <w:u w:val="single"/>
              </w:rPr>
            </w:pPr>
            <w:r>
              <w:rPr>
                <w:rFonts w:hint="default" w:ascii="Times New Roman" w:hAnsi="Times New Roman" w:eastAsia="等线" w:cs="Times New Roman"/>
                <w:color w:val="auto"/>
                <w:kern w:val="0"/>
                <w:sz w:val="21"/>
                <w:u w:val="single"/>
              </w:rPr>
              <w:t>NH</w:t>
            </w:r>
            <w:r>
              <w:rPr>
                <w:rFonts w:hint="default" w:ascii="Times New Roman" w:hAnsi="Times New Roman" w:eastAsia="等线" w:cs="Times New Roman"/>
                <w:color w:val="auto"/>
                <w:kern w:val="0"/>
                <w:sz w:val="21"/>
                <w:u w:val="single"/>
                <w:vertAlign w:val="subscript"/>
              </w:rPr>
              <w:t>3</w:t>
            </w:r>
            <w:r>
              <w:rPr>
                <w:rFonts w:hint="default" w:ascii="Times New Roman" w:hAnsi="Times New Roman" w:eastAsia="等线" w:cs="Times New Roman"/>
                <w:color w:val="auto"/>
                <w:kern w:val="0"/>
                <w:sz w:val="21"/>
                <w:u w:val="single"/>
              </w:rPr>
              <w:t>-N</w:t>
            </w:r>
          </w:p>
        </w:tc>
        <w:tc>
          <w:tcPr>
            <w:tcW w:w="1510" w:type="pct"/>
            <w:gridSpan w:val="2"/>
            <w:tcBorders>
              <w:top w:val="single" w:color="auto" w:sz="12" w:space="0"/>
              <w:left w:val="nil"/>
              <w:bottom w:val="single" w:color="auto" w:sz="8" w:space="0"/>
              <w:right w:val="single" w:color="000000"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1"/>
                <w:u w:val="single"/>
              </w:rPr>
            </w:pPr>
            <w:r>
              <w:rPr>
                <w:rFonts w:hint="default" w:ascii="Times New Roman" w:hAnsi="Times New Roman" w:eastAsia="等线" w:cs="Times New Roman"/>
                <w:color w:val="auto"/>
                <w:kern w:val="0"/>
                <w:sz w:val="21"/>
                <w:u w:val="single"/>
              </w:rPr>
              <w:t>TP</w:t>
            </w:r>
          </w:p>
        </w:tc>
      </w:tr>
      <w:tr>
        <w:tblPrEx>
          <w:tblCellMar>
            <w:top w:w="0" w:type="dxa"/>
            <w:left w:w="108" w:type="dxa"/>
            <w:bottom w:w="0" w:type="dxa"/>
            <w:right w:w="108" w:type="dxa"/>
          </w:tblCellMar>
        </w:tblPrEx>
        <w:trPr>
          <w:trHeight w:val="297" w:hRule="atLeast"/>
        </w:trPr>
        <w:tc>
          <w:tcPr>
            <w:tcW w:w="462" w:type="pct"/>
            <w:vMerge w:val="continue"/>
            <w:tcBorders>
              <w:top w:val="single" w:color="auto" w:sz="12" w:space="0"/>
              <w:left w:val="single" w:color="auto" w:sz="8" w:space="0"/>
              <w:bottom w:val="single" w:color="000000" w:sz="8" w:space="0"/>
              <w:right w:val="single" w:color="auto" w:sz="8" w:space="0"/>
            </w:tcBorders>
            <w:noWrap w:val="0"/>
            <w:vAlign w:val="center"/>
          </w:tcPr>
          <w:p>
            <w:pPr>
              <w:widowControl/>
              <w:snapToGrid/>
              <w:spacing w:line="240" w:lineRule="auto"/>
              <w:ind w:firstLine="0" w:firstLineChars="0"/>
              <w:jc w:val="left"/>
              <w:rPr>
                <w:rFonts w:hint="default" w:ascii="Times New Roman" w:hAnsi="Times New Roman" w:cs="Times New Roman"/>
                <w:color w:val="auto"/>
                <w:kern w:val="0"/>
                <w:sz w:val="21"/>
                <w:u w:val="single"/>
              </w:rPr>
            </w:pP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cs="Times New Roman"/>
                <w:color w:val="auto"/>
                <w:kern w:val="0"/>
                <w:sz w:val="21"/>
                <w:u w:val="single"/>
              </w:rPr>
            </w:pPr>
            <w:r>
              <w:rPr>
                <w:rFonts w:hint="default" w:ascii="Times New Roman" w:hAnsi="Times New Roman" w:cs="Times New Roman"/>
                <w:color w:val="auto"/>
                <w:kern w:val="0"/>
                <w:sz w:val="21"/>
                <w:u w:val="single"/>
              </w:rPr>
              <w:t>正常排放</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cs="Times New Roman"/>
                <w:color w:val="auto"/>
                <w:kern w:val="0"/>
                <w:sz w:val="21"/>
                <w:u w:val="single"/>
              </w:rPr>
            </w:pPr>
            <w:r>
              <w:rPr>
                <w:rFonts w:hint="default" w:ascii="Times New Roman" w:hAnsi="Times New Roman" w:cs="Times New Roman"/>
                <w:color w:val="auto"/>
                <w:kern w:val="0"/>
                <w:sz w:val="21"/>
                <w:u w:val="single"/>
              </w:rPr>
              <w:t>非正常排放</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cs="Times New Roman"/>
                <w:color w:val="auto"/>
                <w:kern w:val="0"/>
                <w:sz w:val="21"/>
                <w:u w:val="single"/>
              </w:rPr>
            </w:pPr>
            <w:r>
              <w:rPr>
                <w:rFonts w:hint="default" w:ascii="Times New Roman" w:hAnsi="Times New Roman" w:cs="Times New Roman"/>
                <w:color w:val="auto"/>
                <w:kern w:val="0"/>
                <w:sz w:val="21"/>
                <w:u w:val="single"/>
              </w:rPr>
              <w:t>正常排放</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cs="Times New Roman"/>
                <w:color w:val="auto"/>
                <w:kern w:val="0"/>
                <w:sz w:val="21"/>
                <w:u w:val="single"/>
              </w:rPr>
            </w:pPr>
            <w:r>
              <w:rPr>
                <w:rFonts w:hint="default" w:ascii="Times New Roman" w:hAnsi="Times New Roman" w:cs="Times New Roman"/>
                <w:color w:val="auto"/>
                <w:kern w:val="0"/>
                <w:sz w:val="21"/>
                <w:u w:val="single"/>
              </w:rPr>
              <w:t>非正常排放</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cs="Times New Roman"/>
                <w:color w:val="auto"/>
                <w:kern w:val="0"/>
                <w:sz w:val="21"/>
                <w:u w:val="single"/>
              </w:rPr>
            </w:pPr>
            <w:r>
              <w:rPr>
                <w:rFonts w:hint="default" w:ascii="Times New Roman" w:hAnsi="Times New Roman" w:cs="Times New Roman"/>
                <w:color w:val="auto"/>
                <w:kern w:val="0"/>
                <w:sz w:val="21"/>
                <w:u w:val="single"/>
              </w:rPr>
              <w:t>正常排放</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cs="Times New Roman"/>
                <w:color w:val="auto"/>
                <w:kern w:val="0"/>
                <w:sz w:val="21"/>
                <w:u w:val="single"/>
              </w:rPr>
            </w:pPr>
            <w:r>
              <w:rPr>
                <w:rFonts w:hint="default" w:ascii="Times New Roman" w:hAnsi="Times New Roman" w:cs="Times New Roman"/>
                <w:color w:val="auto"/>
                <w:kern w:val="0"/>
                <w:sz w:val="21"/>
                <w:u w:val="single"/>
              </w:rPr>
              <w:t>非正常排放</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rPr>
              <w:t>0</w:t>
            </w:r>
          </w:p>
        </w:tc>
        <w:tc>
          <w:tcPr>
            <w:tcW w:w="755" w:type="pct"/>
            <w:tcBorders>
              <w:top w:val="single" w:color="auto" w:sz="4" w:space="0"/>
              <w:left w:val="single" w:color="auto" w:sz="4" w:space="0"/>
              <w:bottom w:val="single" w:color="auto" w:sz="4" w:space="0"/>
              <w:right w:val="single" w:color="auto" w:sz="4" w:space="0"/>
            </w:tcBorders>
            <w:noWrap/>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13.01160011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rPr>
            </w:pPr>
            <w:r>
              <w:rPr>
                <w:rFonts w:hint="default" w:ascii="Times New Roman" w:hAnsi="Times New Roman" w:eastAsia="等线" w:cs="Times New Roman"/>
                <w:color w:val="auto"/>
                <w:kern w:val="0"/>
                <w:sz w:val="20"/>
                <w:szCs w:val="22"/>
                <w:u w:val="single"/>
                <w:lang w:val="en-US" w:eastAsia="zh-CN"/>
              </w:rPr>
              <w:t>13.08980011</w:t>
            </w:r>
          </w:p>
        </w:tc>
        <w:tc>
          <w:tcPr>
            <w:tcW w:w="755" w:type="pct"/>
            <w:tcBorders>
              <w:top w:val="single" w:color="auto" w:sz="4" w:space="0"/>
              <w:left w:val="single" w:color="auto" w:sz="4" w:space="0"/>
              <w:bottom w:val="single" w:color="auto" w:sz="4" w:space="0"/>
              <w:right w:val="single" w:color="auto" w:sz="4" w:space="0"/>
            </w:tcBorders>
            <w:noWrap/>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0.30150011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0.30770011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0.06010011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0.06090011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rPr>
              <w:t>50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13.00380011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rPr>
            </w:pPr>
            <w:r>
              <w:rPr>
                <w:rFonts w:hint="default" w:ascii="Times New Roman" w:hAnsi="Times New Roman" w:eastAsia="等线" w:cs="Times New Roman"/>
                <w:color w:val="auto"/>
                <w:kern w:val="0"/>
                <w:sz w:val="20"/>
                <w:szCs w:val="22"/>
                <w:u w:val="single"/>
                <w:lang w:val="en-US" w:eastAsia="zh-CN"/>
              </w:rPr>
              <w:t>13.08200011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0.30130011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0.30760011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0.06010011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0.06090011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rPr>
              <w:t>200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12.98050011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rPr>
            </w:pPr>
            <w:r>
              <w:rPr>
                <w:rFonts w:hint="default" w:ascii="Times New Roman" w:hAnsi="Times New Roman" w:eastAsia="等线" w:cs="Times New Roman"/>
                <w:color w:val="auto"/>
                <w:kern w:val="0"/>
                <w:sz w:val="20"/>
                <w:szCs w:val="22"/>
                <w:u w:val="single"/>
                <w:lang w:val="en-US" w:eastAsia="zh-CN"/>
              </w:rPr>
              <w:t>13.05860011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0.30080011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0.30710011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0.06000011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0.06080011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rPr>
              <w:t>500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12.93410011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rPr>
            </w:pPr>
            <w:r>
              <w:rPr>
                <w:rFonts w:hint="default" w:ascii="Times New Roman" w:hAnsi="Times New Roman" w:eastAsia="等线" w:cs="Times New Roman"/>
                <w:color w:val="auto"/>
                <w:kern w:val="0"/>
                <w:sz w:val="20"/>
                <w:szCs w:val="22"/>
                <w:u w:val="single"/>
                <w:lang w:val="en-US" w:eastAsia="zh-CN"/>
              </w:rPr>
              <w:t>13.01190011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0.29990011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0.30610011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0.05980011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0.06060011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rPr>
              <w:t>1000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12.85710011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12.93440011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0.29830011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0.30450011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0.05950011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0.06030011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rPr>
              <w:t>1500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12.78060011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12.85740011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0.29680011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0.30290011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0.05920011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0.06000011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rPr>
              <w:t>2000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12.70450011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12.78090011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rPr>
            </w:pPr>
            <w:r>
              <w:rPr>
                <w:rFonts w:hint="default" w:ascii="Times New Roman" w:hAnsi="Times New Roman" w:eastAsia="等线" w:cs="Times New Roman"/>
                <w:color w:val="auto"/>
                <w:kern w:val="0"/>
                <w:sz w:val="20"/>
                <w:szCs w:val="22"/>
                <w:u w:val="single"/>
                <w:lang w:val="en-US" w:eastAsia="zh-CN"/>
              </w:rPr>
              <w:t>0.29520011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0.30140011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0.05890.011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eastAsia="zh-CN"/>
              </w:rPr>
            </w:pPr>
            <w:r>
              <w:rPr>
                <w:rFonts w:hint="default" w:ascii="Times New Roman" w:hAnsi="Times New Roman" w:eastAsia="等线" w:cs="Times New Roman"/>
                <w:color w:val="auto"/>
                <w:kern w:val="0"/>
                <w:sz w:val="20"/>
                <w:szCs w:val="22"/>
                <w:u w:val="single"/>
                <w:lang w:val="en-US" w:eastAsia="zh-CN"/>
              </w:rPr>
              <w:t>0.05970011</w:t>
            </w:r>
          </w:p>
        </w:tc>
      </w:tr>
    </w:tbl>
    <w:p>
      <w:pPr>
        <w:pStyle w:val="85"/>
        <w:rPr>
          <w:rFonts w:hAnsi="Times New Roman"/>
          <w:color w:val="auto"/>
          <w:kern w:val="0"/>
          <w:u w:val="single"/>
        </w:rPr>
      </w:pPr>
      <w:r>
        <w:rPr>
          <w:rFonts w:hAnsi="Times New Roman"/>
          <w:color w:val="auto"/>
          <w:kern w:val="0"/>
          <w:u w:val="single"/>
        </w:rPr>
        <w:t>根据预测结果，在</w:t>
      </w:r>
      <w:r>
        <w:rPr>
          <w:rFonts w:hint="eastAsia" w:hAnsi="Times New Roman"/>
          <w:color w:val="auto"/>
          <w:kern w:val="0"/>
          <w:u w:val="single"/>
        </w:rPr>
        <w:t>枯水</w:t>
      </w:r>
      <w:r>
        <w:rPr>
          <w:rFonts w:hAnsi="Times New Roman"/>
          <w:color w:val="auto"/>
          <w:kern w:val="0"/>
          <w:u w:val="single"/>
        </w:rPr>
        <w:t>期污水处理系统正常排污状况下</w:t>
      </w:r>
      <w:r>
        <w:rPr>
          <w:rFonts w:hint="eastAsia" w:hAnsi="Times New Roman"/>
          <w:color w:val="auto"/>
          <w:kern w:val="0"/>
          <w:u w:val="single"/>
        </w:rPr>
        <w:t>，污染物均可得到较快稀释扩散，项目</w:t>
      </w:r>
      <w:r>
        <w:rPr>
          <w:rFonts w:hAnsi="Times New Roman"/>
          <w:color w:val="auto"/>
          <w:kern w:val="0"/>
          <w:u w:val="single"/>
        </w:rPr>
        <w:t>COD</w:t>
      </w:r>
      <w:r>
        <w:rPr>
          <w:rFonts w:hint="eastAsia" w:hAnsi="Times New Roman"/>
          <w:color w:val="auto"/>
          <w:kern w:val="0"/>
          <w:u w:val="single"/>
        </w:rPr>
        <w:t>、</w:t>
      </w:r>
      <w:r>
        <w:rPr>
          <w:rFonts w:hAnsi="Times New Roman"/>
          <w:color w:val="auto"/>
          <w:kern w:val="0"/>
          <w:u w:val="single"/>
        </w:rPr>
        <w:t>氨氮</w:t>
      </w:r>
      <w:r>
        <w:rPr>
          <w:rFonts w:hint="eastAsia" w:hAnsi="Times New Roman"/>
          <w:color w:val="auto"/>
          <w:kern w:val="0"/>
          <w:u w:val="single"/>
        </w:rPr>
        <w:t>、T</w:t>
      </w:r>
      <w:r>
        <w:rPr>
          <w:rFonts w:hAnsi="Times New Roman"/>
          <w:color w:val="auto"/>
          <w:kern w:val="0"/>
          <w:u w:val="single"/>
        </w:rPr>
        <w:t>P</w:t>
      </w:r>
      <w:r>
        <w:rPr>
          <w:rFonts w:hint="eastAsia" w:hAnsi="Times New Roman"/>
          <w:color w:val="auto"/>
          <w:kern w:val="0"/>
          <w:u w:val="single"/>
        </w:rPr>
        <w:t>均能</w:t>
      </w:r>
      <w:r>
        <w:rPr>
          <w:rFonts w:hAnsi="Times New Roman"/>
          <w:color w:val="auto"/>
          <w:kern w:val="0"/>
          <w:u w:val="single"/>
        </w:rPr>
        <w:t>满足《地表水环境质量标准》（GB3838-2002）中</w:t>
      </w:r>
      <w:r>
        <w:rPr>
          <w:rFonts w:hint="eastAsia" w:ascii="宋体"/>
          <w:color w:val="auto"/>
          <w:kern w:val="0"/>
          <w:u w:val="single"/>
        </w:rPr>
        <w:t>Ⅲ</w:t>
      </w:r>
      <w:r>
        <w:rPr>
          <w:rFonts w:hAnsi="Times New Roman"/>
          <w:color w:val="auto"/>
          <w:kern w:val="0"/>
          <w:u w:val="single"/>
        </w:rPr>
        <w:t>类水质标准</w:t>
      </w:r>
      <w:r>
        <w:rPr>
          <w:rFonts w:hint="eastAsia" w:hAnsi="Times New Roman"/>
          <w:color w:val="auto"/>
          <w:kern w:val="0"/>
          <w:u w:val="single"/>
        </w:rPr>
        <w:t>；</w:t>
      </w:r>
      <w:r>
        <w:rPr>
          <w:rFonts w:hint="eastAsia" w:hAnsi="Times New Roman"/>
          <w:color w:val="auto"/>
          <w:kern w:val="0"/>
          <w:u w:val="single"/>
          <w:lang w:eastAsia="zh-CN"/>
        </w:rPr>
        <w:t>由于本项目处理量较小</w:t>
      </w:r>
      <w:r>
        <w:rPr>
          <w:rFonts w:hAnsi="Times New Roman"/>
          <w:color w:val="auto"/>
          <w:kern w:val="0"/>
          <w:u w:val="single"/>
        </w:rPr>
        <w:t>在</w:t>
      </w:r>
      <w:r>
        <w:rPr>
          <w:rFonts w:hint="eastAsia" w:hAnsi="Times New Roman"/>
          <w:color w:val="auto"/>
          <w:kern w:val="0"/>
          <w:u w:val="single"/>
        </w:rPr>
        <w:t>枯水</w:t>
      </w:r>
      <w:r>
        <w:rPr>
          <w:rFonts w:hAnsi="Times New Roman"/>
          <w:color w:val="auto"/>
          <w:kern w:val="0"/>
          <w:u w:val="single"/>
        </w:rPr>
        <w:t>期污水处理系统非正常排污状况下，</w:t>
      </w:r>
      <w:r>
        <w:rPr>
          <w:rFonts w:hint="eastAsia" w:hAnsi="Times New Roman"/>
          <w:color w:val="auto"/>
          <w:kern w:val="0"/>
          <w:u w:val="single"/>
        </w:rPr>
        <w:t>项目</w:t>
      </w:r>
      <w:r>
        <w:rPr>
          <w:rFonts w:hAnsi="Times New Roman"/>
          <w:color w:val="auto"/>
          <w:kern w:val="0"/>
          <w:u w:val="single"/>
        </w:rPr>
        <w:t>COD</w:t>
      </w:r>
      <w:r>
        <w:rPr>
          <w:rFonts w:hint="eastAsia" w:hAnsi="Times New Roman"/>
          <w:color w:val="auto"/>
          <w:kern w:val="0"/>
          <w:u w:val="single"/>
        </w:rPr>
        <w:t>、</w:t>
      </w:r>
      <w:r>
        <w:rPr>
          <w:rFonts w:hAnsi="Times New Roman"/>
          <w:color w:val="auto"/>
          <w:kern w:val="0"/>
          <w:u w:val="single"/>
        </w:rPr>
        <w:t>氨氮</w:t>
      </w:r>
      <w:r>
        <w:rPr>
          <w:rFonts w:hint="eastAsia" w:hAnsi="Times New Roman"/>
          <w:color w:val="auto"/>
          <w:kern w:val="0"/>
          <w:u w:val="single"/>
        </w:rPr>
        <w:t>、T</w:t>
      </w:r>
      <w:r>
        <w:rPr>
          <w:rFonts w:hAnsi="Times New Roman"/>
          <w:color w:val="auto"/>
          <w:kern w:val="0"/>
          <w:u w:val="single"/>
        </w:rPr>
        <w:t>P</w:t>
      </w:r>
      <w:r>
        <w:rPr>
          <w:rFonts w:hint="eastAsia" w:hAnsi="Times New Roman"/>
          <w:color w:val="auto"/>
          <w:kern w:val="0"/>
          <w:u w:val="single"/>
          <w:lang w:eastAsia="zh-CN"/>
        </w:rPr>
        <w:t>仍能</w:t>
      </w:r>
      <w:r>
        <w:rPr>
          <w:rFonts w:hAnsi="Times New Roman"/>
          <w:color w:val="auto"/>
          <w:kern w:val="0"/>
          <w:u w:val="single"/>
        </w:rPr>
        <w:t>满足《地表水环境质量标准》（GB3838-2002）中</w:t>
      </w:r>
      <w:r>
        <w:rPr>
          <w:rFonts w:hint="eastAsia" w:ascii="宋体"/>
          <w:color w:val="auto"/>
          <w:kern w:val="0"/>
          <w:u w:val="single"/>
        </w:rPr>
        <w:t>Ⅲ</w:t>
      </w:r>
      <w:r>
        <w:rPr>
          <w:rFonts w:hAnsi="Times New Roman"/>
          <w:color w:val="auto"/>
          <w:kern w:val="0"/>
          <w:u w:val="single"/>
        </w:rPr>
        <w:t>类水质标准。</w:t>
      </w:r>
    </w:p>
    <w:p>
      <w:pPr>
        <w:pStyle w:val="69"/>
        <w:rPr>
          <w:color w:val="auto"/>
          <w:u w:val="none"/>
        </w:rPr>
      </w:pPr>
      <w:r>
        <w:rPr>
          <w:color w:val="auto"/>
          <w:u w:val="none"/>
        </w:rPr>
        <w:t>4.2.2.</w:t>
      </w:r>
      <w:r>
        <w:rPr>
          <w:rFonts w:hint="eastAsia"/>
          <w:color w:val="auto"/>
          <w:u w:val="none"/>
          <w:lang w:val="en-US" w:eastAsia="zh-CN"/>
        </w:rPr>
        <w:t>2</w:t>
      </w:r>
      <w:r>
        <w:rPr>
          <w:color w:val="auto"/>
          <w:u w:val="none"/>
        </w:rPr>
        <w:t>水环境容量</w:t>
      </w:r>
    </w:p>
    <w:p>
      <w:pPr>
        <w:widowControl w:val="0"/>
        <w:ind w:firstLine="480"/>
        <w:jc w:val="both"/>
        <w:rPr>
          <w:rFonts w:hint="eastAsia"/>
          <w:color w:val="auto"/>
          <w:u w:val="single"/>
        </w:rPr>
      </w:pPr>
      <w:r>
        <w:rPr>
          <w:rFonts w:hint="eastAsia"/>
          <w:u w:val="single"/>
          <w:lang w:val="en-US" w:eastAsia="zh-CN"/>
        </w:rPr>
        <w:t>根据《湘西自治州水功能区纳污能力核定和限排总量控制方案》中对猛洞河一级区划-猛洞河永顺开发利用区，二级区划-猛洞河永顺景观娱乐用水区水段的核算，目前COD纳污能力为315.36t/a，限制排放总量202.3t/a，氨氮纳污能力为25.23t/a，限制排放总量25.23t/a。</w:t>
      </w:r>
      <w:r>
        <w:rPr>
          <w:rFonts w:hint="eastAsia"/>
          <w:color w:val="auto"/>
          <w:u w:val="single"/>
        </w:rPr>
        <w:t>本项目COD、NH</w:t>
      </w:r>
      <w:r>
        <w:rPr>
          <w:rFonts w:hint="eastAsia"/>
          <w:color w:val="auto"/>
          <w:u w:val="single"/>
          <w:vertAlign w:val="subscript"/>
        </w:rPr>
        <w:t>3</w:t>
      </w:r>
      <w:r>
        <w:rPr>
          <w:rFonts w:hint="eastAsia"/>
          <w:color w:val="auto"/>
          <w:u w:val="single"/>
        </w:rPr>
        <w:t>-N排污量分别为</w:t>
      </w:r>
      <w:r>
        <w:rPr>
          <w:rFonts w:hint="eastAsia"/>
          <w:color w:val="auto"/>
          <w:u w:val="single"/>
          <w:lang w:val="en-US" w:eastAsia="zh-CN"/>
        </w:rPr>
        <w:t>18.25</w:t>
      </w:r>
      <w:r>
        <w:rPr>
          <w:rFonts w:hint="eastAsia"/>
          <w:color w:val="auto"/>
          <w:u w:val="single"/>
        </w:rPr>
        <w:t>t/a</w:t>
      </w:r>
      <w:r>
        <w:rPr>
          <w:rFonts w:hint="eastAsia"/>
          <w:color w:val="auto"/>
          <w:u w:val="single"/>
          <w:lang w:eastAsia="zh-CN"/>
        </w:rPr>
        <w:t>、</w:t>
      </w:r>
      <w:r>
        <w:rPr>
          <w:rFonts w:hint="eastAsia"/>
          <w:color w:val="auto"/>
          <w:u w:val="single"/>
          <w:lang w:val="en-US" w:eastAsia="zh-CN"/>
        </w:rPr>
        <w:t>1.825</w:t>
      </w:r>
      <w:r>
        <w:rPr>
          <w:rFonts w:hint="eastAsia"/>
          <w:color w:val="auto"/>
          <w:u w:val="single"/>
        </w:rPr>
        <w:t>t/a，受纳水体</w:t>
      </w:r>
      <w:r>
        <w:rPr>
          <w:rFonts w:hint="eastAsia"/>
          <w:color w:val="auto"/>
          <w:u w:val="single"/>
          <w:lang w:eastAsia="zh-CN"/>
        </w:rPr>
        <w:t>猛洞河</w:t>
      </w:r>
      <w:r>
        <w:rPr>
          <w:rFonts w:hint="eastAsia"/>
          <w:color w:val="auto"/>
          <w:u w:val="single"/>
        </w:rPr>
        <w:t>水环境容量在枯水期能满足本项目排污总量要求。</w:t>
      </w:r>
    </w:p>
    <w:p>
      <w:pPr>
        <w:pStyle w:val="93"/>
        <w:rPr>
          <w:color w:val="auto"/>
          <w:u w:val="single"/>
        </w:rPr>
      </w:pPr>
      <w:r>
        <w:rPr>
          <w:rFonts w:hint="eastAsia"/>
          <w:color w:val="auto"/>
          <w:u w:val="single"/>
        </w:rPr>
        <w:t>4</w:t>
      </w:r>
      <w:r>
        <w:rPr>
          <w:color w:val="auto"/>
          <w:u w:val="single"/>
        </w:rPr>
        <w:t>.2.2.</w:t>
      </w:r>
      <w:r>
        <w:rPr>
          <w:rFonts w:hint="eastAsia"/>
          <w:color w:val="auto"/>
          <w:u w:val="single"/>
          <w:lang w:val="en-US" w:eastAsia="zh-CN"/>
        </w:rPr>
        <w:t>3</w:t>
      </w:r>
      <w:r>
        <w:rPr>
          <w:rFonts w:hint="eastAsia"/>
          <w:color w:val="auto"/>
          <w:u w:val="single"/>
        </w:rPr>
        <w:t>正效益分析</w:t>
      </w:r>
    </w:p>
    <w:p>
      <w:pPr>
        <w:ind w:firstLine="480"/>
        <w:jc w:val="both"/>
        <w:rPr>
          <w:color w:val="auto"/>
          <w:u w:val="single"/>
          <w:lang w:val="zh-CN"/>
        </w:rPr>
      </w:pPr>
      <w:r>
        <w:rPr>
          <w:rFonts w:hint="eastAsia"/>
          <w:color w:val="auto"/>
          <w:szCs w:val="21"/>
          <w:u w:val="single"/>
          <w:lang w:eastAsia="zh-CN"/>
        </w:rPr>
        <w:t>本项目污水处理工艺采用“</w:t>
      </w:r>
      <w:r>
        <w:rPr>
          <w:rFonts w:hint="eastAsia"/>
          <w:color w:val="auto"/>
          <w:u w:val="single"/>
          <w:lang w:eastAsia="zh-CN"/>
        </w:rPr>
        <w:t>格栅渠</w:t>
      </w:r>
      <w:r>
        <w:rPr>
          <w:rFonts w:hint="eastAsia"/>
          <w:color w:val="auto"/>
          <w:u w:val="single"/>
        </w:rPr>
        <w:t>→沉砂池→调节池→</w:t>
      </w:r>
      <w:r>
        <w:rPr>
          <w:rFonts w:hint="eastAsia"/>
          <w:color w:val="auto"/>
          <w:u w:val="single"/>
          <w:lang w:val="en-US" w:eastAsia="zh-CN"/>
        </w:rPr>
        <w:t>MBR一体化设备</w:t>
      </w:r>
      <w:r>
        <w:rPr>
          <w:rFonts w:hint="eastAsia"/>
          <w:color w:val="auto"/>
          <w:u w:val="single"/>
        </w:rPr>
        <w:t>→紫外消毒→</w:t>
      </w:r>
      <w:r>
        <w:rPr>
          <w:rFonts w:hint="eastAsia"/>
          <w:color w:val="auto"/>
          <w:u w:val="single"/>
          <w:lang w:eastAsia="zh-CN"/>
        </w:rPr>
        <w:t>清水池”</w:t>
      </w:r>
      <w:r>
        <w:rPr>
          <w:rFonts w:hint="eastAsia"/>
          <w:color w:val="auto"/>
          <w:szCs w:val="21"/>
          <w:u w:val="single"/>
        </w:rPr>
        <w:t>工艺</w:t>
      </w:r>
      <w:r>
        <w:rPr>
          <w:color w:val="auto"/>
          <w:szCs w:val="21"/>
          <w:u w:val="single"/>
        </w:rPr>
        <w:t>。</w:t>
      </w:r>
      <w:r>
        <w:rPr>
          <w:rFonts w:hAnsi="宋体"/>
          <w:color w:val="auto"/>
          <w:u w:val="single"/>
        </w:rPr>
        <w:t>污水经过污水处理厂各处理单元处理</w:t>
      </w:r>
      <w:r>
        <w:rPr>
          <w:rFonts w:hint="eastAsia" w:hAnsi="宋体"/>
          <w:color w:val="auto"/>
          <w:u w:val="single"/>
          <w:lang w:eastAsia="zh-CN"/>
        </w:rPr>
        <w:t>后</w:t>
      </w:r>
      <w:r>
        <w:rPr>
          <w:rFonts w:hAnsi="宋体"/>
          <w:color w:val="auto"/>
          <w:u w:val="single"/>
        </w:rPr>
        <w:t>主要污染物去除效率为</w:t>
      </w:r>
      <w:r>
        <w:rPr>
          <w:rFonts w:hint="eastAsia"/>
          <w:color w:val="auto"/>
          <w:u w:val="single"/>
        </w:rPr>
        <w:t>COD约</w:t>
      </w:r>
      <w:r>
        <w:rPr>
          <w:rFonts w:hint="eastAsia"/>
          <w:color w:val="auto"/>
          <w:szCs w:val="21"/>
          <w:u w:val="single"/>
          <w:lang w:val="en-US" w:eastAsia="zh-CN"/>
        </w:rPr>
        <w:t>90</w:t>
      </w:r>
      <w:r>
        <w:rPr>
          <w:rFonts w:hint="eastAsia"/>
          <w:color w:val="auto"/>
          <w:u w:val="single"/>
        </w:rPr>
        <w:t>%</w:t>
      </w:r>
      <w:r>
        <w:rPr>
          <w:rFonts w:hint="eastAsia"/>
          <w:color w:val="auto"/>
          <w:u w:val="single"/>
          <w:lang w:eastAsia="zh-CN"/>
        </w:rPr>
        <w:t>、</w:t>
      </w:r>
      <w:r>
        <w:rPr>
          <w:rFonts w:hint="eastAsia"/>
          <w:color w:val="auto"/>
          <w:u w:val="single"/>
        </w:rPr>
        <w:t>BOD</w:t>
      </w:r>
      <w:r>
        <w:rPr>
          <w:rFonts w:hint="eastAsia"/>
          <w:color w:val="auto"/>
          <w:u w:val="single"/>
          <w:vertAlign w:val="subscript"/>
        </w:rPr>
        <w:t>5</w:t>
      </w:r>
      <w:r>
        <w:rPr>
          <w:rFonts w:hint="eastAsia"/>
          <w:color w:val="auto"/>
          <w:u w:val="single"/>
        </w:rPr>
        <w:t>约</w:t>
      </w:r>
      <w:r>
        <w:rPr>
          <w:rFonts w:hint="eastAsia"/>
          <w:color w:val="auto"/>
          <w:szCs w:val="21"/>
          <w:u w:val="single"/>
          <w:lang w:val="en-US" w:eastAsia="zh-CN"/>
        </w:rPr>
        <w:t>96.67</w:t>
      </w:r>
      <w:r>
        <w:rPr>
          <w:rFonts w:hint="eastAsia"/>
          <w:color w:val="auto"/>
          <w:u w:val="single"/>
        </w:rPr>
        <w:t>%</w:t>
      </w:r>
      <w:r>
        <w:rPr>
          <w:rFonts w:hint="eastAsia"/>
          <w:color w:val="auto"/>
          <w:u w:val="single"/>
          <w:lang w:eastAsia="zh-CN"/>
        </w:rPr>
        <w:t>、</w:t>
      </w:r>
      <w:r>
        <w:rPr>
          <w:rFonts w:hint="eastAsia"/>
          <w:color w:val="auto"/>
          <w:u w:val="single"/>
        </w:rPr>
        <w:t>SS约</w:t>
      </w:r>
      <w:r>
        <w:rPr>
          <w:rFonts w:hint="eastAsia"/>
          <w:color w:val="auto"/>
          <w:u w:val="single"/>
          <w:lang w:val="en-US" w:eastAsia="zh-CN"/>
        </w:rPr>
        <w:t>97.5</w:t>
      </w:r>
      <w:r>
        <w:rPr>
          <w:rFonts w:hint="eastAsia"/>
          <w:color w:val="auto"/>
          <w:u w:val="single"/>
        </w:rPr>
        <w:t>%</w:t>
      </w:r>
      <w:r>
        <w:rPr>
          <w:rFonts w:hint="eastAsia"/>
          <w:color w:val="auto"/>
          <w:u w:val="single"/>
          <w:lang w:eastAsia="zh-CN"/>
        </w:rPr>
        <w:t>、</w:t>
      </w:r>
      <w:r>
        <w:rPr>
          <w:rFonts w:hint="eastAsia"/>
          <w:color w:val="auto"/>
          <w:u w:val="single"/>
        </w:rPr>
        <w:t>NH</w:t>
      </w:r>
      <w:r>
        <w:rPr>
          <w:rFonts w:hint="eastAsia"/>
          <w:color w:val="auto"/>
          <w:u w:val="single"/>
          <w:vertAlign w:val="subscript"/>
        </w:rPr>
        <w:t>3</w:t>
      </w:r>
      <w:r>
        <w:rPr>
          <w:rFonts w:hint="eastAsia"/>
          <w:color w:val="auto"/>
          <w:u w:val="single"/>
        </w:rPr>
        <w:t>-N约</w:t>
      </w:r>
      <w:r>
        <w:rPr>
          <w:rFonts w:hint="eastAsia"/>
          <w:color w:val="auto"/>
          <w:szCs w:val="21"/>
          <w:u w:val="single"/>
          <w:lang w:val="en-US" w:eastAsia="zh-CN"/>
        </w:rPr>
        <w:t>80</w:t>
      </w:r>
      <w:r>
        <w:rPr>
          <w:rFonts w:hint="eastAsia"/>
          <w:color w:val="auto"/>
          <w:u w:val="single"/>
        </w:rPr>
        <w:t>%</w:t>
      </w:r>
      <w:r>
        <w:rPr>
          <w:rFonts w:hint="eastAsia"/>
          <w:color w:val="auto"/>
          <w:u w:val="single"/>
          <w:lang w:eastAsia="zh-CN"/>
        </w:rPr>
        <w:t>、</w:t>
      </w:r>
      <w:r>
        <w:rPr>
          <w:rFonts w:hint="eastAsia"/>
          <w:color w:val="auto"/>
          <w:u w:val="single"/>
        </w:rPr>
        <w:t>TP约</w:t>
      </w:r>
      <w:r>
        <w:rPr>
          <w:rFonts w:hint="eastAsia"/>
          <w:color w:val="auto"/>
          <w:u w:val="single"/>
          <w:lang w:val="en-US" w:eastAsia="zh-CN"/>
        </w:rPr>
        <w:t>90</w:t>
      </w:r>
      <w:r>
        <w:rPr>
          <w:rFonts w:hint="eastAsia"/>
          <w:color w:val="auto"/>
          <w:u w:val="single"/>
        </w:rPr>
        <w:t>%</w:t>
      </w:r>
      <w:r>
        <w:rPr>
          <w:rFonts w:hint="eastAsia"/>
          <w:color w:val="auto"/>
          <w:u w:val="single"/>
          <w:lang w:eastAsia="zh-CN"/>
        </w:rPr>
        <w:t>、</w:t>
      </w:r>
      <w:r>
        <w:rPr>
          <w:rFonts w:hint="eastAsia"/>
          <w:color w:val="auto"/>
          <w:u w:val="single"/>
          <w:lang w:val="en-US" w:eastAsia="zh-CN"/>
        </w:rPr>
        <w:t>TN约为66.67%、石油类约为95%、动植物油约为99%</w:t>
      </w:r>
      <w:r>
        <w:rPr>
          <w:rFonts w:hAnsi="宋体"/>
          <w:color w:val="auto"/>
          <w:u w:val="single"/>
        </w:rPr>
        <w:t>，污水经污水处理工艺处理后的</w:t>
      </w:r>
      <w:r>
        <w:rPr>
          <w:rFonts w:hAnsi="宋体"/>
          <w:bCs/>
          <w:snapToGrid w:val="0"/>
          <w:color w:val="auto"/>
          <w:u w:val="single"/>
        </w:rPr>
        <w:t>尾水可以达到</w:t>
      </w:r>
      <w:r>
        <w:rPr>
          <w:rFonts w:hAnsi="宋体"/>
          <w:color w:val="auto"/>
          <w:u w:val="single"/>
        </w:rPr>
        <w:t>《城镇污水处理厂污染物排放标准》</w:t>
      </w:r>
      <w:r>
        <w:rPr>
          <w:rFonts w:hint="eastAsia" w:hAnsi="宋体"/>
          <w:color w:val="auto"/>
          <w:u w:val="single"/>
        </w:rPr>
        <w:t>（GB18918-2002）一级</w:t>
      </w:r>
      <w:r>
        <w:rPr>
          <w:rFonts w:hAnsi="宋体"/>
          <w:color w:val="auto"/>
          <w:u w:val="single"/>
        </w:rPr>
        <w:t>A</w:t>
      </w:r>
      <w:r>
        <w:rPr>
          <w:rFonts w:hint="eastAsia" w:hAnsi="宋体"/>
          <w:color w:val="auto"/>
          <w:u w:val="single"/>
        </w:rPr>
        <w:t>排放标准。</w:t>
      </w:r>
    </w:p>
    <w:p>
      <w:pPr>
        <w:ind w:firstLine="480"/>
        <w:jc w:val="both"/>
        <w:rPr>
          <w:color w:val="auto"/>
          <w:u w:val="single"/>
          <w:lang w:val="zh-CN"/>
        </w:rPr>
      </w:pPr>
      <w:r>
        <w:rPr>
          <w:color w:val="auto"/>
          <w:u w:val="single"/>
          <w:lang w:val="zh-CN"/>
        </w:rPr>
        <w:t>工程运行之后，COD</w:t>
      </w:r>
      <w:r>
        <w:rPr>
          <w:color w:val="auto"/>
          <w:u w:val="single"/>
          <w:vertAlign w:val="subscript"/>
          <w:lang w:val="zh-CN"/>
        </w:rPr>
        <w:t>Cr</w:t>
      </w:r>
      <w:r>
        <w:rPr>
          <w:color w:val="auto"/>
          <w:u w:val="single"/>
          <w:lang w:val="zh-CN"/>
        </w:rPr>
        <w:t>由原先的</w:t>
      </w:r>
      <w:r>
        <w:rPr>
          <w:rFonts w:hint="eastAsia"/>
          <w:color w:val="auto"/>
          <w:u w:val="single"/>
          <w:lang w:val="en-US" w:eastAsia="zh-CN"/>
        </w:rPr>
        <w:t>182.5t</w:t>
      </w:r>
      <w:r>
        <w:rPr>
          <w:color w:val="auto"/>
          <w:u w:val="single"/>
          <w:lang w:val="zh-CN"/>
        </w:rPr>
        <w:t>/a削减至</w:t>
      </w:r>
      <w:r>
        <w:rPr>
          <w:rFonts w:hint="eastAsia"/>
          <w:color w:val="auto"/>
          <w:u w:val="single"/>
          <w:lang w:val="en-US" w:eastAsia="zh-CN"/>
        </w:rPr>
        <w:t>18.25</w:t>
      </w:r>
      <w:r>
        <w:rPr>
          <w:color w:val="auto"/>
          <w:u w:val="single"/>
          <w:lang w:val="zh-CN"/>
        </w:rPr>
        <w:t>t/a，削减量达到</w:t>
      </w:r>
      <w:r>
        <w:rPr>
          <w:rFonts w:hint="eastAsia"/>
          <w:color w:val="auto"/>
          <w:u w:val="single"/>
          <w:lang w:val="en-US" w:eastAsia="zh-CN"/>
        </w:rPr>
        <w:t>164.25</w:t>
      </w:r>
      <w:r>
        <w:rPr>
          <w:color w:val="auto"/>
          <w:u w:val="single"/>
          <w:lang w:val="zh-CN"/>
        </w:rPr>
        <w:t>t/a，削减率达</w:t>
      </w:r>
      <w:r>
        <w:rPr>
          <w:rFonts w:hint="eastAsia"/>
          <w:color w:val="auto"/>
          <w:u w:val="single"/>
          <w:lang w:val="en-US" w:eastAsia="zh-CN"/>
        </w:rPr>
        <w:t>90</w:t>
      </w:r>
      <w:r>
        <w:rPr>
          <w:color w:val="auto"/>
          <w:u w:val="single"/>
          <w:lang w:val="zh-CN"/>
        </w:rPr>
        <w:t>%</w:t>
      </w:r>
      <w:r>
        <w:rPr>
          <w:rFonts w:hint="eastAsia"/>
          <w:color w:val="auto"/>
          <w:u w:val="single"/>
          <w:lang w:val="zh-CN"/>
        </w:rPr>
        <w:t>；</w:t>
      </w:r>
      <w:r>
        <w:rPr>
          <w:color w:val="auto"/>
          <w:u w:val="single"/>
          <w:lang w:val="zh-CN"/>
        </w:rPr>
        <w:t>NH</w:t>
      </w:r>
      <w:r>
        <w:rPr>
          <w:color w:val="auto"/>
          <w:u w:val="single"/>
          <w:vertAlign w:val="subscript"/>
          <w:lang w:val="zh-CN"/>
        </w:rPr>
        <w:t>3</w:t>
      </w:r>
      <w:r>
        <w:rPr>
          <w:color w:val="auto"/>
          <w:u w:val="single"/>
          <w:lang w:val="zh-CN"/>
        </w:rPr>
        <w:t>-H由原先的</w:t>
      </w:r>
      <w:r>
        <w:rPr>
          <w:rFonts w:hint="eastAsia"/>
          <w:color w:val="auto"/>
          <w:u w:val="single"/>
          <w:lang w:val="en-US" w:eastAsia="zh-CN"/>
        </w:rPr>
        <w:t>9.125</w:t>
      </w:r>
      <w:r>
        <w:rPr>
          <w:color w:val="auto"/>
          <w:u w:val="single"/>
          <w:lang w:val="zh-CN"/>
        </w:rPr>
        <w:t>t/a削减至</w:t>
      </w:r>
      <w:r>
        <w:rPr>
          <w:rFonts w:hint="eastAsia"/>
          <w:color w:val="auto"/>
          <w:u w:val="single"/>
          <w:lang w:val="en-US" w:eastAsia="zh-CN"/>
        </w:rPr>
        <w:t>1.825</w:t>
      </w:r>
      <w:r>
        <w:rPr>
          <w:color w:val="auto"/>
          <w:u w:val="single"/>
          <w:lang w:val="zh-CN"/>
        </w:rPr>
        <w:t>t/a，削减量达到</w:t>
      </w:r>
      <w:r>
        <w:rPr>
          <w:rFonts w:hint="eastAsia"/>
          <w:color w:val="auto"/>
          <w:u w:val="single"/>
          <w:lang w:val="en-US" w:eastAsia="zh-CN"/>
        </w:rPr>
        <w:t>7.3</w:t>
      </w:r>
      <w:r>
        <w:rPr>
          <w:color w:val="auto"/>
          <w:u w:val="single"/>
          <w:lang w:val="zh-CN"/>
        </w:rPr>
        <w:t>t/a，削减率达</w:t>
      </w:r>
      <w:r>
        <w:rPr>
          <w:rFonts w:hint="eastAsia"/>
          <w:color w:val="auto"/>
          <w:u w:val="single"/>
          <w:lang w:val="en-US" w:eastAsia="zh-CN"/>
        </w:rPr>
        <w:t>80</w:t>
      </w:r>
      <w:r>
        <w:rPr>
          <w:color w:val="auto"/>
          <w:u w:val="single"/>
          <w:lang w:val="zh-CN"/>
        </w:rPr>
        <w:t>%</w:t>
      </w:r>
      <w:r>
        <w:rPr>
          <w:rFonts w:hint="eastAsia"/>
          <w:color w:val="auto"/>
          <w:u w:val="single"/>
          <w:lang w:val="zh-CN"/>
        </w:rPr>
        <w:t>；</w:t>
      </w:r>
      <w:r>
        <w:rPr>
          <w:color w:val="auto"/>
          <w:u w:val="single"/>
          <w:lang w:val="zh-CN"/>
        </w:rPr>
        <w:t>TP由原先的</w:t>
      </w:r>
      <w:r>
        <w:rPr>
          <w:rFonts w:hint="eastAsia"/>
          <w:color w:val="auto"/>
          <w:u w:val="single"/>
          <w:lang w:val="en-US" w:eastAsia="zh-CN"/>
        </w:rPr>
        <w:t>1.825</w:t>
      </w:r>
      <w:r>
        <w:rPr>
          <w:color w:val="auto"/>
          <w:u w:val="single"/>
          <w:lang w:val="zh-CN"/>
        </w:rPr>
        <w:t>t/a削减至</w:t>
      </w:r>
      <w:r>
        <w:rPr>
          <w:rFonts w:hint="eastAsia"/>
          <w:color w:val="auto"/>
          <w:u w:val="single"/>
          <w:lang w:val="en-US" w:eastAsia="zh-CN"/>
        </w:rPr>
        <w:t>0.1825</w:t>
      </w:r>
      <w:r>
        <w:rPr>
          <w:color w:val="auto"/>
          <w:u w:val="single"/>
          <w:lang w:val="zh-CN"/>
        </w:rPr>
        <w:t>t/a，削减量达到</w:t>
      </w:r>
      <w:r>
        <w:rPr>
          <w:rFonts w:hint="eastAsia"/>
          <w:color w:val="auto"/>
          <w:u w:val="single"/>
          <w:lang w:val="en-US" w:eastAsia="zh-CN"/>
        </w:rPr>
        <w:t>1.6425</w:t>
      </w:r>
      <w:r>
        <w:rPr>
          <w:color w:val="auto"/>
          <w:u w:val="single"/>
          <w:lang w:val="zh-CN"/>
        </w:rPr>
        <w:t>t/a，削减率达</w:t>
      </w:r>
      <w:r>
        <w:rPr>
          <w:rFonts w:hint="eastAsia"/>
          <w:color w:val="auto"/>
          <w:u w:val="single"/>
          <w:lang w:val="en-US" w:eastAsia="zh-CN"/>
        </w:rPr>
        <w:t>90</w:t>
      </w:r>
      <w:r>
        <w:rPr>
          <w:color w:val="auto"/>
          <w:u w:val="single"/>
          <w:lang w:val="zh-CN"/>
        </w:rPr>
        <w:t>%。</w:t>
      </w:r>
    </w:p>
    <w:p>
      <w:pPr>
        <w:pStyle w:val="6"/>
        <w:bidi w:val="0"/>
        <w:rPr>
          <w:rFonts w:hint="eastAsia"/>
        </w:rPr>
      </w:pPr>
      <w:r>
        <w:rPr>
          <w:rFonts w:hint="eastAsia"/>
        </w:rPr>
        <w:t>4.</w:t>
      </w:r>
      <w:r>
        <w:t>2</w:t>
      </w:r>
      <w:r>
        <w:rPr>
          <w:rFonts w:hint="eastAsia"/>
        </w:rPr>
        <w:t>.3地下水环境影响预测</w:t>
      </w:r>
    </w:p>
    <w:p>
      <w:pPr>
        <w:pStyle w:val="69"/>
        <w:bidi w:val="0"/>
        <w:rPr>
          <w:rFonts w:hint="default"/>
          <w:color w:val="auto"/>
          <w:lang w:val="en-US" w:eastAsia="zh-CN"/>
        </w:rPr>
      </w:pPr>
      <w:r>
        <w:rPr>
          <w:rFonts w:hint="eastAsia"/>
          <w:color w:val="auto"/>
          <w:lang w:val="en-US" w:eastAsia="zh-CN"/>
        </w:rPr>
        <w:t>4.2.3.1地下水污染途径</w:t>
      </w:r>
    </w:p>
    <w:p>
      <w:pPr>
        <w:ind w:firstLine="480"/>
        <w:rPr>
          <w:rFonts w:hint="eastAsia"/>
          <w:color w:val="auto"/>
        </w:rPr>
      </w:pPr>
      <w:r>
        <w:rPr>
          <w:rFonts w:hint="eastAsia"/>
          <w:color w:val="auto"/>
        </w:rPr>
        <w:t>污染物从污染源进入地下水所经过路径称为地下水污染途径，地下水污染途</w:t>
      </w:r>
    </w:p>
    <w:p>
      <w:pPr>
        <w:ind w:firstLine="0" w:firstLineChars="0"/>
        <w:rPr>
          <w:rFonts w:hint="eastAsia"/>
          <w:color w:val="auto"/>
        </w:rPr>
      </w:pPr>
      <w:r>
        <w:rPr>
          <w:rFonts w:hint="eastAsia"/>
          <w:color w:val="auto"/>
        </w:rPr>
        <w:t>径主要有几下几种：</w:t>
      </w:r>
    </w:p>
    <w:p>
      <w:pPr>
        <w:ind w:firstLine="480"/>
        <w:rPr>
          <w:rFonts w:hint="eastAsia"/>
          <w:color w:val="auto"/>
        </w:rPr>
      </w:pPr>
      <w:r>
        <w:rPr>
          <w:rFonts w:hint="eastAsia"/>
          <w:color w:val="auto"/>
        </w:rPr>
        <w:t>①通过渗坑、渗井等排放而直接污染含水层；</w:t>
      </w:r>
    </w:p>
    <w:p>
      <w:pPr>
        <w:ind w:firstLine="480"/>
        <w:rPr>
          <w:rFonts w:hint="eastAsia"/>
          <w:color w:val="auto"/>
        </w:rPr>
      </w:pPr>
      <w:r>
        <w:rPr>
          <w:rFonts w:hint="eastAsia"/>
          <w:color w:val="auto"/>
        </w:rPr>
        <w:t>②由入渗水载带的地面污染物经非饱和带垂直进入潜水含水层；</w:t>
      </w:r>
    </w:p>
    <w:p>
      <w:pPr>
        <w:ind w:firstLine="480"/>
        <w:rPr>
          <w:rFonts w:hint="eastAsia"/>
          <w:color w:val="auto"/>
        </w:rPr>
      </w:pPr>
      <w:r>
        <w:rPr>
          <w:rFonts w:hint="eastAsia"/>
          <w:color w:val="auto"/>
        </w:rPr>
        <w:t>③污水排入地表水后，污染的地表水可通过岩层侧向补给进入潜水或少数深层承压水；</w:t>
      </w:r>
    </w:p>
    <w:p>
      <w:pPr>
        <w:ind w:firstLine="480"/>
        <w:rPr>
          <w:rFonts w:hint="eastAsia"/>
          <w:color w:val="auto"/>
        </w:rPr>
      </w:pPr>
      <w:r>
        <w:rPr>
          <w:rFonts w:hint="eastAsia"/>
          <w:color w:val="auto"/>
        </w:rPr>
        <w:t>④通过含水层顶板的水文地质窗（隔水层的缺口）垂直渗入或穿越隔水层（越流）补给深层承压水；</w:t>
      </w:r>
    </w:p>
    <w:p>
      <w:pPr>
        <w:ind w:firstLine="480"/>
        <w:rPr>
          <w:rFonts w:hint="eastAsia"/>
          <w:color w:val="auto"/>
        </w:rPr>
      </w:pPr>
      <w:r>
        <w:rPr>
          <w:rFonts w:hint="eastAsia"/>
          <w:color w:val="auto"/>
        </w:rPr>
        <w:t>⑤通过岩溶发育的渠道、泄水矿坑以及通过开采地下水的管井而进入潜水或深层承压水；</w:t>
      </w:r>
    </w:p>
    <w:p>
      <w:pPr>
        <w:ind w:firstLine="480"/>
        <w:rPr>
          <w:rFonts w:hint="eastAsia"/>
          <w:color w:val="auto"/>
        </w:rPr>
      </w:pPr>
      <w:r>
        <w:rPr>
          <w:rFonts w:hint="eastAsia"/>
          <w:color w:val="auto"/>
        </w:rPr>
        <w:t>⑥在含水层疏干时，通过含水层本身的流动而污染潜水或承压水。</w:t>
      </w:r>
    </w:p>
    <w:p>
      <w:pPr>
        <w:ind w:firstLine="480"/>
        <w:rPr>
          <w:rFonts w:hint="eastAsia"/>
          <w:color w:val="auto"/>
          <w:u w:val="none"/>
        </w:rPr>
      </w:pPr>
      <w:r>
        <w:rPr>
          <w:rFonts w:hint="eastAsia"/>
          <w:color w:val="auto"/>
        </w:rPr>
        <w:t>根据本项目所处区域的地质情况，建设项目可能对地下水造成污染的途径主要有：污水池</w:t>
      </w:r>
      <w:r>
        <w:rPr>
          <w:rFonts w:hint="eastAsia"/>
          <w:color w:val="auto"/>
          <w:lang w:eastAsia="zh-CN"/>
        </w:rPr>
        <w:t>中</w:t>
      </w:r>
      <w:r>
        <w:rPr>
          <w:rFonts w:hint="eastAsia"/>
          <w:color w:val="auto"/>
        </w:rPr>
        <w:t>污水下渗对地下水造成的污染。</w:t>
      </w:r>
    </w:p>
    <w:p>
      <w:pPr>
        <w:pStyle w:val="69"/>
        <w:bidi w:val="0"/>
        <w:rPr>
          <w:rFonts w:hint="default"/>
          <w:color w:val="auto"/>
          <w:lang w:val="en-US" w:eastAsia="zh-CN"/>
        </w:rPr>
      </w:pPr>
      <w:r>
        <w:rPr>
          <w:rFonts w:hint="eastAsia"/>
          <w:color w:val="auto"/>
          <w:lang w:val="en-US" w:eastAsia="zh-CN"/>
        </w:rPr>
        <w:t>4.2.3.2</w:t>
      </w:r>
      <w:r>
        <w:rPr>
          <w:rFonts w:hint="eastAsia"/>
          <w:color w:val="auto"/>
        </w:rPr>
        <w:t>区域地质环境及水文环境</w:t>
      </w:r>
    </w:p>
    <w:p>
      <w:pPr>
        <w:ind w:firstLine="480"/>
        <w:rPr>
          <w:rFonts w:hint="eastAsia"/>
          <w:color w:val="auto"/>
          <w:u w:val="none"/>
        </w:rPr>
      </w:pPr>
      <w:r>
        <w:rPr>
          <w:rFonts w:hint="eastAsia"/>
          <w:color w:val="auto"/>
          <w:u w:val="none"/>
        </w:rPr>
        <w:t>区域地下水类型主要为第四系孔隙潜水、基岩裂隙水和岩溶裂隙水三类。</w:t>
      </w:r>
    </w:p>
    <w:p>
      <w:pPr>
        <w:ind w:firstLine="480"/>
        <w:rPr>
          <w:rFonts w:hint="eastAsia"/>
          <w:color w:val="auto"/>
          <w:u w:val="none"/>
        </w:rPr>
      </w:pPr>
      <w:r>
        <w:rPr>
          <w:rFonts w:hint="eastAsia"/>
          <w:color w:val="auto"/>
          <w:u w:val="none"/>
        </w:rPr>
        <w:t>孔隙潜水：主要赋存于丘陵地带的地势低洼谷地，靠大气降水补给，随季节变化明显，且地表水与地下水呈互补关系，水量较丰富。</w:t>
      </w:r>
    </w:p>
    <w:p>
      <w:pPr>
        <w:ind w:firstLine="480"/>
        <w:rPr>
          <w:rFonts w:hint="eastAsia"/>
          <w:color w:val="auto"/>
          <w:u w:val="none"/>
        </w:rPr>
      </w:pPr>
      <w:r>
        <w:rPr>
          <w:rFonts w:hint="eastAsia"/>
          <w:color w:val="auto"/>
          <w:u w:val="none"/>
        </w:rPr>
        <w:t>基岩裂隙水：主要赋存于基岩裂隙中，为碎屑岩裂隙水和浅变质岩裂隙水，评价区地下迳流模数多&lt;0.5L/s•km</w:t>
      </w:r>
      <w:r>
        <w:rPr>
          <w:rFonts w:hint="eastAsia"/>
          <w:color w:val="auto"/>
          <w:u w:val="none"/>
          <w:vertAlign w:val="superscript"/>
        </w:rPr>
        <w:t>2</w:t>
      </w:r>
      <w:r>
        <w:rPr>
          <w:rFonts w:hint="eastAsia"/>
          <w:color w:val="auto"/>
          <w:u w:val="none"/>
        </w:rPr>
        <w:t>，水量一般或贫乏，水位受大气降水和地形起伏影响变化较大。</w:t>
      </w:r>
    </w:p>
    <w:p>
      <w:pPr>
        <w:ind w:firstLine="480"/>
        <w:rPr>
          <w:rFonts w:hint="eastAsia"/>
          <w:color w:val="auto"/>
          <w:u w:val="none"/>
        </w:rPr>
      </w:pPr>
      <w:r>
        <w:rPr>
          <w:rFonts w:hint="eastAsia"/>
          <w:color w:val="auto"/>
          <w:u w:val="none"/>
        </w:rPr>
        <w:t>岩溶裂隙水：主要赋存于碳酸盐岩层裂隙或溶蚀空隙中，溶洞地下河中等发发育，地下迳流模数多2~3L/s•km</w:t>
      </w:r>
      <w:r>
        <w:rPr>
          <w:rFonts w:hint="eastAsia"/>
          <w:color w:val="auto"/>
          <w:u w:val="none"/>
          <w:vertAlign w:val="superscript"/>
        </w:rPr>
        <w:t>2</w:t>
      </w:r>
      <w:r>
        <w:rPr>
          <w:rFonts w:hint="eastAsia"/>
          <w:color w:val="auto"/>
          <w:u w:val="none"/>
        </w:rPr>
        <w:t>，与地表水联系较为密切和具有较大的动态变化幅度。</w:t>
      </w:r>
    </w:p>
    <w:p>
      <w:pPr>
        <w:pStyle w:val="125"/>
        <w:keepNext w:val="0"/>
        <w:keepLines w:val="0"/>
        <w:pageBreakBefore w:val="0"/>
        <w:kinsoku/>
        <w:wordWrap/>
        <w:overflowPunct/>
        <w:topLinePunct w:val="0"/>
        <w:autoSpaceDE/>
        <w:autoSpaceDN/>
        <w:bidi w:val="0"/>
        <w:ind w:firstLine="480"/>
        <w:textAlignment w:val="auto"/>
        <w:rPr>
          <w:rFonts w:hint="eastAsia" w:ascii="宋体" w:hAnsi="宋体" w:eastAsia="宋体" w:cs="宋体"/>
          <w:color w:val="auto"/>
          <w:u w:val="none"/>
        </w:rPr>
      </w:pPr>
      <w:r>
        <w:rPr>
          <w:rFonts w:hint="eastAsia" w:ascii="宋体" w:hAnsi="宋体" w:eastAsia="宋体" w:cs="宋体"/>
          <w:color w:val="auto"/>
          <w:u w:val="none"/>
        </w:rPr>
        <w:t>区域地下水的补给、径流、排泄条件和地下水动态特征，受到地形、地貌、地质构造和气候特征的影响</w:t>
      </w:r>
      <w:r>
        <w:rPr>
          <w:rFonts w:hint="eastAsia" w:ascii="宋体" w:hAnsi="宋体" w:eastAsia="宋体" w:cs="宋体"/>
          <w:color w:val="auto"/>
          <w:u w:val="none"/>
          <w:lang w:eastAsia="zh-CN"/>
        </w:rPr>
        <w:t>，</w:t>
      </w:r>
      <w:r>
        <w:rPr>
          <w:rFonts w:hint="eastAsia" w:ascii="宋体" w:hAnsi="宋体" w:eastAsia="宋体" w:cs="宋体"/>
          <w:color w:val="auto"/>
          <w:u w:val="none"/>
        </w:rPr>
        <w:t>各含水岩组地下水的主要补给来源是大气降水渗入补给和地表水的渗漏补给，其补给明显具有季节性特征，雨季降水量较大且相对集中，其大气降水渗入补给和地表水的渗漏补给量较大，含水岩组充水，水量较丰富，地下水位升高</w:t>
      </w:r>
      <w:r>
        <w:rPr>
          <w:rFonts w:hint="eastAsia" w:ascii="宋体" w:hAnsi="宋体" w:eastAsia="宋体" w:cs="宋体"/>
          <w:color w:val="auto"/>
          <w:u w:val="none"/>
          <w:lang w:eastAsia="zh-CN"/>
        </w:rPr>
        <w:t>；</w:t>
      </w:r>
      <w:r>
        <w:rPr>
          <w:rFonts w:hint="eastAsia" w:ascii="宋体" w:hAnsi="宋体" w:eastAsia="宋体" w:cs="宋体"/>
          <w:color w:val="auto"/>
          <w:u w:val="none"/>
        </w:rPr>
        <w:t>枯水季节降水量较少，大气降水渗入补给和地表水的渗漏补给量减少，含水岩组地下水水位降低，含水量变弱。</w:t>
      </w:r>
    </w:p>
    <w:p>
      <w:pPr>
        <w:ind w:firstLine="480"/>
        <w:rPr>
          <w:rFonts w:hint="eastAsia"/>
          <w:color w:val="auto"/>
          <w:u w:val="none"/>
        </w:rPr>
      </w:pPr>
      <w:r>
        <w:rPr>
          <w:rFonts w:hint="eastAsia" w:ascii="宋体" w:hAnsi="宋体" w:eastAsia="宋体" w:cs="宋体"/>
          <w:color w:val="auto"/>
          <w:u w:val="none"/>
        </w:rPr>
        <w:t>区域内地下水的径流受地形地貌、地层分布、地质构造的影响，地下水的径流方向一般与地形坡向、岩层走向、地质构造走向一致</w:t>
      </w:r>
      <w:r>
        <w:rPr>
          <w:rFonts w:hint="eastAsia" w:ascii="宋体" w:hAnsi="宋体" w:eastAsia="宋体" w:cs="宋体"/>
          <w:color w:val="auto"/>
          <w:u w:val="none"/>
          <w:lang w:eastAsia="zh-CN"/>
        </w:rPr>
        <w:t>，</w:t>
      </w:r>
      <w:r>
        <w:rPr>
          <w:rFonts w:hint="eastAsia" w:ascii="宋体" w:hAnsi="宋体" w:eastAsia="宋体" w:cs="宋体"/>
          <w:color w:val="auto"/>
          <w:sz w:val="24"/>
          <w:szCs w:val="24"/>
          <w:u w:val="none"/>
          <w:lang w:eastAsia="zh-CN"/>
        </w:rPr>
        <w:t>总体上地下水流向为</w:t>
      </w:r>
      <w:r>
        <w:rPr>
          <w:rFonts w:hint="eastAsia" w:ascii="宋体" w:hAnsi="宋体" w:eastAsia="宋体" w:cs="宋体"/>
          <w:color w:val="auto"/>
          <w:sz w:val="24"/>
          <w:szCs w:val="24"/>
          <w:u w:val="none"/>
        </w:rPr>
        <w:t>自</w:t>
      </w:r>
      <w:r>
        <w:rPr>
          <w:rFonts w:hint="eastAsia" w:ascii="宋体" w:hAnsi="宋体" w:eastAsia="宋体" w:cs="宋体"/>
          <w:color w:val="auto"/>
          <w:sz w:val="24"/>
          <w:szCs w:val="24"/>
          <w:u w:val="none"/>
          <w:lang w:eastAsia="zh-CN"/>
        </w:rPr>
        <w:t>西北</w:t>
      </w:r>
      <w:r>
        <w:rPr>
          <w:rFonts w:hint="eastAsia" w:ascii="宋体" w:hAnsi="宋体" w:eastAsia="宋体" w:cs="宋体"/>
          <w:color w:val="auto"/>
          <w:sz w:val="24"/>
          <w:szCs w:val="24"/>
          <w:u w:val="none"/>
        </w:rPr>
        <w:t>向</w:t>
      </w:r>
      <w:r>
        <w:rPr>
          <w:rFonts w:hint="eastAsia" w:ascii="宋体" w:hAnsi="宋体" w:eastAsia="宋体" w:cs="宋体"/>
          <w:color w:val="auto"/>
          <w:sz w:val="24"/>
          <w:szCs w:val="24"/>
          <w:u w:val="none"/>
          <w:lang w:eastAsia="zh-CN"/>
        </w:rPr>
        <w:t>东南方向，</w:t>
      </w:r>
      <w:r>
        <w:rPr>
          <w:rFonts w:hint="eastAsia" w:ascii="宋体" w:hAnsi="宋体" w:eastAsia="宋体" w:cs="宋体"/>
          <w:color w:val="auto"/>
          <w:u w:val="none"/>
        </w:rPr>
        <w:t>以下降泉形式排泄</w:t>
      </w:r>
      <w:r>
        <w:rPr>
          <w:rFonts w:hint="eastAsia" w:ascii="宋体" w:hAnsi="宋体" w:eastAsia="宋体" w:cs="宋体"/>
          <w:color w:val="auto"/>
          <w:u w:val="none"/>
          <w:lang w:eastAsia="zh-CN"/>
        </w:rPr>
        <w:t>为主，局部地带以上升泉形式出露地表形成井泉或地表径流，</w:t>
      </w:r>
      <w:r>
        <w:rPr>
          <w:rFonts w:hint="eastAsia" w:ascii="宋体" w:hAnsi="宋体" w:eastAsia="宋体" w:cs="宋体"/>
          <w:color w:val="auto"/>
          <w:u w:val="none"/>
        </w:rPr>
        <w:t>向</w:t>
      </w:r>
      <w:r>
        <w:rPr>
          <w:rFonts w:hint="eastAsia" w:ascii="宋体" w:hAnsi="宋体" w:eastAsia="宋体" w:cs="宋体"/>
          <w:color w:val="auto"/>
          <w:u w:val="none"/>
          <w:lang w:eastAsia="zh-CN"/>
        </w:rPr>
        <w:t>地表</w:t>
      </w:r>
      <w:r>
        <w:rPr>
          <w:rFonts w:hint="eastAsia" w:ascii="宋体" w:hAnsi="宋体" w:eastAsia="宋体" w:cs="宋体"/>
          <w:color w:val="auto"/>
          <w:u w:val="none"/>
        </w:rPr>
        <w:t>河</w:t>
      </w:r>
      <w:r>
        <w:rPr>
          <w:rFonts w:hint="eastAsia" w:ascii="宋体" w:hAnsi="宋体" w:eastAsia="宋体" w:cs="宋体"/>
          <w:color w:val="auto"/>
          <w:u w:val="none"/>
          <w:lang w:eastAsia="zh-CN"/>
        </w:rPr>
        <w:t>流</w:t>
      </w:r>
      <w:r>
        <w:rPr>
          <w:rFonts w:hint="eastAsia" w:ascii="宋体" w:hAnsi="宋体" w:eastAsia="宋体" w:cs="宋体"/>
          <w:color w:val="auto"/>
          <w:u w:val="none"/>
        </w:rPr>
        <w:t>排泄。</w:t>
      </w:r>
      <w:r>
        <w:rPr>
          <w:rFonts w:hint="eastAsia" w:ascii="宋体" w:hAnsi="宋体" w:eastAsia="宋体" w:cs="宋体"/>
          <w:color w:val="auto"/>
          <w:u w:val="none"/>
          <w:lang w:eastAsia="zh-CN"/>
        </w:rPr>
        <w:t>评价区</w:t>
      </w:r>
      <w:r>
        <w:rPr>
          <w:rFonts w:hint="eastAsia" w:ascii="宋体" w:hAnsi="宋体" w:eastAsia="宋体" w:cs="宋体"/>
          <w:color w:val="auto"/>
          <w:u w:val="none"/>
        </w:rPr>
        <w:t>地下水以风化裂隙潜水为主，分布普遍，埋藏较浅，接收降雨补给后，大多就地排泄于附近沟谷，径流路径</w:t>
      </w:r>
      <w:r>
        <w:rPr>
          <w:rFonts w:hint="eastAsia" w:ascii="宋体" w:hAnsi="宋体" w:eastAsia="宋体" w:cs="宋体"/>
          <w:color w:val="auto"/>
          <w:u w:val="none"/>
          <w:lang w:eastAsia="zh-CN"/>
        </w:rPr>
        <w:t>较</w:t>
      </w:r>
      <w:r>
        <w:rPr>
          <w:rFonts w:hint="eastAsia" w:ascii="宋体" w:hAnsi="宋体" w:eastAsia="宋体" w:cs="宋体"/>
          <w:color w:val="auto"/>
          <w:u w:val="none"/>
        </w:rPr>
        <w:t>短。</w:t>
      </w:r>
    </w:p>
    <w:p>
      <w:pPr>
        <w:pStyle w:val="69"/>
        <w:bidi w:val="0"/>
        <w:rPr>
          <w:color w:val="auto"/>
        </w:rPr>
      </w:pPr>
      <w:r>
        <w:rPr>
          <w:rFonts w:hint="eastAsia"/>
          <w:color w:val="auto"/>
          <w:lang w:val="en-US" w:eastAsia="zh-CN"/>
        </w:rPr>
        <w:t>4.2.3.3地下水环境影响预测分析</w:t>
      </w:r>
    </w:p>
    <w:p>
      <w:pPr>
        <w:ind w:firstLine="480"/>
        <w:jc w:val="both"/>
        <w:rPr>
          <w:color w:val="auto"/>
          <w:u w:val="none"/>
        </w:rPr>
      </w:pPr>
      <w:r>
        <w:rPr>
          <w:rFonts w:hint="eastAsia"/>
          <w:color w:val="auto"/>
          <w:u w:val="none"/>
          <w:lang w:eastAsia="zh-CN"/>
        </w:rPr>
        <w:t>（</w:t>
      </w:r>
      <w:r>
        <w:rPr>
          <w:rFonts w:hint="eastAsia"/>
          <w:color w:val="auto"/>
          <w:u w:val="none"/>
          <w:lang w:val="en-US" w:eastAsia="zh-CN"/>
        </w:rPr>
        <w:t>1</w:t>
      </w:r>
      <w:r>
        <w:rPr>
          <w:rFonts w:hint="eastAsia"/>
          <w:color w:val="auto"/>
          <w:u w:val="none"/>
          <w:lang w:eastAsia="zh-CN"/>
        </w:rPr>
        <w:t>）</w:t>
      </w:r>
      <w:r>
        <w:rPr>
          <w:color w:val="auto"/>
          <w:u w:val="none"/>
        </w:rPr>
        <w:t>预测范围</w:t>
      </w:r>
    </w:p>
    <w:p>
      <w:pPr>
        <w:ind w:firstLine="480"/>
        <w:jc w:val="both"/>
        <w:rPr>
          <w:color w:val="auto"/>
          <w:u w:val="none"/>
        </w:rPr>
      </w:pPr>
      <w:r>
        <w:rPr>
          <w:color w:val="auto"/>
          <w:u w:val="none"/>
        </w:rPr>
        <w:t>根据《环境影响评价技术导则地下水环境》（</w:t>
      </w:r>
      <w:r>
        <w:rPr>
          <w:rFonts w:eastAsia="TimesNewRomanPSMT"/>
          <w:color w:val="auto"/>
          <w:u w:val="none"/>
        </w:rPr>
        <w:t>HJ610-2016</w:t>
      </w:r>
      <w:r>
        <w:rPr>
          <w:color w:val="auto"/>
          <w:u w:val="none"/>
        </w:rPr>
        <w:t>），本项目属于</w:t>
      </w:r>
      <w:r>
        <w:rPr>
          <w:rFonts w:hint="eastAsia" w:ascii="宋体" w:hAnsi="宋体" w:cs="宋体"/>
          <w:color w:val="auto"/>
          <w:u w:val="none"/>
        </w:rPr>
        <w:t>Ⅱ</w:t>
      </w:r>
      <w:r>
        <w:rPr>
          <w:color w:val="auto"/>
          <w:u w:val="none"/>
        </w:rPr>
        <w:t>类建设项目，</w:t>
      </w:r>
      <w:r>
        <w:rPr>
          <w:color w:val="auto"/>
        </w:rPr>
        <w:t>地下水环境影响预测的范围与评价范围相同，包括保护目标和环境影响的敏感区域</w:t>
      </w:r>
      <w:r>
        <w:rPr>
          <w:color w:val="auto"/>
          <w:u w:val="none"/>
        </w:rPr>
        <w:t>。</w:t>
      </w:r>
    </w:p>
    <w:p>
      <w:pPr>
        <w:ind w:firstLine="480"/>
        <w:jc w:val="both"/>
        <w:rPr>
          <w:rFonts w:hint="eastAsia" w:eastAsia="宋体"/>
          <w:color w:val="auto"/>
          <w:u w:val="none"/>
          <w:lang w:eastAsia="zh-CN"/>
        </w:rPr>
      </w:pPr>
      <w:r>
        <w:rPr>
          <w:rFonts w:hint="eastAsia"/>
          <w:color w:val="auto"/>
          <w:u w:val="none"/>
          <w:lang w:eastAsia="zh-CN"/>
        </w:rPr>
        <w:t>（</w:t>
      </w:r>
      <w:r>
        <w:rPr>
          <w:rFonts w:hint="eastAsia"/>
          <w:color w:val="auto"/>
          <w:u w:val="none"/>
          <w:lang w:val="en-US" w:eastAsia="zh-CN"/>
        </w:rPr>
        <w:t>2</w:t>
      </w:r>
      <w:r>
        <w:rPr>
          <w:rFonts w:hint="eastAsia"/>
          <w:color w:val="auto"/>
          <w:u w:val="none"/>
          <w:lang w:eastAsia="zh-CN"/>
        </w:rPr>
        <w:t>）预测时段</w:t>
      </w:r>
    </w:p>
    <w:p>
      <w:pPr>
        <w:ind w:firstLine="480"/>
        <w:jc w:val="both"/>
        <w:rPr>
          <w:rFonts w:hint="eastAsia" w:eastAsia="宋体"/>
          <w:color w:val="auto"/>
          <w:u w:val="none"/>
          <w:lang w:eastAsia="zh-CN"/>
        </w:rPr>
      </w:pPr>
      <w:r>
        <w:rPr>
          <w:color w:val="auto"/>
          <w:u w:val="none"/>
        </w:rPr>
        <w:t>根据《环境影响评价技术导则地下水环境》（</w:t>
      </w:r>
      <w:r>
        <w:rPr>
          <w:rFonts w:eastAsia="TimesNewRomanPSMT"/>
          <w:color w:val="auto"/>
          <w:u w:val="none"/>
        </w:rPr>
        <w:t>HJ610-2016</w:t>
      </w:r>
      <w:r>
        <w:rPr>
          <w:color w:val="auto"/>
          <w:u w:val="none"/>
        </w:rPr>
        <w:t>）</w:t>
      </w:r>
      <w:r>
        <w:rPr>
          <w:rFonts w:hint="eastAsia"/>
          <w:color w:val="auto"/>
          <w:u w:val="none"/>
          <w:lang w:eastAsia="zh-CN"/>
        </w:rPr>
        <w:t>，地下水环境影响预测时段应选取可能产生地下水污染的关键时段，至少包括污染发生后100d、1 000d，服务年限或者能反映特征因子迁移规律的其他重要的时间节点。</w:t>
      </w:r>
    </w:p>
    <w:p>
      <w:pPr>
        <w:ind w:firstLine="480"/>
        <w:jc w:val="both"/>
        <w:rPr>
          <w:rFonts w:hint="eastAsia" w:eastAsia="宋体"/>
          <w:color w:val="auto"/>
          <w:u w:val="none"/>
          <w:lang w:val="en-US" w:eastAsia="zh-CN"/>
        </w:rPr>
      </w:pPr>
      <w:r>
        <w:rPr>
          <w:rFonts w:hint="eastAsia"/>
          <w:color w:val="auto"/>
          <w:u w:val="none"/>
          <w:lang w:val="en-US" w:eastAsia="zh-CN"/>
        </w:rPr>
        <w:t>（3）情景设置及预测源强</w:t>
      </w:r>
    </w:p>
    <w:p>
      <w:pPr>
        <w:ind w:firstLine="480"/>
        <w:jc w:val="both"/>
        <w:rPr>
          <w:rFonts w:hint="eastAsia"/>
          <w:color w:val="auto"/>
          <w:lang w:eastAsia="zh-CN"/>
        </w:rPr>
      </w:pPr>
      <w:r>
        <w:rPr>
          <w:rFonts w:hint="eastAsia"/>
          <w:color w:val="auto"/>
          <w:lang w:eastAsia="zh-CN"/>
        </w:rPr>
        <w:t>根据</w:t>
      </w:r>
      <w:r>
        <w:rPr>
          <w:color w:val="auto"/>
          <w:u w:val="none"/>
        </w:rPr>
        <w:t>《环境影响评价技术导则地下水环境》（</w:t>
      </w:r>
      <w:r>
        <w:rPr>
          <w:rFonts w:eastAsia="TimesNewRomanPSMT"/>
          <w:color w:val="auto"/>
          <w:u w:val="none"/>
        </w:rPr>
        <w:t>HJ610-2016</w:t>
      </w:r>
      <w:r>
        <w:rPr>
          <w:color w:val="auto"/>
          <w:u w:val="none"/>
        </w:rPr>
        <w:t>）</w:t>
      </w:r>
      <w:r>
        <w:rPr>
          <w:rFonts w:hint="eastAsia"/>
          <w:color w:val="auto"/>
          <w:u w:val="none"/>
          <w:lang w:eastAsia="zh-CN"/>
        </w:rPr>
        <w:t>，</w:t>
      </w:r>
      <w:r>
        <w:rPr>
          <w:rFonts w:hint="eastAsia"/>
          <w:color w:val="auto"/>
          <w:lang w:eastAsia="zh-CN"/>
        </w:rPr>
        <w:t>一般情况下，建设项目须对正常状况和非正常状况的情景分别进行预测。本项目已依据 GB 16889、GB 18597、GB 18598、GB 18599、GB/T 50934 等规范设计地下水污染防渗措施的建设项目，可不进行正常状况情景下的预测。本项目已按照规范进行地下水防渗措施，故只针对非正常情况进行预测。情景设置如下：</w:t>
      </w:r>
    </w:p>
    <w:p>
      <w:pPr>
        <w:ind w:firstLine="480"/>
        <w:jc w:val="both"/>
        <w:rPr>
          <w:color w:val="auto"/>
        </w:rPr>
      </w:pPr>
      <w:r>
        <w:rPr>
          <w:color w:val="auto"/>
        </w:rPr>
        <w:t>工程投产运行</w:t>
      </w:r>
      <w:r>
        <w:rPr>
          <w:rFonts w:hint="eastAsia"/>
          <w:color w:val="auto"/>
        </w:rPr>
        <w:t>5</w:t>
      </w:r>
      <w:r>
        <w:rPr>
          <w:color w:val="auto"/>
        </w:rPr>
        <w:t>年后由于各种原因</w:t>
      </w:r>
      <w:r>
        <w:rPr>
          <w:rFonts w:hint="eastAsia"/>
          <w:color w:val="auto"/>
        </w:rPr>
        <w:t>，</w:t>
      </w:r>
      <w:r>
        <w:rPr>
          <w:color w:val="auto"/>
        </w:rPr>
        <w:t>在</w:t>
      </w:r>
      <w:r>
        <w:rPr>
          <w:rFonts w:hint="eastAsia"/>
          <w:color w:val="auto"/>
          <w:lang w:eastAsia="zh-CN"/>
        </w:rPr>
        <w:t>预处理池</w:t>
      </w:r>
      <w:r>
        <w:rPr>
          <w:color w:val="auto"/>
        </w:rPr>
        <w:t>底部5%面积出现裂缝，并持续渗漏</w:t>
      </w:r>
      <w:r>
        <w:rPr>
          <w:rFonts w:hint="eastAsia"/>
          <w:color w:val="auto"/>
        </w:rPr>
        <w:t>，</w:t>
      </w:r>
      <w:r>
        <w:rPr>
          <w:color w:val="auto"/>
        </w:rPr>
        <w:t>进入到地下水中渗漏量可根据达西定律计算。公式入如下：</w:t>
      </w:r>
    </w:p>
    <w:p>
      <w:pPr>
        <w:ind w:firstLine="503"/>
        <w:jc w:val="both"/>
        <w:rPr>
          <w:color w:val="auto"/>
        </w:rPr>
      </w:pPr>
      <w:r>
        <w:rPr>
          <w:color w:val="auto"/>
          <w:w w:val="105"/>
        </w:rPr>
        <w:t xml:space="preserve">Q </w:t>
      </w:r>
      <w:r>
        <w:rPr>
          <w:rFonts w:ascii="Symbol" w:hAnsi="Symbol"/>
          <w:color w:val="auto"/>
          <w:w w:val="105"/>
        </w:rPr>
        <w:t></w:t>
      </w:r>
      <w:r>
        <w:rPr>
          <w:color w:val="auto"/>
          <w:w w:val="105"/>
        </w:rPr>
        <w:t xml:space="preserve"> K</w:t>
      </w:r>
      <w:r>
        <w:rPr>
          <w:rFonts w:hint="eastAsia"/>
          <w:color w:val="auto"/>
          <w:w w:val="105"/>
        </w:rPr>
        <w:t xml:space="preserve"> </w:t>
      </w:r>
      <w:r>
        <w:rPr>
          <w:rFonts w:ascii="Symbol" w:hAnsi="Symbol"/>
          <w:color w:val="auto"/>
          <w:w w:val="105"/>
        </w:rPr>
        <w:t></w:t>
      </w:r>
      <w:r>
        <w:rPr>
          <w:color w:val="auto"/>
          <w:w w:val="105"/>
        </w:rPr>
        <w:t xml:space="preserve"> F </w:t>
      </w:r>
      <w:r>
        <w:rPr>
          <w:rFonts w:ascii="Symbol" w:hAnsi="Symbol"/>
          <w:color w:val="auto"/>
          <w:w w:val="105"/>
        </w:rPr>
        <w:t></w:t>
      </w:r>
      <w:r>
        <w:rPr>
          <w:color w:val="auto"/>
          <w:w w:val="105"/>
        </w:rPr>
        <w:t xml:space="preserve"> I</w:t>
      </w:r>
    </w:p>
    <w:p>
      <w:pPr>
        <w:ind w:firstLine="480"/>
        <w:jc w:val="both"/>
        <w:rPr>
          <w:rFonts w:hint="eastAsia"/>
          <w:color w:val="auto"/>
        </w:rPr>
      </w:pPr>
      <w:r>
        <w:rPr>
          <w:color w:val="auto"/>
        </w:rPr>
        <w:t>式中：Q——单位时间渗透量（m</w:t>
      </w:r>
      <w:r>
        <w:rPr>
          <w:rFonts w:hint="eastAsia"/>
          <w:color w:val="auto"/>
          <w:vertAlign w:val="superscript"/>
        </w:rPr>
        <w:t>3</w:t>
      </w:r>
      <w:r>
        <w:rPr>
          <w:color w:val="auto"/>
        </w:rPr>
        <w:t>/d）</w:t>
      </w:r>
      <w:r>
        <w:rPr>
          <w:rFonts w:hint="eastAsia"/>
          <w:color w:val="auto"/>
        </w:rPr>
        <w:t>；</w:t>
      </w:r>
    </w:p>
    <w:p>
      <w:pPr>
        <w:ind w:firstLine="1200" w:firstLineChars="500"/>
        <w:jc w:val="both"/>
        <w:rPr>
          <w:rFonts w:hint="eastAsia"/>
          <w:color w:val="auto"/>
        </w:rPr>
      </w:pPr>
      <w:r>
        <w:rPr>
          <w:color w:val="auto"/>
        </w:rPr>
        <w:t>K——为渗透系数（m/d）；K取10</w:t>
      </w:r>
      <w:r>
        <w:rPr>
          <w:rFonts w:hint="eastAsia"/>
          <w:color w:val="auto"/>
          <w:vertAlign w:val="superscript"/>
        </w:rPr>
        <w:t>-4</w:t>
      </w:r>
      <w:r>
        <w:rPr>
          <w:color w:val="auto"/>
        </w:rPr>
        <w:t>cm/s（0.0864m/d）</w:t>
      </w:r>
      <w:r>
        <w:rPr>
          <w:rFonts w:hint="eastAsia"/>
          <w:color w:val="auto"/>
        </w:rPr>
        <w:t>；</w:t>
      </w:r>
    </w:p>
    <w:p>
      <w:pPr>
        <w:ind w:firstLine="1200" w:firstLineChars="500"/>
        <w:jc w:val="both"/>
        <w:rPr>
          <w:rFonts w:hint="eastAsia"/>
          <w:color w:val="auto"/>
        </w:rPr>
      </w:pPr>
      <w:r>
        <w:rPr>
          <w:color w:val="auto"/>
        </w:rPr>
        <w:t>F——调节池破损面积；取</w:t>
      </w:r>
      <w:r>
        <w:rPr>
          <w:rFonts w:hint="eastAsia"/>
          <w:color w:val="auto"/>
          <w:lang w:val="en-US" w:eastAsia="zh-CN"/>
        </w:rPr>
        <w:t>107</w:t>
      </w:r>
      <w:r>
        <w:rPr>
          <w:color w:val="auto"/>
        </w:rPr>
        <w:t>m</w:t>
      </w:r>
      <w:r>
        <w:rPr>
          <w:rFonts w:hint="eastAsia"/>
          <w:color w:val="auto"/>
          <w:vertAlign w:val="superscript"/>
        </w:rPr>
        <w:t>2</w:t>
      </w:r>
      <w:r>
        <w:rPr>
          <w:color w:val="auto"/>
        </w:rPr>
        <w:t>×5%=</w:t>
      </w:r>
      <w:r>
        <w:rPr>
          <w:rFonts w:hint="eastAsia"/>
          <w:color w:val="auto"/>
          <w:lang w:val="en-US" w:eastAsia="zh-CN"/>
        </w:rPr>
        <w:t>5.35</w:t>
      </w:r>
      <w:r>
        <w:rPr>
          <w:color w:val="auto"/>
        </w:rPr>
        <w:t>m</w:t>
      </w:r>
      <w:r>
        <w:rPr>
          <w:rFonts w:hint="eastAsia"/>
          <w:color w:val="auto"/>
          <w:vertAlign w:val="superscript"/>
        </w:rPr>
        <w:t>2</w:t>
      </w:r>
      <w:r>
        <w:rPr>
          <w:color w:val="auto"/>
        </w:rPr>
        <w:t>；</w:t>
      </w:r>
    </w:p>
    <w:p>
      <w:pPr>
        <w:ind w:firstLine="1200" w:firstLineChars="500"/>
        <w:jc w:val="both"/>
        <w:rPr>
          <w:color w:val="auto"/>
        </w:rPr>
      </w:pPr>
      <w:r>
        <w:rPr>
          <w:color w:val="auto"/>
        </w:rPr>
        <w:t>I——为水力坡度</w:t>
      </w:r>
      <w:r>
        <w:rPr>
          <w:rFonts w:hint="eastAsia"/>
          <w:color w:val="auto"/>
        </w:rPr>
        <w:t>；</w:t>
      </w:r>
      <w:r>
        <w:rPr>
          <w:color w:val="auto"/>
        </w:rPr>
        <w:t>池内水位高</w:t>
      </w:r>
      <w:r>
        <w:rPr>
          <w:rFonts w:hint="eastAsia"/>
          <w:color w:val="auto"/>
          <w:lang w:val="en-US" w:eastAsia="zh-CN"/>
        </w:rPr>
        <w:t>5</w:t>
      </w:r>
      <w:r>
        <w:rPr>
          <w:color w:val="auto"/>
        </w:rPr>
        <w:t>米</w:t>
      </w:r>
      <w:r>
        <w:rPr>
          <w:rFonts w:hint="eastAsia"/>
          <w:color w:val="auto"/>
        </w:rPr>
        <w:t>，</w:t>
      </w:r>
      <w:r>
        <w:rPr>
          <w:color w:val="auto"/>
        </w:rPr>
        <w:t>砼厚</w:t>
      </w:r>
      <w:r>
        <w:rPr>
          <w:rFonts w:hint="eastAsia"/>
          <w:color w:val="auto"/>
        </w:rPr>
        <w:t>1</w:t>
      </w:r>
      <w:r>
        <w:rPr>
          <w:rFonts w:hint="eastAsia"/>
          <w:color w:val="auto"/>
          <w:lang w:val="en-US" w:eastAsia="zh-CN"/>
        </w:rPr>
        <w:t>.2</w:t>
      </w:r>
      <w:r>
        <w:rPr>
          <w:color w:val="auto"/>
        </w:rPr>
        <w:t>米，I近似等于4。</w:t>
      </w:r>
    </w:p>
    <w:p>
      <w:pPr>
        <w:ind w:firstLine="480"/>
        <w:jc w:val="both"/>
        <w:rPr>
          <w:color w:val="auto"/>
        </w:rPr>
      </w:pPr>
      <w:r>
        <w:rPr>
          <w:color w:val="auto"/>
        </w:rPr>
        <w:t>计算得调节池事故工况下：渗透量为</w:t>
      </w:r>
      <w:r>
        <w:rPr>
          <w:rFonts w:hint="eastAsia"/>
          <w:color w:val="auto"/>
          <w:lang w:val="en-US" w:eastAsia="zh-CN"/>
        </w:rPr>
        <w:t>1.85</w:t>
      </w:r>
      <w:r>
        <w:rPr>
          <w:color w:val="auto"/>
        </w:rPr>
        <w:t>m</w:t>
      </w:r>
      <w:r>
        <w:rPr>
          <w:rFonts w:hint="eastAsia"/>
          <w:color w:val="auto"/>
          <w:vertAlign w:val="superscript"/>
        </w:rPr>
        <w:t>3</w:t>
      </w:r>
      <w:r>
        <w:rPr>
          <w:color w:val="auto"/>
        </w:rPr>
        <w:t>/d。</w:t>
      </w:r>
    </w:p>
    <w:p>
      <w:pPr>
        <w:ind w:firstLine="480"/>
        <w:jc w:val="both"/>
        <w:rPr>
          <w:color w:val="auto"/>
          <w:u w:val="none"/>
        </w:rPr>
      </w:pPr>
      <w:r>
        <w:rPr>
          <w:color w:val="auto"/>
        </w:rPr>
        <w:t>假设污水中的氨氮（NH</w:t>
      </w:r>
      <w:r>
        <w:rPr>
          <w:rFonts w:hint="eastAsia"/>
          <w:color w:val="auto"/>
          <w:vertAlign w:val="subscript"/>
        </w:rPr>
        <w:t>3</w:t>
      </w:r>
      <w:r>
        <w:rPr>
          <w:color w:val="auto"/>
        </w:rPr>
        <w:t>-N）浓度为进水浓度</w:t>
      </w:r>
      <w:r>
        <w:rPr>
          <w:rFonts w:hint="eastAsia"/>
          <w:color w:val="auto"/>
          <w:lang w:val="en-US" w:eastAsia="zh-CN"/>
        </w:rPr>
        <w:t>25</w:t>
      </w:r>
      <w:r>
        <w:rPr>
          <w:color w:val="auto"/>
        </w:rPr>
        <w:t>mg/L。按最不利情况考虑，不考虑土壤的吸附情况下进行预测。</w:t>
      </w:r>
    </w:p>
    <w:p>
      <w:pPr>
        <w:ind w:firstLine="480"/>
        <w:jc w:val="both"/>
        <w:rPr>
          <w:rFonts w:hint="eastAsia" w:eastAsia="宋体"/>
          <w:color w:val="auto"/>
          <w:u w:val="none"/>
          <w:lang w:eastAsia="zh-CN"/>
        </w:rPr>
      </w:pPr>
      <w:r>
        <w:rPr>
          <w:rFonts w:hint="eastAsia"/>
          <w:color w:val="auto"/>
          <w:u w:val="none"/>
          <w:lang w:val="en-US" w:eastAsia="zh-CN"/>
        </w:rPr>
        <w:t>（4）</w:t>
      </w:r>
      <w:r>
        <w:rPr>
          <w:color w:val="auto"/>
          <w:u w:val="none"/>
        </w:rPr>
        <w:t>预测</w:t>
      </w:r>
      <w:r>
        <w:rPr>
          <w:rFonts w:hint="eastAsia"/>
          <w:color w:val="auto"/>
          <w:u w:val="none"/>
          <w:lang w:eastAsia="zh-CN"/>
        </w:rPr>
        <w:t>因子</w:t>
      </w:r>
    </w:p>
    <w:p>
      <w:pPr>
        <w:ind w:firstLine="480"/>
        <w:jc w:val="both"/>
        <w:rPr>
          <w:color w:val="auto"/>
          <w:u w:val="none"/>
        </w:rPr>
      </w:pPr>
      <w:r>
        <w:rPr>
          <w:color w:val="auto"/>
        </w:rPr>
        <w:t>以同样浓度和体积的污染物注入含水层，如果氨氮含量不超标，则其余非持久性污染物基本都不会超标，因此计算选取对地下水环境质量影响负荷较大的氨氮指标作为非持久性污染物代表性污染物进行模拟预测，《地下水质量标准》（GB/T14848-2017）</w:t>
      </w:r>
      <w:r>
        <w:rPr>
          <w:rFonts w:hint="eastAsia" w:ascii="宋体" w:hAnsi="宋体" w:cs="宋体"/>
          <w:color w:val="auto"/>
        </w:rPr>
        <w:t>Ⅲ</w:t>
      </w:r>
      <w:r>
        <w:rPr>
          <w:color w:val="auto"/>
        </w:rPr>
        <w:t>类标准值为</w:t>
      </w:r>
      <w:r>
        <w:rPr>
          <w:rFonts w:eastAsia="Times New Roman"/>
          <w:color w:val="auto"/>
        </w:rPr>
        <w:t>0.</w:t>
      </w:r>
      <w:r>
        <w:rPr>
          <w:rFonts w:hint="eastAsia"/>
          <w:color w:val="auto"/>
        </w:rPr>
        <w:t>5</w:t>
      </w:r>
      <w:r>
        <w:rPr>
          <w:rFonts w:eastAsia="Times New Roman"/>
          <w:color w:val="auto"/>
        </w:rPr>
        <w:t>mg/L</w:t>
      </w:r>
      <w:r>
        <w:rPr>
          <w:color w:val="auto"/>
          <w:u w:val="none"/>
        </w:rPr>
        <w:t>。</w:t>
      </w:r>
    </w:p>
    <w:p>
      <w:pPr>
        <w:ind w:firstLine="480"/>
        <w:jc w:val="both"/>
        <w:rPr>
          <w:rFonts w:hint="eastAsia"/>
          <w:color w:val="auto"/>
        </w:rPr>
      </w:pPr>
      <w:r>
        <w:rPr>
          <w:rFonts w:hint="eastAsia"/>
          <w:color w:val="auto"/>
          <w:u w:val="none"/>
          <w:lang w:val="en-US" w:eastAsia="zh-CN"/>
        </w:rPr>
        <w:t>（5）</w:t>
      </w:r>
      <w:r>
        <w:rPr>
          <w:color w:val="auto"/>
        </w:rPr>
        <w:t>预测模型</w:t>
      </w:r>
    </w:p>
    <w:p>
      <w:pPr>
        <w:ind w:firstLine="480"/>
        <w:jc w:val="both"/>
        <w:rPr>
          <w:rFonts w:hint="eastAsia"/>
          <w:color w:val="auto"/>
        </w:rPr>
      </w:pPr>
      <w:r>
        <w:rPr>
          <w:color w:val="auto"/>
        </w:rPr>
        <w:t>1）模型选择</w:t>
      </w:r>
    </w:p>
    <w:p>
      <w:pPr>
        <w:ind w:firstLine="480"/>
        <w:jc w:val="both"/>
        <w:rPr>
          <w:rFonts w:hint="eastAsia"/>
          <w:color w:val="auto"/>
        </w:rPr>
      </w:pPr>
      <w:r>
        <w:rPr>
          <w:color w:val="auto"/>
        </w:rPr>
        <w:t>根据《环境影响评价技术导则地下水环境》（HJ610－2016），本文采用导则D</w:t>
      </w:r>
      <w:r>
        <w:rPr>
          <w:rFonts w:hint="eastAsia"/>
          <w:color w:val="auto"/>
        </w:rPr>
        <w:t>.</w:t>
      </w:r>
      <w:r>
        <w:rPr>
          <w:color w:val="auto"/>
        </w:rPr>
        <w:t>1</w:t>
      </w:r>
      <w:r>
        <w:rPr>
          <w:rFonts w:hint="eastAsia"/>
          <w:color w:val="auto"/>
        </w:rPr>
        <w:t>.</w:t>
      </w:r>
      <w:r>
        <w:rPr>
          <w:color w:val="auto"/>
        </w:rPr>
        <w:t>2</w:t>
      </w:r>
      <w:r>
        <w:rPr>
          <w:rFonts w:hint="eastAsia"/>
          <w:color w:val="auto"/>
        </w:rPr>
        <w:t>.</w:t>
      </w:r>
      <w:r>
        <w:rPr>
          <w:color w:val="auto"/>
        </w:rPr>
        <w:t>2一维稳定流动二维水动力弥散问题中的</w:t>
      </w:r>
      <w:r>
        <w:rPr>
          <w:rFonts w:hint="eastAsia"/>
          <w:color w:val="auto"/>
        </w:rPr>
        <w:t>“连续注入示踪剂</w:t>
      </w:r>
      <w:r>
        <w:rPr>
          <w:color w:val="auto"/>
        </w:rPr>
        <w:t>——</w:t>
      </w:r>
      <w:r>
        <w:rPr>
          <w:rFonts w:hint="eastAsia"/>
          <w:color w:val="auto"/>
        </w:rPr>
        <w:t>平面连续点源”</w:t>
      </w:r>
      <w:r>
        <w:rPr>
          <w:color w:val="auto"/>
        </w:rPr>
        <w:t>模型。具体公式如下：</w:t>
      </w:r>
    </w:p>
    <w:p>
      <w:pPr>
        <w:ind w:firstLine="480"/>
        <w:rPr>
          <w:color w:val="auto"/>
        </w:rPr>
      </w:pPr>
      <w:r>
        <w:rPr>
          <w:color w:val="auto"/>
        </w:rPr>
        <w:t xml:space="preserve">D1.2.2.2 </w:t>
      </w:r>
      <w:r>
        <w:rPr>
          <w:rFonts w:hint="eastAsia"/>
          <w:color w:val="auto"/>
        </w:rPr>
        <w:t>连续注入示踪剂</w:t>
      </w:r>
      <w:r>
        <w:rPr>
          <w:color w:val="auto"/>
        </w:rPr>
        <w:t>——</w:t>
      </w:r>
      <w:r>
        <w:rPr>
          <w:rFonts w:hint="eastAsia"/>
          <w:color w:val="auto"/>
        </w:rPr>
        <w:t>平面连续点源的（</w:t>
      </w:r>
      <w:r>
        <w:rPr>
          <w:color w:val="auto"/>
        </w:rPr>
        <w:t>D.4</w:t>
      </w:r>
      <w:r>
        <w:rPr>
          <w:rFonts w:hint="eastAsia"/>
          <w:color w:val="auto"/>
        </w:rPr>
        <w:t>、</w:t>
      </w:r>
      <w:r>
        <w:rPr>
          <w:color w:val="auto"/>
        </w:rPr>
        <w:t>D.5</w:t>
      </w:r>
      <w:r>
        <w:rPr>
          <w:rFonts w:hint="eastAsia"/>
          <w:color w:val="auto"/>
        </w:rPr>
        <w:t>）式：</w:t>
      </w:r>
    </w:p>
    <w:p>
      <w:pPr>
        <w:ind w:firstLine="480"/>
        <w:rPr>
          <w:rFonts w:hint="eastAsia"/>
          <w:color w:val="auto"/>
        </w:rPr>
      </w:pPr>
      <w:r>
        <w:rPr>
          <w:color w:val="auto"/>
        </w:rPr>
        <w:drawing>
          <wp:inline distT="0" distB="0" distL="114300" distR="114300">
            <wp:extent cx="4387850" cy="1241425"/>
            <wp:effectExtent l="0" t="0" r="1270" b="8255"/>
            <wp:docPr id="2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7"/>
                    <pic:cNvPicPr>
                      <a:picLocks noChangeAspect="1"/>
                    </pic:cNvPicPr>
                  </pic:nvPicPr>
                  <pic:blipFill>
                    <a:blip r:embed="rId46"/>
                    <a:stretch>
                      <a:fillRect/>
                    </a:stretch>
                  </pic:blipFill>
                  <pic:spPr>
                    <a:xfrm>
                      <a:off x="0" y="0"/>
                      <a:ext cx="4387850" cy="1241425"/>
                    </a:xfrm>
                    <a:prstGeom prst="rect">
                      <a:avLst/>
                    </a:prstGeom>
                    <a:noFill/>
                    <a:ln>
                      <a:noFill/>
                    </a:ln>
                  </pic:spPr>
                </pic:pic>
              </a:graphicData>
            </a:graphic>
          </wp:inline>
        </w:drawing>
      </w:r>
    </w:p>
    <w:p>
      <w:pPr>
        <w:ind w:firstLine="480"/>
        <w:rPr>
          <w:rFonts w:hint="eastAsia"/>
          <w:color w:val="auto"/>
        </w:rPr>
      </w:pPr>
      <w:r>
        <w:rPr>
          <w:rFonts w:hint="eastAsia"/>
          <w:color w:val="auto"/>
        </w:rPr>
        <w:t>式中</w:t>
      </w:r>
      <w:r>
        <w:rPr>
          <w:color w:val="auto"/>
        </w:rPr>
        <w:t>式中：</w:t>
      </w:r>
    </w:p>
    <w:p>
      <w:pPr>
        <w:ind w:firstLine="480"/>
        <w:rPr>
          <w:rFonts w:hint="eastAsia"/>
          <w:color w:val="auto"/>
        </w:rPr>
      </w:pPr>
      <w:r>
        <w:rPr>
          <w:color w:val="auto"/>
        </w:rPr>
        <w:t>x，y——计算点处的位置坐标</w:t>
      </w:r>
      <w:r>
        <w:rPr>
          <w:rFonts w:hint="eastAsia"/>
          <w:color w:val="auto"/>
        </w:rPr>
        <w:t>；</w:t>
      </w:r>
    </w:p>
    <w:p>
      <w:pPr>
        <w:ind w:firstLine="480"/>
        <w:rPr>
          <w:rFonts w:hint="eastAsia"/>
          <w:color w:val="auto"/>
        </w:rPr>
      </w:pPr>
      <w:r>
        <w:rPr>
          <w:color w:val="auto"/>
        </w:rPr>
        <w:t>t——时间</w:t>
      </w:r>
      <w:r>
        <w:rPr>
          <w:rFonts w:hint="eastAsia"/>
          <w:color w:val="auto"/>
        </w:rPr>
        <w:t>，d；</w:t>
      </w:r>
    </w:p>
    <w:p>
      <w:pPr>
        <w:ind w:firstLine="480"/>
        <w:rPr>
          <w:rFonts w:hint="eastAsia"/>
          <w:color w:val="auto"/>
        </w:rPr>
      </w:pPr>
      <w:r>
        <w:rPr>
          <w:color w:val="auto"/>
        </w:rPr>
        <w:t>C（</w:t>
      </w:r>
      <w:r>
        <w:rPr>
          <w:rFonts w:hint="eastAsia"/>
          <w:color w:val="auto"/>
        </w:rPr>
        <w:t>x，y，t</w:t>
      </w:r>
      <w:r>
        <w:rPr>
          <w:color w:val="auto"/>
        </w:rPr>
        <w:t>）——t时刻x，y处的示踪剂浓度，mg/L；</w:t>
      </w:r>
    </w:p>
    <w:p>
      <w:pPr>
        <w:ind w:firstLine="480"/>
        <w:rPr>
          <w:rFonts w:hint="eastAsia"/>
          <w:color w:val="auto"/>
        </w:rPr>
      </w:pPr>
      <w:r>
        <w:rPr>
          <w:color w:val="auto"/>
        </w:rPr>
        <w:t>M——承压含水层的厚度</w:t>
      </w:r>
      <w:r>
        <w:rPr>
          <w:rFonts w:hint="eastAsia"/>
          <w:color w:val="auto"/>
        </w:rPr>
        <w:t>，</w:t>
      </w:r>
      <w:r>
        <w:rPr>
          <w:color w:val="auto"/>
        </w:rPr>
        <w:t>m</w:t>
      </w:r>
      <w:r>
        <w:rPr>
          <w:rFonts w:hint="eastAsia"/>
          <w:color w:val="auto"/>
        </w:rPr>
        <w:t>；</w:t>
      </w:r>
    </w:p>
    <w:p>
      <w:pPr>
        <w:ind w:firstLine="480"/>
        <w:rPr>
          <w:rFonts w:hint="eastAsia"/>
          <w:color w:val="auto"/>
        </w:rPr>
      </w:pPr>
      <w:r>
        <w:rPr>
          <w:color w:val="auto"/>
        </w:rPr>
        <w:t>M</w:t>
      </w:r>
      <w:r>
        <w:rPr>
          <w:rFonts w:hint="eastAsia"/>
          <w:color w:val="auto"/>
          <w:vertAlign w:val="subscript"/>
        </w:rPr>
        <w:t>t</w:t>
      </w:r>
      <w:r>
        <w:rPr>
          <w:color w:val="auto"/>
        </w:rPr>
        <w:t>——单位时间注入的示踪剂的质量</w:t>
      </w:r>
      <w:r>
        <w:rPr>
          <w:rFonts w:hint="eastAsia"/>
          <w:color w:val="auto"/>
        </w:rPr>
        <w:t>，</w:t>
      </w:r>
      <w:r>
        <w:rPr>
          <w:color w:val="auto"/>
        </w:rPr>
        <w:t>kg；</w:t>
      </w:r>
    </w:p>
    <w:p>
      <w:pPr>
        <w:ind w:firstLine="480"/>
        <w:rPr>
          <w:rFonts w:hint="eastAsia"/>
          <w:color w:val="auto"/>
        </w:rPr>
      </w:pPr>
      <w:r>
        <w:rPr>
          <w:color w:val="auto"/>
        </w:rPr>
        <w:t>u——</w:t>
      </w:r>
      <w:r>
        <w:rPr>
          <w:rFonts w:hint="eastAsia"/>
          <w:color w:val="auto"/>
        </w:rPr>
        <w:t>水流速度；</w:t>
      </w:r>
      <w:r>
        <w:rPr>
          <w:color w:val="auto"/>
        </w:rPr>
        <w:t>m/d</w:t>
      </w:r>
      <w:r>
        <w:rPr>
          <w:rFonts w:hint="eastAsia"/>
          <w:color w:val="auto"/>
        </w:rPr>
        <w:t>；</w:t>
      </w:r>
    </w:p>
    <w:p>
      <w:pPr>
        <w:ind w:firstLine="480"/>
        <w:rPr>
          <w:rFonts w:hint="eastAsia"/>
          <w:color w:val="auto"/>
        </w:rPr>
      </w:pPr>
      <w:r>
        <w:rPr>
          <w:color w:val="auto"/>
        </w:rPr>
        <w:t>n——有效孔隙度</w:t>
      </w:r>
      <w:r>
        <w:rPr>
          <w:rFonts w:hint="eastAsia"/>
          <w:color w:val="auto"/>
        </w:rPr>
        <w:t>，</w:t>
      </w:r>
      <w:r>
        <w:rPr>
          <w:color w:val="auto"/>
        </w:rPr>
        <w:t>无量纲；</w:t>
      </w:r>
    </w:p>
    <w:p>
      <w:pPr>
        <w:ind w:firstLine="480"/>
        <w:rPr>
          <w:rFonts w:hint="eastAsia"/>
          <w:color w:val="auto"/>
        </w:rPr>
      </w:pPr>
      <w:r>
        <w:rPr>
          <w:color w:val="auto"/>
        </w:rPr>
        <w:t>DL——纵向弥散系数，m</w:t>
      </w:r>
      <w:r>
        <w:rPr>
          <w:rFonts w:hint="eastAsia"/>
          <w:color w:val="auto"/>
          <w:vertAlign w:val="superscript"/>
        </w:rPr>
        <w:t>2</w:t>
      </w:r>
      <w:r>
        <w:rPr>
          <w:color w:val="auto"/>
        </w:rPr>
        <w:t>/d</w:t>
      </w:r>
      <w:r>
        <w:rPr>
          <w:rFonts w:hint="eastAsia"/>
          <w:color w:val="auto"/>
        </w:rPr>
        <w:t>；</w:t>
      </w:r>
    </w:p>
    <w:p>
      <w:pPr>
        <w:ind w:firstLine="480"/>
        <w:rPr>
          <w:rFonts w:hint="eastAsia"/>
          <w:color w:val="auto"/>
        </w:rPr>
      </w:pPr>
      <w:r>
        <w:rPr>
          <w:color w:val="auto"/>
        </w:rPr>
        <w:t>DT——横向弥散系数，m</w:t>
      </w:r>
      <w:r>
        <w:rPr>
          <w:rFonts w:hint="eastAsia"/>
          <w:color w:val="auto"/>
          <w:vertAlign w:val="superscript"/>
        </w:rPr>
        <w:t>2</w:t>
      </w:r>
      <w:r>
        <w:rPr>
          <w:color w:val="auto"/>
        </w:rPr>
        <w:t>/d</w:t>
      </w:r>
      <w:r>
        <w:rPr>
          <w:rFonts w:hint="eastAsia"/>
          <w:color w:val="auto"/>
        </w:rPr>
        <w:t>；</w:t>
      </w:r>
    </w:p>
    <w:p>
      <w:pPr>
        <w:ind w:firstLine="480"/>
        <w:jc w:val="both"/>
        <w:rPr>
          <w:rFonts w:hint="eastAsia"/>
          <w:color w:val="auto"/>
        </w:rPr>
      </w:pPr>
      <w:r>
        <w:rPr>
          <w:color w:val="auto"/>
        </w:rPr>
        <w:t>π——圆周率；</w:t>
      </w:r>
    </w:p>
    <w:p>
      <w:pPr>
        <w:ind w:firstLine="480"/>
        <w:jc w:val="both"/>
        <w:rPr>
          <w:rFonts w:hint="eastAsia"/>
          <w:color w:val="auto"/>
        </w:rPr>
      </w:pPr>
      <w:r>
        <w:rPr>
          <w:rFonts w:hint="eastAsia"/>
          <w:color w:val="auto"/>
        </w:rPr>
        <w:t>K</w:t>
      </w:r>
      <w:r>
        <w:rPr>
          <w:rFonts w:hint="eastAsia"/>
          <w:color w:val="auto"/>
          <w:vertAlign w:val="subscript"/>
        </w:rPr>
        <w:t>0</w:t>
      </w:r>
      <w:r>
        <w:rPr>
          <w:rFonts w:hint="eastAsia"/>
          <w:color w:val="auto"/>
        </w:rPr>
        <w:t>（</w:t>
      </w:r>
      <w:r>
        <w:rPr>
          <w:color w:val="auto"/>
        </w:rPr>
        <w:t>β</w:t>
      </w:r>
      <w:r>
        <w:rPr>
          <w:rFonts w:hint="eastAsia"/>
          <w:color w:val="auto"/>
        </w:rPr>
        <w:t>）</w:t>
      </w:r>
      <w:r>
        <w:rPr>
          <w:color w:val="auto"/>
        </w:rPr>
        <w:t>——</w:t>
      </w:r>
      <w:r>
        <w:rPr>
          <w:rFonts w:hint="eastAsia"/>
          <w:color w:val="auto"/>
        </w:rPr>
        <w:t>第二类零阶修正塞尔函数，（可查《地下水动力学》获得）；</w:t>
      </w:r>
    </w:p>
    <w:p>
      <w:pPr>
        <w:ind w:firstLine="480"/>
        <w:jc w:val="both"/>
        <w:rPr>
          <w:rFonts w:hint="eastAsia"/>
          <w:color w:val="auto"/>
        </w:rPr>
      </w:pPr>
      <w:r>
        <w:rPr>
          <w:rFonts w:hint="eastAsia"/>
          <w:color w:val="auto"/>
        </w:rPr>
        <w:t>W（</w:t>
      </w:r>
      <m:oMath>
        <m:sSub>
          <m:sSubPr>
            <m:ctrlPr>
              <w:rPr>
                <w:rFonts w:ascii="Cambria Math" w:hAnsi="Cambria Math" w:eastAsia="微软雅黑" w:cs="Times New Roman"/>
                <w:kern w:val="0"/>
                <w:sz w:val="22"/>
                <w:szCs w:val="22"/>
              </w:rPr>
            </m:ctrlPr>
          </m:sSubPr>
          <m:e>
            <m:f>
              <m:fPr>
                <m:ctrlPr>
                  <w:rPr>
                    <w:rFonts w:ascii="Cambria Math" w:hAnsi="Cambria Math" w:eastAsia="微软雅黑" w:cs="Times New Roman"/>
                    <w:kern w:val="0"/>
                    <w:sz w:val="22"/>
                    <w:szCs w:val="22"/>
                  </w:rPr>
                </m:ctrlPr>
              </m:fPr>
              <m:num>
                <m:sSup>
                  <m:sSupPr>
                    <m:ctrlPr>
                      <w:rPr>
                        <w:rFonts w:ascii="Cambria Math" w:hAnsi="Cambria Math" w:eastAsia="微软雅黑" w:cs="Times New Roman"/>
                        <w:kern w:val="0"/>
                        <w:sz w:val="22"/>
                        <w:szCs w:val="22"/>
                      </w:rPr>
                    </m:ctrlPr>
                  </m:sSupPr>
                  <m:e>
                    <m:r>
                      <m:rPr>
                        <m:sty m:val="p"/>
                      </m:rPr>
                      <w:rPr>
                        <w:rFonts w:ascii="Cambria Math" w:hAnsi="Cambria Math"/>
                      </w:rPr>
                      <m:t>u</m:t>
                    </m:r>
                    <m:ctrlPr>
                      <w:rPr>
                        <w:rFonts w:ascii="Cambria Math" w:hAnsi="Cambria Math" w:eastAsia="微软雅黑" w:cs="Times New Roman"/>
                        <w:kern w:val="0"/>
                        <w:sz w:val="22"/>
                        <w:szCs w:val="22"/>
                      </w:rPr>
                    </m:ctrlPr>
                  </m:e>
                  <m:sup>
                    <m:r>
                      <m:rPr>
                        <m:sty m:val="p"/>
                      </m:rPr>
                      <w:rPr>
                        <w:rFonts w:ascii="Cambria Math" w:hAnsi="Cambria Math"/>
                      </w:rPr>
                      <m:t>2</m:t>
                    </m:r>
                    <m:ctrlPr>
                      <w:rPr>
                        <w:rFonts w:ascii="Cambria Math" w:hAnsi="Cambria Math" w:eastAsia="微软雅黑" w:cs="Times New Roman"/>
                        <w:kern w:val="0"/>
                        <w:sz w:val="22"/>
                        <w:szCs w:val="22"/>
                      </w:rPr>
                    </m:ctrlPr>
                  </m:sup>
                </m:sSup>
                <m:r>
                  <m:rPr>
                    <m:sty m:val="p"/>
                  </m:rPr>
                  <w:rPr>
                    <w:rFonts w:ascii="Cambria Math" w:hAnsi="Cambria Math"/>
                  </w:rPr>
                  <m:t>t</m:t>
                </m:r>
                <m:ctrlPr>
                  <w:rPr>
                    <w:rFonts w:ascii="Cambria Math" w:hAnsi="Cambria Math" w:eastAsia="微软雅黑" w:cs="Times New Roman"/>
                    <w:kern w:val="0"/>
                    <w:sz w:val="22"/>
                    <w:szCs w:val="22"/>
                  </w:rPr>
                </m:ctrlPr>
              </m:num>
              <m:den>
                <m:r>
                  <m:rPr>
                    <m:sty m:val="p"/>
                  </m:rPr>
                  <w:rPr>
                    <w:rFonts w:ascii="Cambria Math" w:hAnsi="Cambria Math"/>
                  </w:rPr>
                  <m:t>4D</m:t>
                </m:r>
                <m:ctrlPr>
                  <w:rPr>
                    <w:rFonts w:ascii="Cambria Math" w:hAnsi="Cambria Math" w:eastAsia="微软雅黑" w:cs="Times New Roman"/>
                    <w:kern w:val="0"/>
                    <w:sz w:val="22"/>
                    <w:szCs w:val="22"/>
                  </w:rPr>
                </m:ctrlPr>
              </m:den>
            </m:f>
            <m:ctrlPr>
              <w:rPr>
                <w:rFonts w:ascii="Cambria Math" w:hAnsi="Cambria Math" w:eastAsia="微软雅黑" w:cs="Times New Roman"/>
                <w:kern w:val="0"/>
                <w:sz w:val="22"/>
                <w:szCs w:val="22"/>
              </w:rPr>
            </m:ctrlPr>
          </m:e>
          <m:sub>
            <m:r>
              <m:rPr>
                <m:sty m:val="p"/>
              </m:rPr>
              <w:rPr>
                <w:rFonts w:ascii="Cambria Math" w:hAnsi="Cambria Math"/>
              </w:rPr>
              <m:t>L</m:t>
            </m:r>
            <m:ctrlPr>
              <w:rPr>
                <w:rFonts w:ascii="Cambria Math" w:hAnsi="Cambria Math" w:eastAsia="微软雅黑" w:cs="Times New Roman"/>
                <w:kern w:val="0"/>
                <w:sz w:val="22"/>
                <w:szCs w:val="22"/>
              </w:rPr>
            </m:ctrlPr>
          </m:sub>
        </m:sSub>
      </m:oMath>
      <w:r>
        <w:rPr>
          <w:rFonts w:hint="eastAsia"/>
          <w:color w:val="auto"/>
        </w:rPr>
        <w:t>，</w:t>
      </w:r>
      <w:r>
        <w:rPr>
          <w:color w:val="auto"/>
        </w:rPr>
        <w:t>β</w:t>
      </w:r>
      <w:r>
        <w:rPr>
          <w:rFonts w:hint="eastAsia"/>
          <w:color w:val="auto"/>
        </w:rPr>
        <w:t>）</w:t>
      </w:r>
      <w:r>
        <w:rPr>
          <w:color w:val="auto"/>
        </w:rPr>
        <w:t>——</w:t>
      </w:r>
      <w:r>
        <w:rPr>
          <w:rFonts w:hint="eastAsia"/>
          <w:color w:val="auto"/>
        </w:rPr>
        <w:t>第一类越流系统井函数，（可查《地下水动力学》获得）。</w:t>
      </w:r>
    </w:p>
    <w:p>
      <w:pPr>
        <w:ind w:firstLine="480"/>
        <w:jc w:val="both"/>
        <w:rPr>
          <w:rFonts w:hint="eastAsia"/>
          <w:color w:val="auto"/>
        </w:rPr>
      </w:pPr>
      <w:r>
        <w:rPr>
          <w:rFonts w:hint="eastAsia"/>
          <w:color w:val="auto"/>
        </w:rPr>
        <w:t>2）预测参数</w:t>
      </w:r>
    </w:p>
    <w:p>
      <w:pPr>
        <w:ind w:firstLine="480"/>
        <w:jc w:val="both"/>
        <w:rPr>
          <w:rFonts w:hint="eastAsia"/>
          <w:color w:val="auto"/>
        </w:rPr>
      </w:pPr>
      <w:r>
        <w:rPr>
          <w:color w:val="auto"/>
        </w:rPr>
        <w:t>根据区域含水层岩性，并查阅《地下水动力学》(中国地质大学出版社，1999年)和《水文地质学基础》</w:t>
      </w:r>
      <w:r>
        <w:rPr>
          <w:rFonts w:hint="eastAsia"/>
          <w:color w:val="auto"/>
        </w:rPr>
        <w:t>（</w:t>
      </w:r>
      <w:r>
        <w:rPr>
          <w:color w:val="auto"/>
        </w:rPr>
        <w:t>地质出版社</w:t>
      </w:r>
      <w:r>
        <w:rPr>
          <w:rFonts w:hint="eastAsia"/>
          <w:color w:val="auto"/>
        </w:rPr>
        <w:t>）</w:t>
      </w:r>
      <w:r>
        <w:rPr>
          <w:color w:val="auto"/>
        </w:rPr>
        <w:t>。项目所在区域水文地质条件参数见下表。</w:t>
      </w:r>
    </w:p>
    <w:p>
      <w:pPr>
        <w:ind w:firstLine="422"/>
        <w:jc w:val="center"/>
        <w:rPr>
          <w:b/>
          <w:color w:val="auto"/>
          <w:sz w:val="21"/>
          <w:szCs w:val="21"/>
        </w:rPr>
      </w:pPr>
      <w:r>
        <w:rPr>
          <w:rFonts w:hint="eastAsia"/>
          <w:b/>
          <w:color w:val="auto"/>
          <w:sz w:val="21"/>
          <w:szCs w:val="21"/>
        </w:rPr>
        <w:t>表</w:t>
      </w:r>
      <w:r>
        <w:rPr>
          <w:b/>
          <w:color w:val="auto"/>
          <w:sz w:val="21"/>
          <w:szCs w:val="21"/>
        </w:rPr>
        <w:t>4.2-</w:t>
      </w:r>
      <w:r>
        <w:rPr>
          <w:rFonts w:hint="eastAsia"/>
          <w:b/>
          <w:color w:val="auto"/>
          <w:sz w:val="21"/>
          <w:szCs w:val="21"/>
          <w:lang w:val="en-US" w:eastAsia="zh-CN"/>
        </w:rPr>
        <w:t>10</w:t>
      </w:r>
      <w:r>
        <w:rPr>
          <w:rFonts w:hint="eastAsia"/>
          <w:b/>
          <w:color w:val="auto"/>
          <w:sz w:val="21"/>
          <w:szCs w:val="21"/>
        </w:rPr>
        <w:t xml:space="preserve"> 项目所在地水文地质参数</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noWrap w:val="0"/>
            <w:vAlign w:val="center"/>
          </w:tcPr>
          <w:p>
            <w:pPr>
              <w:spacing w:line="240" w:lineRule="auto"/>
              <w:ind w:firstLine="0" w:firstLineChars="0"/>
              <w:jc w:val="center"/>
              <w:rPr>
                <w:rFonts w:hint="eastAsia"/>
                <w:color w:val="auto"/>
                <w:sz w:val="21"/>
                <w:szCs w:val="21"/>
              </w:rPr>
            </w:pPr>
            <w:r>
              <w:rPr>
                <w:rFonts w:hint="eastAsia"/>
                <w:color w:val="auto"/>
                <w:sz w:val="21"/>
                <w:szCs w:val="21"/>
              </w:rPr>
              <w:t>有效空隙数n（无量纲）</w:t>
            </w:r>
          </w:p>
        </w:tc>
        <w:tc>
          <w:tcPr>
            <w:tcW w:w="1065" w:type="dxa"/>
            <w:vMerge w:val="restart"/>
            <w:noWrap w:val="0"/>
            <w:vAlign w:val="center"/>
          </w:tcPr>
          <w:p>
            <w:pPr>
              <w:spacing w:line="240" w:lineRule="auto"/>
              <w:ind w:firstLine="0" w:firstLineChars="0"/>
              <w:jc w:val="center"/>
              <w:rPr>
                <w:rFonts w:hint="eastAsia"/>
                <w:color w:val="auto"/>
                <w:sz w:val="21"/>
                <w:szCs w:val="21"/>
              </w:rPr>
            </w:pPr>
            <w:r>
              <w:rPr>
                <w:rFonts w:hint="eastAsia"/>
                <w:color w:val="auto"/>
                <w:sz w:val="21"/>
                <w:szCs w:val="21"/>
              </w:rPr>
              <w:t>示踪剂质量m</w:t>
            </w:r>
            <w:r>
              <w:rPr>
                <w:rFonts w:hint="eastAsia"/>
                <w:color w:val="auto"/>
                <w:sz w:val="21"/>
                <w:szCs w:val="21"/>
                <w:vertAlign w:val="subscript"/>
              </w:rPr>
              <w:t>M</w:t>
            </w:r>
            <w:r>
              <w:rPr>
                <w:rFonts w:hint="eastAsia"/>
                <w:color w:val="auto"/>
                <w:sz w:val="21"/>
                <w:szCs w:val="21"/>
              </w:rPr>
              <w:t>（kg）</w:t>
            </w:r>
          </w:p>
        </w:tc>
        <w:tc>
          <w:tcPr>
            <w:tcW w:w="1065" w:type="dxa"/>
            <w:vMerge w:val="restart"/>
            <w:noWrap w:val="0"/>
            <w:vAlign w:val="center"/>
          </w:tcPr>
          <w:p>
            <w:pPr>
              <w:spacing w:line="240" w:lineRule="auto"/>
              <w:ind w:firstLine="0" w:firstLineChars="0"/>
              <w:jc w:val="center"/>
              <w:rPr>
                <w:rFonts w:hint="eastAsia"/>
                <w:color w:val="auto"/>
                <w:sz w:val="21"/>
                <w:szCs w:val="21"/>
                <w:vertAlign w:val="superscript"/>
              </w:rPr>
            </w:pPr>
            <w:r>
              <w:rPr>
                <w:rFonts w:hint="eastAsia"/>
                <w:color w:val="auto"/>
                <w:sz w:val="21"/>
                <w:szCs w:val="21"/>
              </w:rPr>
              <w:t>含水层渗透系数K（cm/s）</w:t>
            </w:r>
            <w:r>
              <w:rPr>
                <w:rFonts w:hint="eastAsia"/>
                <w:color w:val="auto"/>
                <w:sz w:val="21"/>
                <w:szCs w:val="21"/>
                <w:vertAlign w:val="superscript"/>
              </w:rPr>
              <w:t>*</w:t>
            </w:r>
          </w:p>
        </w:tc>
        <w:tc>
          <w:tcPr>
            <w:tcW w:w="1065" w:type="dxa"/>
            <w:vMerge w:val="restart"/>
            <w:noWrap w:val="0"/>
            <w:vAlign w:val="center"/>
          </w:tcPr>
          <w:p>
            <w:pPr>
              <w:spacing w:line="240" w:lineRule="auto"/>
              <w:ind w:firstLine="0" w:firstLineChars="0"/>
              <w:jc w:val="center"/>
              <w:rPr>
                <w:rFonts w:hint="eastAsia"/>
                <w:color w:val="auto"/>
                <w:sz w:val="21"/>
                <w:szCs w:val="21"/>
              </w:rPr>
            </w:pPr>
            <w:r>
              <w:rPr>
                <w:rFonts w:hint="eastAsia"/>
                <w:color w:val="auto"/>
                <w:sz w:val="21"/>
                <w:szCs w:val="21"/>
              </w:rPr>
              <w:t>水力坡度I（%）</w:t>
            </w:r>
          </w:p>
        </w:tc>
        <w:tc>
          <w:tcPr>
            <w:tcW w:w="1065" w:type="dxa"/>
            <w:vMerge w:val="restart"/>
            <w:noWrap w:val="0"/>
            <w:vAlign w:val="center"/>
          </w:tcPr>
          <w:p>
            <w:pPr>
              <w:spacing w:line="240" w:lineRule="auto"/>
              <w:ind w:firstLine="0" w:firstLineChars="0"/>
              <w:jc w:val="center"/>
              <w:rPr>
                <w:rFonts w:hint="eastAsia"/>
                <w:color w:val="auto"/>
                <w:sz w:val="21"/>
                <w:szCs w:val="21"/>
              </w:rPr>
            </w:pPr>
            <w:r>
              <w:rPr>
                <w:rFonts w:hint="eastAsia"/>
                <w:color w:val="auto"/>
                <w:sz w:val="21"/>
                <w:szCs w:val="21"/>
              </w:rPr>
              <w:t>水流流速u（m/d）</w:t>
            </w:r>
          </w:p>
        </w:tc>
        <w:tc>
          <w:tcPr>
            <w:tcW w:w="2131" w:type="dxa"/>
            <w:gridSpan w:val="2"/>
            <w:noWrap w:val="0"/>
            <w:vAlign w:val="center"/>
          </w:tcPr>
          <w:p>
            <w:pPr>
              <w:spacing w:line="240" w:lineRule="auto"/>
              <w:ind w:firstLine="0" w:firstLineChars="0"/>
              <w:jc w:val="center"/>
              <w:rPr>
                <w:rFonts w:hint="eastAsia"/>
                <w:color w:val="auto"/>
                <w:sz w:val="21"/>
                <w:szCs w:val="21"/>
                <w:vertAlign w:val="superscript"/>
              </w:rPr>
            </w:pPr>
            <w:r>
              <w:rPr>
                <w:rFonts w:hint="eastAsia"/>
                <w:color w:val="auto"/>
                <w:sz w:val="21"/>
                <w:szCs w:val="21"/>
              </w:rPr>
              <w:t>弥散系数（m</w:t>
            </w:r>
            <w:r>
              <w:rPr>
                <w:rFonts w:hint="eastAsia"/>
                <w:color w:val="auto"/>
                <w:sz w:val="21"/>
                <w:szCs w:val="21"/>
                <w:vertAlign w:val="superscript"/>
              </w:rPr>
              <w:t>2</w:t>
            </w:r>
            <w:r>
              <w:rPr>
                <w:rFonts w:hint="eastAsia"/>
                <w:color w:val="auto"/>
                <w:sz w:val="21"/>
                <w:szCs w:val="21"/>
              </w:rPr>
              <w:t>/d）</w:t>
            </w:r>
            <w:r>
              <w:rPr>
                <w:rFonts w:hint="eastAsia"/>
                <w:color w:val="auto"/>
                <w:sz w:val="21"/>
                <w:szCs w:val="21"/>
                <w:vertAlign w:val="superscript"/>
              </w:rPr>
              <w:t>*</w:t>
            </w:r>
          </w:p>
        </w:tc>
        <w:tc>
          <w:tcPr>
            <w:tcW w:w="1066" w:type="dxa"/>
            <w:vMerge w:val="restart"/>
            <w:noWrap w:val="0"/>
            <w:vAlign w:val="center"/>
          </w:tcPr>
          <w:p>
            <w:pPr>
              <w:spacing w:line="240" w:lineRule="auto"/>
              <w:ind w:firstLine="0" w:firstLineChars="0"/>
              <w:jc w:val="center"/>
              <w:rPr>
                <w:rFonts w:hint="eastAsia"/>
                <w:color w:val="auto"/>
                <w:sz w:val="21"/>
                <w:szCs w:val="21"/>
              </w:rPr>
            </w:pPr>
            <w:r>
              <w:rPr>
                <w:rFonts w:hint="eastAsia"/>
                <w:color w:val="auto"/>
                <w:sz w:val="21"/>
                <w:szCs w:val="21"/>
              </w:rPr>
              <w:t>含水层厚度（m）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noWrap w:val="0"/>
            <w:vAlign w:val="center"/>
          </w:tcPr>
          <w:p>
            <w:pPr>
              <w:spacing w:line="240" w:lineRule="auto"/>
              <w:ind w:firstLine="0" w:firstLineChars="0"/>
              <w:jc w:val="center"/>
              <w:rPr>
                <w:rFonts w:hint="eastAsia"/>
                <w:color w:val="auto"/>
                <w:sz w:val="21"/>
                <w:szCs w:val="21"/>
              </w:rPr>
            </w:pPr>
          </w:p>
        </w:tc>
        <w:tc>
          <w:tcPr>
            <w:tcW w:w="1065" w:type="dxa"/>
            <w:vMerge w:val="continue"/>
            <w:noWrap w:val="0"/>
            <w:vAlign w:val="center"/>
          </w:tcPr>
          <w:p>
            <w:pPr>
              <w:spacing w:line="240" w:lineRule="auto"/>
              <w:ind w:firstLine="0" w:firstLineChars="0"/>
              <w:jc w:val="center"/>
              <w:rPr>
                <w:rFonts w:hint="eastAsia"/>
                <w:color w:val="auto"/>
                <w:sz w:val="21"/>
                <w:szCs w:val="21"/>
              </w:rPr>
            </w:pPr>
          </w:p>
        </w:tc>
        <w:tc>
          <w:tcPr>
            <w:tcW w:w="1065" w:type="dxa"/>
            <w:vMerge w:val="continue"/>
            <w:noWrap w:val="0"/>
            <w:vAlign w:val="center"/>
          </w:tcPr>
          <w:p>
            <w:pPr>
              <w:spacing w:line="240" w:lineRule="auto"/>
              <w:ind w:firstLine="0" w:firstLineChars="0"/>
              <w:jc w:val="center"/>
              <w:rPr>
                <w:rFonts w:hint="eastAsia"/>
                <w:color w:val="auto"/>
                <w:sz w:val="21"/>
                <w:szCs w:val="21"/>
              </w:rPr>
            </w:pPr>
          </w:p>
        </w:tc>
        <w:tc>
          <w:tcPr>
            <w:tcW w:w="1065" w:type="dxa"/>
            <w:vMerge w:val="continue"/>
            <w:noWrap w:val="0"/>
            <w:vAlign w:val="center"/>
          </w:tcPr>
          <w:p>
            <w:pPr>
              <w:spacing w:line="240" w:lineRule="auto"/>
              <w:ind w:firstLine="0" w:firstLineChars="0"/>
              <w:jc w:val="center"/>
              <w:rPr>
                <w:rFonts w:hint="eastAsia"/>
                <w:color w:val="auto"/>
                <w:sz w:val="21"/>
                <w:szCs w:val="21"/>
              </w:rPr>
            </w:pPr>
          </w:p>
        </w:tc>
        <w:tc>
          <w:tcPr>
            <w:tcW w:w="1065" w:type="dxa"/>
            <w:vMerge w:val="continue"/>
            <w:noWrap w:val="0"/>
            <w:vAlign w:val="center"/>
          </w:tcPr>
          <w:p>
            <w:pPr>
              <w:spacing w:line="240" w:lineRule="auto"/>
              <w:ind w:firstLine="0" w:firstLineChars="0"/>
              <w:jc w:val="center"/>
              <w:rPr>
                <w:rFonts w:hint="eastAsia"/>
                <w:color w:val="auto"/>
                <w:sz w:val="21"/>
                <w:szCs w:val="21"/>
              </w:rPr>
            </w:pPr>
          </w:p>
        </w:tc>
        <w:tc>
          <w:tcPr>
            <w:tcW w:w="1065" w:type="dxa"/>
            <w:noWrap w:val="0"/>
            <w:vAlign w:val="center"/>
          </w:tcPr>
          <w:p>
            <w:pPr>
              <w:spacing w:line="240" w:lineRule="auto"/>
              <w:ind w:firstLine="0" w:firstLineChars="0"/>
              <w:jc w:val="center"/>
              <w:rPr>
                <w:rFonts w:hint="eastAsia"/>
                <w:color w:val="auto"/>
                <w:sz w:val="21"/>
                <w:szCs w:val="21"/>
                <w:vertAlign w:val="subscript"/>
              </w:rPr>
            </w:pPr>
            <w:r>
              <w:rPr>
                <w:rFonts w:hint="eastAsia"/>
                <w:color w:val="auto"/>
                <w:sz w:val="21"/>
                <w:szCs w:val="21"/>
              </w:rPr>
              <w:t>D</w:t>
            </w:r>
            <w:r>
              <w:rPr>
                <w:rFonts w:hint="eastAsia"/>
                <w:color w:val="auto"/>
                <w:sz w:val="21"/>
                <w:szCs w:val="21"/>
                <w:vertAlign w:val="subscript"/>
              </w:rPr>
              <w:t>L</w:t>
            </w:r>
          </w:p>
        </w:tc>
        <w:tc>
          <w:tcPr>
            <w:tcW w:w="1066" w:type="dxa"/>
            <w:noWrap w:val="0"/>
            <w:vAlign w:val="center"/>
          </w:tcPr>
          <w:p>
            <w:pPr>
              <w:spacing w:line="240" w:lineRule="auto"/>
              <w:ind w:firstLine="0" w:firstLineChars="0"/>
              <w:jc w:val="center"/>
              <w:rPr>
                <w:rFonts w:hint="eastAsia"/>
                <w:color w:val="auto"/>
                <w:sz w:val="21"/>
                <w:szCs w:val="21"/>
                <w:vertAlign w:val="subscript"/>
              </w:rPr>
            </w:pPr>
            <w:r>
              <w:rPr>
                <w:rFonts w:hint="eastAsia"/>
                <w:color w:val="auto"/>
                <w:sz w:val="21"/>
                <w:szCs w:val="21"/>
              </w:rPr>
              <w:t>D</w:t>
            </w:r>
            <w:r>
              <w:rPr>
                <w:rFonts w:hint="eastAsia"/>
                <w:color w:val="auto"/>
                <w:sz w:val="21"/>
                <w:szCs w:val="21"/>
                <w:vertAlign w:val="subscript"/>
              </w:rPr>
              <w:t>T</w:t>
            </w:r>
          </w:p>
        </w:tc>
        <w:tc>
          <w:tcPr>
            <w:tcW w:w="1066" w:type="dxa"/>
            <w:vMerge w:val="continue"/>
            <w:noWrap w:val="0"/>
            <w:vAlign w:val="center"/>
          </w:tcPr>
          <w:p>
            <w:pPr>
              <w:spacing w:line="240" w:lineRule="auto"/>
              <w:ind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noWrap w:val="0"/>
            <w:vAlign w:val="center"/>
          </w:tcPr>
          <w:p>
            <w:pPr>
              <w:spacing w:line="240" w:lineRule="auto"/>
              <w:ind w:firstLine="0" w:firstLineChars="0"/>
              <w:jc w:val="center"/>
              <w:rPr>
                <w:rFonts w:hint="eastAsia"/>
                <w:color w:val="auto"/>
                <w:sz w:val="21"/>
                <w:szCs w:val="21"/>
              </w:rPr>
            </w:pPr>
            <w:r>
              <w:rPr>
                <w:rFonts w:hint="eastAsia"/>
                <w:color w:val="auto"/>
                <w:sz w:val="21"/>
                <w:szCs w:val="21"/>
              </w:rPr>
              <w:t>0.1</w:t>
            </w:r>
          </w:p>
        </w:tc>
        <w:tc>
          <w:tcPr>
            <w:tcW w:w="1065" w:type="dxa"/>
            <w:noWrap w:val="0"/>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0.55</w:t>
            </w:r>
          </w:p>
        </w:tc>
        <w:tc>
          <w:tcPr>
            <w:tcW w:w="1065" w:type="dxa"/>
            <w:noWrap w:val="0"/>
            <w:vAlign w:val="center"/>
          </w:tcPr>
          <w:p>
            <w:pPr>
              <w:spacing w:line="240" w:lineRule="auto"/>
              <w:ind w:firstLine="0" w:firstLineChars="0"/>
              <w:jc w:val="center"/>
              <w:rPr>
                <w:rFonts w:hint="eastAsia"/>
                <w:color w:val="auto"/>
                <w:sz w:val="21"/>
                <w:szCs w:val="21"/>
                <w:vertAlign w:val="superscript"/>
              </w:rPr>
            </w:pPr>
            <w:r>
              <w:rPr>
                <w:rFonts w:hint="eastAsia"/>
                <w:color w:val="auto"/>
                <w:sz w:val="21"/>
                <w:szCs w:val="21"/>
                <w:lang w:val="en-US" w:eastAsia="zh-CN"/>
              </w:rPr>
              <w:t>1.1</w:t>
            </w:r>
            <w:r>
              <w:rPr>
                <w:rFonts w:hint="eastAsia"/>
                <w:color w:val="auto"/>
                <w:sz w:val="21"/>
                <w:szCs w:val="21"/>
              </w:rPr>
              <w:t>*10</w:t>
            </w:r>
            <w:r>
              <w:rPr>
                <w:rFonts w:hint="eastAsia"/>
                <w:color w:val="auto"/>
                <w:sz w:val="21"/>
                <w:szCs w:val="21"/>
                <w:vertAlign w:val="superscript"/>
              </w:rPr>
              <w:t>-7</w:t>
            </w:r>
          </w:p>
        </w:tc>
        <w:tc>
          <w:tcPr>
            <w:tcW w:w="1065" w:type="dxa"/>
            <w:noWrap w:val="0"/>
            <w:vAlign w:val="center"/>
          </w:tcPr>
          <w:p>
            <w:pPr>
              <w:spacing w:line="240" w:lineRule="auto"/>
              <w:ind w:firstLine="0" w:firstLineChars="0"/>
              <w:jc w:val="center"/>
              <w:rPr>
                <w:rFonts w:hint="eastAsia"/>
                <w:color w:val="auto"/>
                <w:sz w:val="21"/>
                <w:szCs w:val="21"/>
              </w:rPr>
            </w:pPr>
            <w:r>
              <w:rPr>
                <w:rFonts w:hint="eastAsia"/>
                <w:color w:val="auto"/>
                <w:sz w:val="21"/>
                <w:szCs w:val="21"/>
              </w:rPr>
              <w:t>1</w:t>
            </w:r>
          </w:p>
        </w:tc>
        <w:tc>
          <w:tcPr>
            <w:tcW w:w="1065" w:type="dxa"/>
            <w:noWrap w:val="0"/>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0.23</w:t>
            </w:r>
          </w:p>
        </w:tc>
        <w:tc>
          <w:tcPr>
            <w:tcW w:w="1065" w:type="dxa"/>
            <w:noWrap w:val="0"/>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0.3</w:t>
            </w:r>
          </w:p>
        </w:tc>
        <w:tc>
          <w:tcPr>
            <w:tcW w:w="1066" w:type="dxa"/>
            <w:noWrap w:val="0"/>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0.04</w:t>
            </w:r>
          </w:p>
        </w:tc>
        <w:tc>
          <w:tcPr>
            <w:tcW w:w="1066" w:type="dxa"/>
            <w:noWrap w:val="0"/>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0.5</w:t>
            </w:r>
          </w:p>
        </w:tc>
      </w:tr>
    </w:tbl>
    <w:p>
      <w:pPr>
        <w:ind w:firstLine="0" w:firstLineChars="0"/>
        <w:rPr>
          <w:rFonts w:hint="eastAsia"/>
          <w:color w:val="auto"/>
        </w:rPr>
      </w:pPr>
      <w:r>
        <w:rPr>
          <w:rFonts w:hint="eastAsia"/>
          <w:color w:val="auto"/>
        </w:rPr>
        <w:t>（6）预测结果及评价</w:t>
      </w:r>
    </w:p>
    <w:p>
      <w:pPr>
        <w:ind w:firstLine="480"/>
        <w:rPr>
          <w:rFonts w:hint="eastAsia"/>
          <w:color w:val="auto"/>
        </w:rPr>
      </w:pPr>
      <w:r>
        <w:rPr>
          <w:color w:val="auto"/>
        </w:rPr>
        <w:t>事故情况下氨氮在地下水含水层的水平迁移情况见下表和下图。</w:t>
      </w:r>
    </w:p>
    <w:p>
      <w:pPr>
        <w:ind w:firstLine="422"/>
        <w:jc w:val="center"/>
        <w:rPr>
          <w:rFonts w:hint="eastAsia"/>
          <w:b/>
          <w:color w:val="auto"/>
          <w:sz w:val="21"/>
          <w:szCs w:val="21"/>
        </w:rPr>
      </w:pPr>
      <w:r>
        <w:rPr>
          <w:rFonts w:hint="eastAsia"/>
          <w:b/>
          <w:color w:val="auto"/>
          <w:sz w:val="21"/>
          <w:szCs w:val="21"/>
        </w:rPr>
        <w:t>表</w:t>
      </w:r>
      <w:r>
        <w:rPr>
          <w:b/>
          <w:color w:val="auto"/>
          <w:sz w:val="21"/>
          <w:szCs w:val="21"/>
        </w:rPr>
        <w:t>4.2-</w:t>
      </w:r>
      <w:r>
        <w:rPr>
          <w:rFonts w:hint="eastAsia"/>
          <w:b/>
          <w:color w:val="auto"/>
          <w:sz w:val="21"/>
          <w:szCs w:val="21"/>
          <w:lang w:val="en-US" w:eastAsia="zh-CN"/>
        </w:rPr>
        <w:t>11</w:t>
      </w:r>
      <w:r>
        <w:rPr>
          <w:rFonts w:hint="eastAsia"/>
          <w:b/>
          <w:color w:val="auto"/>
          <w:sz w:val="21"/>
          <w:szCs w:val="21"/>
        </w:rPr>
        <w:t xml:space="preserve">  </w:t>
      </w:r>
      <w:r>
        <w:rPr>
          <w:b/>
          <w:color w:val="auto"/>
          <w:sz w:val="21"/>
          <w:szCs w:val="21"/>
        </w:rPr>
        <w:t>氨氮在地下水含水层中的水平迁移预测一览表</w:t>
      </w:r>
      <w:r>
        <w:rPr>
          <w:b/>
          <w:color w:val="auto"/>
          <w:sz w:val="21"/>
          <w:szCs w:val="21"/>
        </w:rPr>
        <w:tab/>
      </w:r>
      <w:r>
        <w:rPr>
          <w:rFonts w:hint="eastAsia"/>
          <w:b/>
          <w:color w:val="auto"/>
          <w:sz w:val="21"/>
          <w:szCs w:val="21"/>
        </w:rPr>
        <w:t xml:space="preserve">  单位：</w:t>
      </w:r>
      <w:r>
        <w:rPr>
          <w:b/>
          <w:color w:val="auto"/>
          <w:sz w:val="21"/>
          <w:szCs w:val="21"/>
        </w:rPr>
        <w:t>mg/L</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1121"/>
        <w:gridCol w:w="984"/>
        <w:gridCol w:w="845"/>
        <w:gridCol w:w="844"/>
        <w:gridCol w:w="794"/>
        <w:gridCol w:w="842"/>
        <w:gridCol w:w="847"/>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526" w:type="dxa"/>
            <w:noWrap w:val="0"/>
            <w:vAlign w:val="center"/>
          </w:tcPr>
          <w:p>
            <w:pPr>
              <w:spacing w:line="240" w:lineRule="auto"/>
              <w:ind w:firstLine="0" w:firstLineChars="0"/>
              <w:jc w:val="center"/>
              <w:rPr>
                <w:rFonts w:hint="eastAsia"/>
                <w:b/>
                <w:color w:val="auto"/>
                <w:sz w:val="21"/>
                <w:szCs w:val="21"/>
              </w:rPr>
            </w:pPr>
            <w:r>
              <w:rPr>
                <w:b/>
                <w:color w:val="auto"/>
                <w:sz w:val="21"/>
                <w:szCs w:val="21"/>
              </w:rPr>
              <mc:AlternateContent>
                <mc:Choice Requires="wps">
                  <w:drawing>
                    <wp:anchor distT="0" distB="0" distL="114300" distR="114300" simplePos="0" relativeHeight="251668480" behindDoc="0" locked="0" layoutInCell="1" allowOverlap="1">
                      <wp:simplePos x="0" y="0"/>
                      <wp:positionH relativeFrom="column">
                        <wp:posOffset>-80645</wp:posOffset>
                      </wp:positionH>
                      <wp:positionV relativeFrom="paragraph">
                        <wp:posOffset>17780</wp:posOffset>
                      </wp:positionV>
                      <wp:extent cx="986155" cy="392430"/>
                      <wp:effectExtent l="1905" t="4445" r="2540" b="14605"/>
                      <wp:wrapNone/>
                      <wp:docPr id="10" name="自选图形 3"/>
                      <wp:cNvGraphicFramePr/>
                      <a:graphic xmlns:a="http://schemas.openxmlformats.org/drawingml/2006/main">
                        <a:graphicData uri="http://schemas.microsoft.com/office/word/2010/wordprocessingShape">
                          <wps:wsp>
                            <wps:cNvCnPr/>
                            <wps:spPr>
                              <a:xfrm>
                                <a:off x="0" y="0"/>
                                <a:ext cx="986155" cy="3924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6.35pt;margin-top:1.4pt;height:30.9pt;width:77.65pt;z-index:251668480;mso-width-relative:page;mso-height-relative:page;" filled="f" stroked="t" coordsize="21600,21600" o:gfxdata="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mHwh61gAAAAgBAAAPAAAAAAAAAAEAIAAAACIAAABkcnMvZG93bnJldi54bWxQ&#10;SwECFAAUAAAACACHTuJATn7tcPkBAADoAwAADgAAAAAAAAABACAAAAAlAQAAZHJzL2Uyb0RvYy54&#10;bWxQSwUGAAAAAAYABgBZAQAAkAUAAAAA&#10;">
                      <v:fill on="f" focussize="0,0"/>
                      <v:stroke color="#000000" joinstyle="round"/>
                      <v:imagedata o:title=""/>
                      <o:lock v:ext="edit" aspectratio="f"/>
                    </v:shape>
                  </w:pict>
                </mc:Fallback>
              </mc:AlternateContent>
            </w:r>
            <w:r>
              <w:rPr>
                <w:rFonts w:hint="eastAsia"/>
                <w:b/>
                <w:color w:val="auto"/>
                <w:sz w:val="21"/>
                <w:szCs w:val="21"/>
              </w:rPr>
              <w:t xml:space="preserve">    </w:t>
            </w:r>
            <w:r>
              <w:rPr>
                <w:b/>
                <w:color w:val="auto"/>
                <w:sz w:val="21"/>
                <w:szCs w:val="21"/>
              </w:rPr>
              <w:t>时间</w:t>
            </w:r>
          </w:p>
          <w:p>
            <w:pPr>
              <w:spacing w:line="240" w:lineRule="auto"/>
              <w:ind w:firstLine="0" w:firstLineChars="0"/>
              <w:rPr>
                <w:b/>
                <w:color w:val="auto"/>
                <w:sz w:val="21"/>
                <w:szCs w:val="21"/>
              </w:rPr>
            </w:pPr>
            <w:r>
              <w:rPr>
                <w:b/>
                <w:color w:val="auto"/>
                <w:sz w:val="21"/>
                <w:szCs w:val="21"/>
              </w:rPr>
              <w:t>距离</w:t>
            </w:r>
          </w:p>
        </w:tc>
        <w:tc>
          <w:tcPr>
            <w:tcW w:w="1134" w:type="dxa"/>
            <w:noWrap w:val="0"/>
            <w:vAlign w:val="center"/>
          </w:tcPr>
          <w:p>
            <w:pPr>
              <w:spacing w:line="240" w:lineRule="auto"/>
              <w:ind w:firstLine="0" w:firstLineChars="0"/>
              <w:jc w:val="center"/>
              <w:rPr>
                <w:b/>
                <w:color w:val="auto"/>
                <w:sz w:val="21"/>
                <w:szCs w:val="21"/>
              </w:rPr>
            </w:pPr>
            <w:r>
              <w:rPr>
                <w:b/>
                <w:color w:val="auto"/>
                <w:sz w:val="21"/>
                <w:szCs w:val="21"/>
              </w:rPr>
              <w:t>90d</w:t>
            </w:r>
          </w:p>
        </w:tc>
        <w:tc>
          <w:tcPr>
            <w:tcW w:w="992" w:type="dxa"/>
            <w:noWrap w:val="0"/>
            <w:vAlign w:val="center"/>
          </w:tcPr>
          <w:p>
            <w:pPr>
              <w:spacing w:line="240" w:lineRule="auto"/>
              <w:ind w:firstLine="0" w:firstLineChars="0"/>
              <w:jc w:val="center"/>
              <w:rPr>
                <w:b/>
                <w:color w:val="auto"/>
                <w:sz w:val="21"/>
                <w:szCs w:val="21"/>
              </w:rPr>
            </w:pPr>
            <w:r>
              <w:rPr>
                <w:b/>
                <w:color w:val="auto"/>
                <w:sz w:val="21"/>
                <w:szCs w:val="21"/>
              </w:rPr>
              <w:t>100d</w:t>
            </w:r>
          </w:p>
        </w:tc>
        <w:tc>
          <w:tcPr>
            <w:tcW w:w="851" w:type="dxa"/>
            <w:noWrap w:val="0"/>
            <w:vAlign w:val="center"/>
          </w:tcPr>
          <w:p>
            <w:pPr>
              <w:spacing w:line="240" w:lineRule="auto"/>
              <w:ind w:firstLine="0" w:firstLineChars="0"/>
              <w:jc w:val="center"/>
              <w:rPr>
                <w:b/>
                <w:color w:val="auto"/>
                <w:sz w:val="21"/>
                <w:szCs w:val="21"/>
              </w:rPr>
            </w:pPr>
            <w:r>
              <w:rPr>
                <w:b/>
                <w:color w:val="auto"/>
                <w:sz w:val="21"/>
                <w:szCs w:val="21"/>
              </w:rPr>
              <w:t>150d</w:t>
            </w:r>
          </w:p>
        </w:tc>
        <w:tc>
          <w:tcPr>
            <w:tcW w:w="850" w:type="dxa"/>
            <w:noWrap w:val="0"/>
            <w:vAlign w:val="center"/>
          </w:tcPr>
          <w:p>
            <w:pPr>
              <w:spacing w:line="240" w:lineRule="auto"/>
              <w:ind w:firstLine="0" w:firstLineChars="0"/>
              <w:jc w:val="center"/>
              <w:rPr>
                <w:b/>
                <w:color w:val="auto"/>
                <w:sz w:val="21"/>
                <w:szCs w:val="21"/>
              </w:rPr>
            </w:pPr>
            <w:r>
              <w:rPr>
                <w:b/>
                <w:color w:val="auto"/>
                <w:sz w:val="21"/>
                <w:szCs w:val="21"/>
              </w:rPr>
              <w:t>160d</w:t>
            </w:r>
          </w:p>
        </w:tc>
        <w:tc>
          <w:tcPr>
            <w:tcW w:w="709" w:type="dxa"/>
            <w:noWrap w:val="0"/>
            <w:vAlign w:val="center"/>
          </w:tcPr>
          <w:p>
            <w:pPr>
              <w:spacing w:line="240" w:lineRule="auto"/>
              <w:ind w:firstLine="0" w:firstLineChars="0"/>
              <w:jc w:val="center"/>
              <w:rPr>
                <w:b/>
                <w:color w:val="auto"/>
                <w:sz w:val="21"/>
                <w:szCs w:val="21"/>
              </w:rPr>
            </w:pPr>
            <w:r>
              <w:rPr>
                <w:b/>
                <w:color w:val="auto"/>
                <w:sz w:val="21"/>
                <w:szCs w:val="21"/>
              </w:rPr>
              <w:t>365d</w:t>
            </w:r>
          </w:p>
        </w:tc>
        <w:tc>
          <w:tcPr>
            <w:tcW w:w="850" w:type="dxa"/>
            <w:noWrap w:val="0"/>
            <w:vAlign w:val="center"/>
          </w:tcPr>
          <w:p>
            <w:pPr>
              <w:spacing w:line="240" w:lineRule="auto"/>
              <w:ind w:firstLine="0" w:firstLineChars="0"/>
              <w:jc w:val="center"/>
              <w:rPr>
                <w:b/>
                <w:color w:val="auto"/>
                <w:sz w:val="21"/>
                <w:szCs w:val="21"/>
              </w:rPr>
            </w:pPr>
            <w:r>
              <w:rPr>
                <w:b/>
                <w:color w:val="auto"/>
                <w:sz w:val="21"/>
                <w:szCs w:val="21"/>
              </w:rPr>
              <w:t>730d</w:t>
            </w:r>
          </w:p>
        </w:tc>
        <w:tc>
          <w:tcPr>
            <w:tcW w:w="851" w:type="dxa"/>
            <w:noWrap w:val="0"/>
            <w:vAlign w:val="center"/>
          </w:tcPr>
          <w:p>
            <w:pPr>
              <w:spacing w:line="240" w:lineRule="auto"/>
              <w:ind w:firstLine="0" w:firstLineChars="0"/>
              <w:jc w:val="center"/>
              <w:rPr>
                <w:b/>
                <w:color w:val="auto"/>
                <w:sz w:val="21"/>
                <w:szCs w:val="21"/>
              </w:rPr>
            </w:pPr>
            <w:r>
              <w:rPr>
                <w:b/>
                <w:color w:val="auto"/>
                <w:sz w:val="21"/>
                <w:szCs w:val="21"/>
              </w:rPr>
              <w:t>1000d</w:t>
            </w:r>
          </w:p>
        </w:tc>
        <w:tc>
          <w:tcPr>
            <w:tcW w:w="759" w:type="dxa"/>
            <w:noWrap w:val="0"/>
            <w:vAlign w:val="center"/>
          </w:tcPr>
          <w:p>
            <w:pPr>
              <w:spacing w:line="240" w:lineRule="auto"/>
              <w:ind w:firstLine="0" w:firstLineChars="0"/>
              <w:jc w:val="center"/>
              <w:rPr>
                <w:b/>
                <w:color w:val="auto"/>
                <w:sz w:val="21"/>
                <w:szCs w:val="21"/>
              </w:rPr>
            </w:pPr>
            <w:r>
              <w:rPr>
                <w:b/>
                <w:color w:val="auto"/>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center"/>
          </w:tcPr>
          <w:p>
            <w:pPr>
              <w:spacing w:line="240" w:lineRule="auto"/>
              <w:ind w:firstLine="0" w:firstLineChars="0"/>
              <w:jc w:val="center"/>
              <w:rPr>
                <w:color w:val="auto"/>
                <w:sz w:val="21"/>
                <w:szCs w:val="21"/>
              </w:rPr>
            </w:pPr>
            <w:r>
              <w:rPr>
                <w:color w:val="auto"/>
                <w:sz w:val="21"/>
                <w:szCs w:val="21"/>
              </w:rPr>
              <w:t>30m（观测井）</w:t>
            </w:r>
          </w:p>
        </w:tc>
        <w:tc>
          <w:tcPr>
            <w:tcW w:w="1134" w:type="dxa"/>
            <w:noWrap w:val="0"/>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0.0355</w:t>
            </w:r>
          </w:p>
        </w:tc>
        <w:tc>
          <w:tcPr>
            <w:tcW w:w="992" w:type="dxa"/>
            <w:noWrap w:val="0"/>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0.0925</w:t>
            </w:r>
          </w:p>
        </w:tc>
        <w:tc>
          <w:tcPr>
            <w:tcW w:w="851" w:type="dxa"/>
            <w:noWrap w:val="0"/>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1.533</w:t>
            </w:r>
          </w:p>
        </w:tc>
        <w:tc>
          <w:tcPr>
            <w:tcW w:w="850" w:type="dxa"/>
            <w:noWrap w:val="0"/>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8.565</w:t>
            </w:r>
          </w:p>
        </w:tc>
        <w:tc>
          <w:tcPr>
            <w:tcW w:w="709" w:type="dxa"/>
            <w:noWrap w:val="0"/>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20.322</w:t>
            </w:r>
          </w:p>
        </w:tc>
        <w:tc>
          <w:tcPr>
            <w:tcW w:w="850" w:type="dxa"/>
            <w:noWrap w:val="0"/>
            <w:vAlign w:val="center"/>
          </w:tcPr>
          <w:p>
            <w:pPr>
              <w:spacing w:line="240" w:lineRule="auto"/>
              <w:ind w:firstLine="0" w:firstLineChars="0"/>
              <w:jc w:val="center"/>
              <w:rPr>
                <w:color w:val="auto"/>
                <w:sz w:val="21"/>
                <w:szCs w:val="21"/>
              </w:rPr>
            </w:pPr>
            <w:r>
              <w:rPr>
                <w:color w:val="auto"/>
                <w:sz w:val="21"/>
                <w:szCs w:val="21"/>
              </w:rPr>
              <w:t>50</w:t>
            </w:r>
          </w:p>
        </w:tc>
        <w:tc>
          <w:tcPr>
            <w:tcW w:w="851" w:type="dxa"/>
            <w:noWrap w:val="0"/>
            <w:vAlign w:val="center"/>
          </w:tcPr>
          <w:p>
            <w:pPr>
              <w:spacing w:line="240" w:lineRule="auto"/>
              <w:ind w:firstLine="0" w:firstLineChars="0"/>
              <w:jc w:val="center"/>
              <w:rPr>
                <w:color w:val="auto"/>
                <w:sz w:val="21"/>
                <w:szCs w:val="21"/>
              </w:rPr>
            </w:pPr>
            <w:r>
              <w:rPr>
                <w:color w:val="auto"/>
                <w:sz w:val="21"/>
                <w:szCs w:val="21"/>
              </w:rPr>
              <w:t>50</w:t>
            </w:r>
          </w:p>
        </w:tc>
        <w:tc>
          <w:tcPr>
            <w:tcW w:w="759" w:type="dxa"/>
            <w:noWrap w:val="0"/>
            <w:vAlign w:val="center"/>
          </w:tcPr>
          <w:p>
            <w:pPr>
              <w:spacing w:line="240" w:lineRule="auto"/>
              <w:ind w:firstLine="0" w:firstLineChars="0"/>
              <w:jc w:val="center"/>
              <w:rPr>
                <w:color w:val="auto"/>
                <w:sz w:val="21"/>
                <w:szCs w:val="21"/>
              </w:rPr>
            </w:pPr>
            <w:r>
              <w:rPr>
                <w:color w:val="auto"/>
                <w:sz w:val="21"/>
                <w:szCs w:val="21"/>
              </w:rPr>
              <w:t>50</w:t>
            </w:r>
          </w:p>
        </w:tc>
      </w:tr>
    </w:tbl>
    <w:p>
      <w:pPr>
        <w:ind w:firstLine="480"/>
        <w:jc w:val="both"/>
        <w:rPr>
          <w:rFonts w:hint="eastAsia"/>
          <w:color w:val="auto"/>
        </w:rPr>
      </w:pPr>
      <w:r>
        <w:rPr>
          <w:rFonts w:hint="eastAsia"/>
          <w:color w:val="auto"/>
        </w:rPr>
        <w:t>由上</w:t>
      </w:r>
      <w:r>
        <w:rPr>
          <w:color w:val="auto"/>
        </w:rPr>
        <w:t>图表预测结果</w:t>
      </w:r>
      <w:r>
        <w:rPr>
          <w:rFonts w:hint="eastAsia"/>
          <w:color w:val="auto"/>
        </w:rPr>
        <w:t>分析可知，事故情况下</w:t>
      </w:r>
      <w:r>
        <w:rPr>
          <w:color w:val="auto"/>
        </w:rPr>
        <w:t>，</w:t>
      </w:r>
      <w:r>
        <w:rPr>
          <w:rFonts w:hint="eastAsia"/>
          <w:color w:val="auto"/>
        </w:rPr>
        <w:t>氨氮在含水层中迁移</w:t>
      </w:r>
      <w:r>
        <w:rPr>
          <w:color w:val="auto"/>
        </w:rPr>
        <w:t>100d后观测井</w:t>
      </w:r>
      <w:r>
        <w:rPr>
          <w:rFonts w:hint="eastAsia"/>
          <w:color w:val="auto"/>
        </w:rPr>
        <w:t>出现</w:t>
      </w:r>
      <w:r>
        <w:rPr>
          <w:color w:val="auto"/>
        </w:rPr>
        <w:t>高</w:t>
      </w:r>
      <w:r>
        <w:rPr>
          <w:rFonts w:hint="eastAsia"/>
          <w:color w:val="auto"/>
        </w:rPr>
        <w:t>于标准限值</w:t>
      </w:r>
      <w:r>
        <w:rPr>
          <w:color w:val="auto"/>
        </w:rPr>
        <w:t>0.2mg/L</w:t>
      </w:r>
      <w:r>
        <w:rPr>
          <w:rFonts w:hint="eastAsia"/>
          <w:color w:val="auto"/>
        </w:rPr>
        <w:t>，</w:t>
      </w:r>
      <w:r>
        <w:rPr>
          <w:rFonts w:hint="eastAsia"/>
          <w:color w:val="auto"/>
          <w:lang w:val="en-US" w:eastAsia="zh-CN"/>
        </w:rPr>
        <w:t>150</w:t>
      </w:r>
      <w:r>
        <w:rPr>
          <w:color w:val="auto"/>
        </w:rPr>
        <w:t>d后</w:t>
      </w:r>
      <w:r>
        <w:rPr>
          <w:rFonts w:hint="eastAsia"/>
          <w:color w:val="auto"/>
          <w:lang w:val="en-US" w:eastAsia="zh-CN"/>
        </w:rPr>
        <w:t>30</w:t>
      </w:r>
      <w:r>
        <w:rPr>
          <w:color w:val="auto"/>
        </w:rPr>
        <w:t>m处</w:t>
      </w:r>
      <w:r>
        <w:rPr>
          <w:rFonts w:hint="eastAsia"/>
          <w:color w:val="auto"/>
        </w:rPr>
        <w:t>出现</w:t>
      </w:r>
      <w:r>
        <w:rPr>
          <w:color w:val="auto"/>
        </w:rPr>
        <w:t>高</w:t>
      </w:r>
      <w:r>
        <w:rPr>
          <w:rFonts w:hint="eastAsia"/>
          <w:color w:val="auto"/>
        </w:rPr>
        <w:t>于标准限值</w:t>
      </w:r>
      <w:r>
        <w:rPr>
          <w:color w:val="auto"/>
        </w:rPr>
        <w:t>0.2mg/L</w:t>
      </w:r>
      <w:r>
        <w:rPr>
          <w:rFonts w:hint="eastAsia"/>
          <w:color w:val="auto"/>
        </w:rPr>
        <w:t>。</w:t>
      </w:r>
    </w:p>
    <w:p>
      <w:pPr>
        <w:ind w:firstLine="480"/>
        <w:jc w:val="both"/>
        <w:rPr>
          <w:color w:val="auto"/>
          <w:u w:val="none"/>
        </w:rPr>
      </w:pPr>
      <w:r>
        <w:rPr>
          <w:rFonts w:hint="eastAsia"/>
          <w:color w:val="auto"/>
        </w:rPr>
        <w:t>故在非正常工况无防渗条件下氨氮通过包气带进入含水层后，在迁移过程中，如果未及时发现，将在1</w:t>
      </w:r>
      <w:r>
        <w:rPr>
          <w:rFonts w:hint="eastAsia"/>
          <w:color w:val="auto"/>
          <w:lang w:val="en-US" w:eastAsia="zh-CN"/>
        </w:rPr>
        <w:t>50</w:t>
      </w:r>
      <w:r>
        <w:rPr>
          <w:rFonts w:hint="eastAsia"/>
          <w:color w:val="auto"/>
        </w:rPr>
        <w:t>d后对厂址地下水流向下游的地下水造成污染影响，故建设单位应采取风险防范措施，及时发现环境污染事故。</w:t>
      </w:r>
    </w:p>
    <w:p>
      <w:pPr>
        <w:pStyle w:val="6"/>
        <w:bidi w:val="0"/>
        <w:rPr>
          <w:rFonts w:hint="eastAsia"/>
        </w:rPr>
      </w:pPr>
      <w:r>
        <w:rPr>
          <w:rFonts w:hint="eastAsia"/>
        </w:rPr>
        <w:t>4.</w:t>
      </w:r>
      <w:r>
        <w:t>2</w:t>
      </w:r>
      <w:r>
        <w:rPr>
          <w:rFonts w:hint="eastAsia"/>
        </w:rPr>
        <w:t>.4声环境影响预测及评价</w:t>
      </w:r>
    </w:p>
    <w:p>
      <w:pPr>
        <w:ind w:firstLine="480"/>
        <w:jc w:val="both"/>
        <w:rPr>
          <w:rFonts w:hint="default" w:eastAsia="宋体"/>
          <w:color w:val="auto"/>
          <w:kern w:val="0"/>
          <w:u w:val="none"/>
          <w:lang w:val="en-US" w:eastAsia="zh-CN"/>
        </w:rPr>
      </w:pPr>
      <w:r>
        <w:rPr>
          <w:rFonts w:hint="eastAsia"/>
          <w:color w:val="auto"/>
          <w:kern w:val="0"/>
          <w:u w:val="none"/>
          <w:lang w:eastAsia="zh-CN"/>
        </w:rPr>
        <w:t>本项目分一期二期建设，二期仅增加</w:t>
      </w:r>
      <w:r>
        <w:rPr>
          <w:rFonts w:hint="eastAsia"/>
          <w:color w:val="auto"/>
          <w:kern w:val="0"/>
          <w:u w:val="none"/>
          <w:lang w:val="en-US" w:eastAsia="zh-CN"/>
        </w:rPr>
        <w:t>3套MBR设备，MBR设备为密闭设备，产生的噪声较小，故一期二期工程噪声源变化不大，故本次环评针对二期新增设备后进行声环境影响预测及评价。</w:t>
      </w:r>
    </w:p>
    <w:p>
      <w:pPr>
        <w:ind w:firstLine="480"/>
        <w:jc w:val="both"/>
        <w:rPr>
          <w:color w:val="auto"/>
          <w:kern w:val="0"/>
          <w:u w:val="none"/>
        </w:rPr>
      </w:pPr>
      <w:r>
        <w:rPr>
          <w:rFonts w:hint="eastAsia"/>
          <w:color w:val="auto"/>
          <w:kern w:val="0"/>
          <w:u w:val="none"/>
        </w:rPr>
        <w:t>（1）预测范围</w:t>
      </w:r>
    </w:p>
    <w:p>
      <w:pPr>
        <w:ind w:firstLine="480"/>
        <w:jc w:val="both"/>
        <w:rPr>
          <w:color w:val="auto"/>
          <w:kern w:val="0"/>
          <w:u w:val="none"/>
        </w:rPr>
      </w:pPr>
      <w:r>
        <w:rPr>
          <w:rFonts w:hint="eastAsia"/>
          <w:color w:val="auto"/>
          <w:kern w:val="0"/>
          <w:u w:val="none"/>
        </w:rPr>
        <w:t>根据项目特点及项目周围环境状况，噪声预测范围至各</w:t>
      </w:r>
      <w:r>
        <w:rPr>
          <w:rFonts w:hint="eastAsia"/>
          <w:color w:val="auto"/>
          <w:kern w:val="0"/>
          <w:u w:val="none"/>
          <w:lang w:eastAsia="zh-CN"/>
        </w:rPr>
        <w:t>厂</w:t>
      </w:r>
      <w:r>
        <w:rPr>
          <w:rFonts w:hint="eastAsia"/>
          <w:color w:val="auto"/>
          <w:kern w:val="0"/>
          <w:u w:val="none"/>
        </w:rPr>
        <w:t>界外敏感点。</w:t>
      </w:r>
    </w:p>
    <w:p>
      <w:pPr>
        <w:ind w:firstLine="480"/>
        <w:jc w:val="both"/>
        <w:rPr>
          <w:rFonts w:hint="eastAsia" w:ascii="Times New Roman" w:hAnsi="Times New Roman" w:eastAsia="宋体" w:cs="Times New Roman"/>
          <w:color w:val="auto"/>
          <w:kern w:val="0"/>
          <w:u w:val="none"/>
        </w:rPr>
      </w:pPr>
      <w:r>
        <w:rPr>
          <w:rFonts w:hint="eastAsia"/>
          <w:color w:val="auto"/>
          <w:kern w:val="0"/>
          <w:u w:val="none"/>
        </w:rPr>
        <w:t>（2）预测声源</w:t>
      </w:r>
      <w:r>
        <w:rPr>
          <w:rFonts w:hint="eastAsia" w:ascii="Times New Roman" w:hAnsi="Times New Roman" w:eastAsia="宋体" w:cs="Times New Roman"/>
          <w:color w:val="auto"/>
          <w:kern w:val="0"/>
          <w:u w:val="none"/>
        </w:rPr>
        <w:t>确定</w:t>
      </w:r>
    </w:p>
    <w:p>
      <w:pPr>
        <w:ind w:firstLine="480"/>
        <w:jc w:val="both"/>
        <w:rPr>
          <w:rFonts w:hint="eastAsia"/>
          <w:color w:val="auto"/>
          <w:kern w:val="0"/>
          <w:u w:val="none"/>
        </w:rPr>
      </w:pPr>
      <w:r>
        <w:rPr>
          <w:rFonts w:hint="eastAsia" w:ascii="Times New Roman" w:hAnsi="Times New Roman" w:eastAsia="宋体" w:cs="Times New Roman"/>
          <w:color w:val="auto"/>
          <w:kern w:val="0"/>
          <w:u w:val="none"/>
        </w:rPr>
        <w:t>本项目主要噪声源</w:t>
      </w:r>
      <w:r>
        <w:rPr>
          <w:rFonts w:hint="eastAsia"/>
          <w:color w:val="auto"/>
          <w:kern w:val="0"/>
          <w:u w:val="none"/>
        </w:rPr>
        <w:t>为污水处理设施的水泵产生的噪声，其源强见表4</w:t>
      </w:r>
      <w:r>
        <w:rPr>
          <w:color w:val="auto"/>
          <w:kern w:val="0"/>
          <w:u w:val="none"/>
        </w:rPr>
        <w:t>.2-1</w:t>
      </w:r>
      <w:r>
        <w:rPr>
          <w:rFonts w:hint="eastAsia"/>
          <w:color w:val="auto"/>
          <w:kern w:val="0"/>
          <w:u w:val="none"/>
          <w:lang w:val="en-US" w:eastAsia="zh-CN"/>
        </w:rPr>
        <w:t>2</w:t>
      </w:r>
      <w:r>
        <w:rPr>
          <w:rFonts w:hint="eastAsia"/>
          <w:color w:val="auto"/>
          <w:kern w:val="0"/>
          <w:u w:val="none"/>
        </w:rPr>
        <w:t>。</w:t>
      </w:r>
    </w:p>
    <w:p>
      <w:pPr>
        <w:ind w:firstLine="422"/>
        <w:jc w:val="center"/>
        <w:rPr>
          <w:b/>
          <w:color w:val="auto"/>
          <w:kern w:val="0"/>
          <w:sz w:val="21"/>
          <w:szCs w:val="21"/>
          <w:u w:val="none"/>
        </w:rPr>
      </w:pPr>
      <w:r>
        <w:rPr>
          <w:rFonts w:hint="eastAsia"/>
          <w:b/>
          <w:color w:val="auto"/>
          <w:kern w:val="0"/>
          <w:sz w:val="21"/>
          <w:szCs w:val="21"/>
          <w:u w:val="none"/>
        </w:rPr>
        <w:t>表4.</w:t>
      </w:r>
      <w:r>
        <w:rPr>
          <w:b/>
          <w:color w:val="auto"/>
          <w:kern w:val="0"/>
          <w:sz w:val="21"/>
          <w:szCs w:val="21"/>
          <w:u w:val="none"/>
        </w:rPr>
        <w:t>2-1</w:t>
      </w:r>
      <w:r>
        <w:rPr>
          <w:rFonts w:hint="eastAsia"/>
          <w:b/>
          <w:color w:val="auto"/>
          <w:kern w:val="0"/>
          <w:sz w:val="21"/>
          <w:szCs w:val="21"/>
          <w:u w:val="none"/>
          <w:lang w:val="en-US" w:eastAsia="zh-CN"/>
        </w:rPr>
        <w:t>2</w:t>
      </w:r>
      <w:r>
        <w:rPr>
          <w:b/>
          <w:color w:val="auto"/>
          <w:kern w:val="0"/>
          <w:sz w:val="21"/>
          <w:szCs w:val="21"/>
          <w:u w:val="none"/>
        </w:rPr>
        <w:t xml:space="preserve"> </w:t>
      </w:r>
      <w:r>
        <w:rPr>
          <w:rFonts w:hint="eastAsia"/>
          <w:b/>
          <w:color w:val="auto"/>
          <w:kern w:val="0"/>
          <w:sz w:val="21"/>
          <w:szCs w:val="21"/>
          <w:u w:val="none"/>
        </w:rPr>
        <w:t>主要噪声源及噪声强度一览表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692"/>
        <w:gridCol w:w="1694"/>
        <w:gridCol w:w="1695"/>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tcBorders>
              <w:top w:val="single" w:color="auto" w:sz="4" w:space="0"/>
              <w:left w:val="single" w:color="auto" w:sz="4" w:space="0"/>
              <w:bottom w:val="single" w:color="auto" w:sz="4" w:space="0"/>
              <w:right w:val="single" w:color="auto" w:sz="4" w:space="0"/>
            </w:tcBorders>
            <w:noWrap w:val="0"/>
            <w:vAlign w:val="center"/>
          </w:tcPr>
          <w:p>
            <w:pPr>
              <w:pStyle w:val="73"/>
              <w:rPr>
                <w:b/>
                <w:bCs/>
                <w:color w:val="auto"/>
                <w:u w:val="single"/>
              </w:rPr>
            </w:pPr>
            <w:r>
              <w:rPr>
                <w:rFonts w:hint="eastAsia"/>
                <w:b/>
                <w:bCs/>
                <w:color w:val="auto"/>
                <w:u w:val="single"/>
              </w:rPr>
              <w:t>工段</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73"/>
              <w:rPr>
                <w:b/>
                <w:bCs/>
                <w:color w:val="auto"/>
                <w:u w:val="single"/>
              </w:rPr>
            </w:pPr>
            <w:r>
              <w:rPr>
                <w:rFonts w:hint="eastAsia"/>
                <w:b/>
                <w:bCs/>
                <w:color w:val="auto"/>
                <w:u w:val="single"/>
              </w:rPr>
              <w:t>高噪声设备</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pStyle w:val="73"/>
              <w:rPr>
                <w:b/>
                <w:bCs/>
                <w:color w:val="auto"/>
                <w:u w:val="single"/>
              </w:rPr>
            </w:pPr>
            <w:r>
              <w:rPr>
                <w:rFonts w:hint="eastAsia"/>
                <w:b/>
                <w:bCs/>
                <w:color w:val="auto"/>
                <w:u w:val="single"/>
              </w:rPr>
              <w:t>数量</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pStyle w:val="73"/>
              <w:rPr>
                <w:b/>
                <w:bCs/>
                <w:color w:val="auto"/>
                <w:u w:val="single"/>
              </w:rPr>
            </w:pPr>
            <w:r>
              <w:rPr>
                <w:rFonts w:hint="eastAsia"/>
                <w:b/>
                <w:bCs/>
                <w:color w:val="auto"/>
                <w:u w:val="single"/>
              </w:rPr>
              <w:t>预测源强dB（A）</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pStyle w:val="73"/>
              <w:rPr>
                <w:b/>
                <w:bCs/>
                <w:color w:val="auto"/>
                <w:u w:val="single"/>
              </w:rPr>
            </w:pPr>
            <w:r>
              <w:rPr>
                <w:rFonts w:hint="eastAsia"/>
                <w:b/>
                <w:bCs/>
                <w:color w:val="auto"/>
                <w:u w:val="single"/>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rFonts w:hint="eastAsia"/>
                <w:color w:val="auto"/>
                <w:u w:val="single"/>
                <w:lang w:bidi="zh-CN"/>
              </w:rPr>
            </w:pPr>
            <w:r>
              <w:rPr>
                <w:rFonts w:hint="eastAsia"/>
                <w:color w:val="auto"/>
                <w:u w:val="single"/>
                <w:lang w:bidi="zh-CN"/>
              </w:rPr>
              <w:t>调节池</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single"/>
                <w:lang w:eastAsia="zh-CN"/>
              </w:rPr>
            </w:pPr>
            <w:r>
              <w:rPr>
                <w:rFonts w:hint="eastAsia"/>
                <w:color w:val="auto"/>
                <w:kern w:val="0"/>
                <w:sz w:val="21"/>
                <w:szCs w:val="21"/>
                <w:u w:val="single"/>
                <w:lang w:eastAsia="zh-CN"/>
              </w:rPr>
              <w:t>污水提升泵</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single"/>
                <w:lang w:val="en-US" w:eastAsia="zh-CN"/>
              </w:rPr>
            </w:pPr>
            <w:r>
              <w:rPr>
                <w:rFonts w:hint="eastAsia"/>
                <w:color w:val="auto"/>
                <w:kern w:val="0"/>
                <w:sz w:val="21"/>
                <w:szCs w:val="21"/>
                <w:u w:val="single"/>
                <w:lang w:val="en-US" w:eastAsia="zh-CN"/>
              </w:rPr>
              <w:t>2台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eastAsia="宋体"/>
                <w:color w:val="auto"/>
                <w:kern w:val="0"/>
                <w:sz w:val="21"/>
                <w:szCs w:val="21"/>
                <w:u w:val="single"/>
                <w:lang w:val="en-US" w:eastAsia="zh-CN"/>
              </w:rPr>
            </w:pPr>
            <w:r>
              <w:rPr>
                <w:rFonts w:hint="eastAsia"/>
                <w:color w:val="auto"/>
                <w:kern w:val="0"/>
                <w:sz w:val="21"/>
                <w:szCs w:val="21"/>
                <w:u w:val="single"/>
                <w:lang w:val="en-US" w:eastAsia="zh-CN"/>
              </w:rPr>
              <w:t>85</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pStyle w:val="73"/>
              <w:rPr>
                <w:rFonts w:hint="eastAsia"/>
                <w:color w:val="auto"/>
                <w:u w:val="single"/>
              </w:rPr>
            </w:pPr>
            <w:r>
              <w:rPr>
                <w:rFonts w:hint="eastAsia"/>
                <w:color w:val="auto"/>
                <w:u w:val="single"/>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tcBorders>
              <w:top w:val="single" w:color="auto" w:sz="4" w:space="0"/>
              <w:left w:val="single" w:color="auto" w:sz="4" w:space="0"/>
              <w:bottom w:val="single" w:color="auto" w:sz="4" w:space="0"/>
              <w:right w:val="single" w:color="auto" w:sz="4" w:space="0"/>
            </w:tcBorders>
            <w:noWrap w:val="0"/>
            <w:vAlign w:val="center"/>
          </w:tcPr>
          <w:p>
            <w:pPr>
              <w:pStyle w:val="73"/>
              <w:ind w:firstLine="0" w:firstLineChars="0"/>
              <w:rPr>
                <w:color w:val="auto"/>
                <w:u w:val="single"/>
                <w:lang w:bidi="zh-CN"/>
              </w:rPr>
            </w:pPr>
            <w:r>
              <w:rPr>
                <w:rFonts w:hint="eastAsia"/>
                <w:color w:val="auto"/>
                <w:u w:val="single"/>
                <w:lang w:bidi="zh-CN"/>
              </w:rPr>
              <w:t>预处理</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格栅除污机</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1台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80</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pStyle w:val="73"/>
              <w:rPr>
                <w:color w:val="auto"/>
                <w:u w:val="single"/>
              </w:rPr>
            </w:pPr>
            <w:r>
              <w:rPr>
                <w:rFonts w:hint="eastAsia"/>
                <w:color w:val="auto"/>
                <w:u w:val="singl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single"/>
                <w:lang w:val="en-US" w:eastAsia="zh-CN"/>
              </w:rPr>
            </w:pPr>
            <w:r>
              <w:rPr>
                <w:rFonts w:hint="eastAsia"/>
                <w:color w:val="auto"/>
                <w:kern w:val="0"/>
                <w:sz w:val="21"/>
                <w:szCs w:val="21"/>
                <w:u w:val="single"/>
                <w:lang w:val="en-US" w:eastAsia="zh-CN"/>
              </w:rPr>
              <w:t>生化处理</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lang w:val="en-US" w:eastAsia="zh-CN"/>
              </w:rPr>
              <w:t>MBR设备</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lang w:val="en-US" w:eastAsia="zh-CN"/>
              </w:rPr>
              <w:t>5</w:t>
            </w:r>
            <w:r>
              <w:rPr>
                <w:rFonts w:hint="eastAsia"/>
                <w:color w:val="auto"/>
                <w:kern w:val="0"/>
                <w:sz w:val="21"/>
                <w:szCs w:val="21"/>
                <w:u w:val="single"/>
              </w:rPr>
              <w:t>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80</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pStyle w:val="73"/>
              <w:rPr>
                <w:color w:val="auto"/>
                <w:u w:val="single"/>
              </w:rPr>
            </w:pPr>
            <w:r>
              <w:rPr>
                <w:rFonts w:hint="eastAsia"/>
                <w:color w:val="auto"/>
                <w:u w:val="single"/>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污泥</w:t>
            </w:r>
            <w:r>
              <w:rPr>
                <w:rFonts w:hint="eastAsia"/>
                <w:color w:val="auto"/>
                <w:kern w:val="0"/>
                <w:sz w:val="21"/>
                <w:szCs w:val="21"/>
                <w:u w:val="single"/>
                <w:lang w:eastAsia="zh-CN"/>
              </w:rPr>
              <w:t>浓缩</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污泥泵</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lang w:val="en-US" w:eastAsia="zh-CN"/>
              </w:rPr>
              <w:t>1</w:t>
            </w:r>
            <w:r>
              <w:rPr>
                <w:rFonts w:hint="eastAsia"/>
                <w:color w:val="auto"/>
                <w:kern w:val="0"/>
                <w:sz w:val="21"/>
                <w:szCs w:val="21"/>
                <w:u w:val="single"/>
              </w:rPr>
              <w:t>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auto"/>
                <w:kern w:val="0"/>
                <w:sz w:val="21"/>
                <w:szCs w:val="21"/>
                <w:u w:val="single"/>
              </w:rPr>
            </w:pPr>
            <w:r>
              <w:rPr>
                <w:rFonts w:hint="eastAsia"/>
                <w:color w:val="auto"/>
                <w:kern w:val="0"/>
                <w:sz w:val="21"/>
                <w:szCs w:val="21"/>
                <w:u w:val="single"/>
              </w:rPr>
              <w:t>85</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pStyle w:val="73"/>
              <w:rPr>
                <w:color w:val="auto"/>
                <w:u w:val="single"/>
              </w:rPr>
            </w:pPr>
            <w:r>
              <w:rPr>
                <w:rFonts w:hint="eastAsia"/>
                <w:color w:val="auto"/>
                <w:u w:val="single"/>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lang w:eastAsia="zh-CN"/>
              </w:rPr>
              <w:t>污泥脱水</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ascii="宋体" w:hAnsi="宋体" w:cs="宋体"/>
                <w:color w:val="auto"/>
                <w:kern w:val="0"/>
                <w:sz w:val="21"/>
                <w:szCs w:val="21"/>
                <w:u w:val="single"/>
              </w:rPr>
              <w:t>叠螺脱水机</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lang w:val="en-US" w:eastAsia="zh-CN"/>
              </w:rPr>
              <w:t>1台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lang w:val="en-US" w:eastAsia="zh-CN"/>
              </w:rPr>
              <w:t>89</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pStyle w:val="73"/>
              <w:rPr>
                <w:rFonts w:hint="eastAsia"/>
                <w:color w:val="auto"/>
                <w:u w:val="single"/>
              </w:rPr>
            </w:pPr>
            <w:r>
              <w:rPr>
                <w:rFonts w:hint="eastAsia"/>
                <w:color w:val="auto"/>
                <w:u w:val="single"/>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eastAsia="宋体"/>
                <w:color w:val="auto"/>
                <w:kern w:val="0"/>
                <w:sz w:val="21"/>
                <w:szCs w:val="21"/>
                <w:u w:val="single"/>
                <w:lang w:eastAsia="zh-CN"/>
              </w:rPr>
            </w:pPr>
            <w:r>
              <w:rPr>
                <w:rFonts w:hint="eastAsia"/>
                <w:color w:val="auto"/>
                <w:kern w:val="0"/>
                <w:sz w:val="21"/>
                <w:szCs w:val="21"/>
                <w:u w:val="single"/>
                <w:lang w:eastAsia="zh-CN"/>
              </w:rPr>
              <w:t>风机</w:t>
            </w:r>
          </w:p>
        </w:tc>
        <w:tc>
          <w:tcPr>
            <w:tcW w:w="16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lang w:val="en-US" w:eastAsia="zh-CN"/>
              </w:rPr>
              <w:t>1</w:t>
            </w:r>
            <w:r>
              <w:rPr>
                <w:rFonts w:hint="eastAsia"/>
                <w:color w:val="auto"/>
                <w:kern w:val="0"/>
                <w:sz w:val="21"/>
                <w:szCs w:val="21"/>
                <w:u w:val="single"/>
              </w:rPr>
              <w:t>台</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auto"/>
                <w:kern w:val="0"/>
                <w:sz w:val="21"/>
                <w:szCs w:val="21"/>
                <w:u w:val="single"/>
              </w:rPr>
            </w:pPr>
            <w:r>
              <w:rPr>
                <w:rFonts w:hint="eastAsia"/>
                <w:color w:val="auto"/>
                <w:kern w:val="0"/>
                <w:sz w:val="21"/>
                <w:szCs w:val="21"/>
                <w:u w:val="single"/>
              </w:rPr>
              <w:t>90</w:t>
            </w:r>
          </w:p>
        </w:tc>
        <w:tc>
          <w:tcPr>
            <w:tcW w:w="1693" w:type="dxa"/>
            <w:tcBorders>
              <w:top w:val="single" w:color="auto" w:sz="4" w:space="0"/>
              <w:left w:val="single" w:color="auto" w:sz="4" w:space="0"/>
              <w:bottom w:val="single" w:color="auto" w:sz="4" w:space="0"/>
              <w:right w:val="single" w:color="auto" w:sz="4" w:space="0"/>
            </w:tcBorders>
            <w:noWrap w:val="0"/>
            <w:vAlign w:val="center"/>
          </w:tcPr>
          <w:p>
            <w:pPr>
              <w:pStyle w:val="73"/>
              <w:rPr>
                <w:rFonts w:hint="eastAsia"/>
                <w:color w:val="auto"/>
                <w:u w:val="single"/>
              </w:rPr>
            </w:pPr>
            <w:r>
              <w:rPr>
                <w:rFonts w:hint="eastAsia"/>
                <w:color w:val="auto"/>
                <w:u w:val="single"/>
              </w:rPr>
              <w:t>室内</w:t>
            </w:r>
          </w:p>
        </w:tc>
      </w:tr>
    </w:tbl>
    <w:p>
      <w:pPr>
        <w:ind w:firstLine="480"/>
        <w:rPr>
          <w:color w:val="auto"/>
          <w:kern w:val="0"/>
          <w:u w:val="none"/>
        </w:rPr>
      </w:pPr>
      <w:r>
        <w:rPr>
          <w:rFonts w:hint="eastAsia"/>
          <w:color w:val="auto"/>
          <w:kern w:val="0"/>
          <w:u w:val="none"/>
        </w:rPr>
        <w:t>（3）预测模式</w:t>
      </w:r>
    </w:p>
    <w:p>
      <w:pPr>
        <w:ind w:firstLine="480"/>
        <w:jc w:val="both"/>
        <w:rPr>
          <w:rFonts w:hint="eastAsia"/>
          <w:u w:val="single"/>
        </w:rPr>
      </w:pPr>
      <w:r>
        <w:rPr>
          <w:rFonts w:hint="eastAsia"/>
          <w:u w:val="single"/>
        </w:rPr>
        <w:t>运营期的噪声预测模式，采用《环境影响评价技术导则 声环境》（HJ2.4-</w:t>
      </w:r>
      <w:r>
        <w:rPr>
          <w:rFonts w:hint="eastAsia"/>
          <w:u w:val="single"/>
          <w:lang w:val="en-US" w:eastAsia="zh-CN"/>
        </w:rPr>
        <w:t>2021</w:t>
      </w:r>
      <w:r>
        <w:rPr>
          <w:rFonts w:hint="eastAsia"/>
          <w:u w:val="single"/>
        </w:rPr>
        <w:t>）推荐的工业噪声预测计算模式，按室内声源和室外声源两种声源分别进行计算。</w:t>
      </w:r>
    </w:p>
    <w:p>
      <w:pPr>
        <w:ind w:firstLine="480"/>
        <w:rPr>
          <w:rFonts w:hint="eastAsia" w:eastAsia="宋体"/>
          <w:u w:val="single"/>
          <w:lang w:val="en-US" w:eastAsia="zh-CN"/>
        </w:rPr>
      </w:pPr>
      <w:r>
        <w:rPr>
          <w:rFonts w:hint="eastAsia"/>
          <w:u w:val="single"/>
          <w:lang w:val="en-US" w:eastAsia="zh-CN"/>
        </w:rPr>
        <w:t>1）</w:t>
      </w:r>
      <w:r>
        <w:rPr>
          <w:rFonts w:hint="eastAsia"/>
          <w:u w:val="single"/>
        </w:rPr>
        <w:t>对于室外声源</w:t>
      </w:r>
    </w:p>
    <w:p>
      <w:pPr>
        <w:ind w:firstLine="480"/>
        <w:jc w:val="center"/>
        <w:rPr>
          <w:rFonts w:hint="eastAsia"/>
          <w:u w:val="none"/>
        </w:rPr>
      </w:pPr>
      <w:r>
        <w:rPr>
          <w:rFonts w:hint="eastAsia"/>
          <w:u w:val="single"/>
        </w:rPr>
        <w:t>L</w:t>
      </w:r>
      <w:r>
        <w:rPr>
          <w:rFonts w:hint="eastAsia"/>
          <w:u w:val="single"/>
          <w:vertAlign w:val="subscript"/>
        </w:rPr>
        <w:t>A</w:t>
      </w:r>
      <w:r>
        <w:rPr>
          <w:rFonts w:hint="eastAsia"/>
          <w:u w:val="single"/>
        </w:rPr>
        <w:t>(r</w:t>
      </w:r>
      <w:r>
        <w:rPr>
          <w:rFonts w:hint="eastAsia"/>
          <w:u w:val="single"/>
          <w:lang w:val="en-US" w:eastAsia="zh-CN"/>
        </w:rPr>
        <w:t>)</w:t>
      </w:r>
      <w:r>
        <w:rPr>
          <w:rFonts w:hint="eastAsia"/>
          <w:u w:val="single"/>
        </w:rPr>
        <w:t>=LA</w:t>
      </w:r>
      <w:r>
        <w:rPr>
          <w:rFonts w:hint="eastAsia"/>
          <w:u w:val="none"/>
        </w:rPr>
        <w:t xml:space="preserve"> (r</w:t>
      </w:r>
      <w:r>
        <w:rPr>
          <w:rFonts w:hint="eastAsia"/>
          <w:u w:val="none"/>
          <w:vertAlign w:val="subscript"/>
        </w:rPr>
        <w:t>0</w:t>
      </w:r>
      <w:r>
        <w:rPr>
          <w:rFonts w:hint="eastAsia"/>
          <w:u w:val="none"/>
          <w:lang w:val="en-US" w:eastAsia="zh-CN"/>
        </w:rPr>
        <w:t>)</w:t>
      </w:r>
      <w:r>
        <w:rPr>
          <w:rFonts w:hint="eastAsia"/>
          <w:u w:val="none"/>
        </w:rPr>
        <w:t>-A</w:t>
      </w:r>
    </w:p>
    <w:p>
      <w:pPr>
        <w:ind w:firstLine="480"/>
        <w:jc w:val="center"/>
        <w:rPr>
          <w:rFonts w:hint="eastAsia"/>
          <w:u w:val="none"/>
        </w:rPr>
      </w:pPr>
      <w:r>
        <w:rPr>
          <w:rFonts w:hint="eastAsia"/>
          <w:u w:val="none"/>
        </w:rPr>
        <w:t>A=A</w:t>
      </w:r>
      <w:r>
        <w:rPr>
          <w:rFonts w:hint="eastAsia"/>
          <w:u w:val="none"/>
          <w:vertAlign w:val="subscript"/>
        </w:rPr>
        <w:t>div</w:t>
      </w:r>
      <w:r>
        <w:rPr>
          <w:rFonts w:hint="eastAsia"/>
          <w:u w:val="none"/>
        </w:rPr>
        <w:t xml:space="preserve"> +A</w:t>
      </w:r>
      <w:r>
        <w:rPr>
          <w:rFonts w:hint="eastAsia"/>
          <w:u w:val="none"/>
          <w:vertAlign w:val="subscript"/>
        </w:rPr>
        <w:t>atm</w:t>
      </w:r>
      <w:r>
        <w:rPr>
          <w:rFonts w:hint="eastAsia"/>
          <w:u w:val="none"/>
        </w:rPr>
        <w:t xml:space="preserve"> +A</w:t>
      </w:r>
      <w:r>
        <w:rPr>
          <w:rFonts w:hint="eastAsia"/>
          <w:u w:val="none"/>
          <w:vertAlign w:val="subscript"/>
        </w:rPr>
        <w:t>gr</w:t>
      </w:r>
      <w:r>
        <w:rPr>
          <w:rFonts w:hint="eastAsia"/>
          <w:u w:val="none"/>
        </w:rPr>
        <w:t xml:space="preserve"> +A</w:t>
      </w:r>
      <w:r>
        <w:rPr>
          <w:rFonts w:hint="eastAsia"/>
          <w:u w:val="none"/>
          <w:vertAlign w:val="subscript"/>
        </w:rPr>
        <w:t>bar</w:t>
      </w:r>
      <w:r>
        <w:rPr>
          <w:rFonts w:hint="eastAsia"/>
          <w:u w:val="none"/>
        </w:rPr>
        <w:t xml:space="preserve"> +A</w:t>
      </w:r>
      <w:r>
        <w:rPr>
          <w:rFonts w:hint="eastAsia"/>
          <w:u w:val="none"/>
          <w:vertAlign w:val="subscript"/>
        </w:rPr>
        <w:t>misc</w:t>
      </w:r>
    </w:p>
    <w:p>
      <w:pPr>
        <w:ind w:firstLine="480"/>
        <w:rPr>
          <w:rFonts w:hint="eastAsia"/>
          <w:u w:val="single"/>
        </w:rPr>
      </w:pPr>
      <w:r>
        <w:rPr>
          <w:rFonts w:hint="eastAsia"/>
          <w:u w:val="single"/>
        </w:rPr>
        <w:t>式中：L</w:t>
      </w:r>
      <w:r>
        <w:rPr>
          <w:rFonts w:hint="eastAsia"/>
          <w:u w:val="single"/>
          <w:vertAlign w:val="subscript"/>
        </w:rPr>
        <w:t>A</w:t>
      </w:r>
      <w:r>
        <w:rPr>
          <w:rFonts w:hint="eastAsia"/>
          <w:u w:val="single"/>
        </w:rPr>
        <w:t>(r</w:t>
      </w:r>
      <w:r>
        <w:rPr>
          <w:rFonts w:hint="eastAsia"/>
          <w:u w:val="single"/>
          <w:lang w:val="en-US" w:eastAsia="zh-CN"/>
        </w:rPr>
        <w:t>)</w:t>
      </w:r>
      <w:r>
        <w:rPr>
          <w:rFonts w:hint="eastAsia"/>
          <w:u w:val="single"/>
        </w:rPr>
        <w:t>——点声源在预测点产生的声压级；</w:t>
      </w:r>
    </w:p>
    <w:p>
      <w:pPr>
        <w:ind w:firstLine="480"/>
        <w:rPr>
          <w:rFonts w:hint="eastAsia"/>
          <w:u w:val="single"/>
        </w:rPr>
      </w:pPr>
      <w:r>
        <w:rPr>
          <w:rFonts w:hint="eastAsia"/>
          <w:u w:val="single"/>
        </w:rPr>
        <w:t>L</w:t>
      </w:r>
      <w:r>
        <w:rPr>
          <w:rFonts w:hint="eastAsia"/>
          <w:u w:val="single"/>
          <w:vertAlign w:val="subscript"/>
        </w:rPr>
        <w:t>A</w:t>
      </w:r>
      <w:r>
        <w:rPr>
          <w:rFonts w:hint="eastAsia"/>
          <w:u w:val="single"/>
        </w:rPr>
        <w:t>(r</w:t>
      </w:r>
      <w:r>
        <w:rPr>
          <w:rFonts w:hint="eastAsia"/>
          <w:u w:val="single"/>
          <w:vertAlign w:val="subscript"/>
        </w:rPr>
        <w:t>0</w:t>
      </w:r>
      <w:r>
        <w:rPr>
          <w:rFonts w:hint="eastAsia"/>
          <w:u w:val="single"/>
          <w:lang w:val="en-US" w:eastAsia="zh-CN"/>
        </w:rPr>
        <w:t>)</w:t>
      </w:r>
      <w:r>
        <w:rPr>
          <w:rFonts w:hint="eastAsia"/>
          <w:u w:val="single"/>
        </w:rPr>
        <w:t>——参考位置r</w:t>
      </w:r>
      <w:r>
        <w:rPr>
          <w:rFonts w:hint="eastAsia"/>
          <w:u w:val="single"/>
          <w:vertAlign w:val="subscript"/>
        </w:rPr>
        <w:t>0</w:t>
      </w:r>
      <w:r>
        <w:rPr>
          <w:rFonts w:hint="eastAsia"/>
          <w:u w:val="single"/>
        </w:rPr>
        <w:t>处的A声级；</w:t>
      </w:r>
    </w:p>
    <w:p>
      <w:pPr>
        <w:ind w:firstLine="480"/>
        <w:rPr>
          <w:rFonts w:hint="eastAsia"/>
          <w:u w:val="single"/>
        </w:rPr>
      </w:pPr>
      <w:r>
        <w:rPr>
          <w:rFonts w:hint="eastAsia"/>
          <w:u w:val="single"/>
        </w:rPr>
        <w:t>A——倍频带衰减，dB；</w:t>
      </w:r>
    </w:p>
    <w:p>
      <w:pPr>
        <w:ind w:firstLine="480"/>
        <w:rPr>
          <w:rFonts w:hint="eastAsia"/>
          <w:u w:val="single"/>
        </w:rPr>
      </w:pPr>
      <w:r>
        <w:rPr>
          <w:rFonts w:hint="eastAsia"/>
          <w:u w:val="single"/>
        </w:rPr>
        <w:t>A</w:t>
      </w:r>
      <w:r>
        <w:rPr>
          <w:rFonts w:hint="eastAsia"/>
          <w:u w:val="single"/>
          <w:vertAlign w:val="subscript"/>
        </w:rPr>
        <w:t>div</w:t>
      </w:r>
      <w:r>
        <w:rPr>
          <w:rFonts w:hint="eastAsia"/>
          <w:u w:val="single"/>
        </w:rPr>
        <w:t xml:space="preserve"> ——几何发散引起的倍频带衰减，dB；</w:t>
      </w:r>
    </w:p>
    <w:p>
      <w:pPr>
        <w:ind w:firstLine="480"/>
        <w:rPr>
          <w:rFonts w:hint="eastAsia"/>
          <w:u w:val="single"/>
        </w:rPr>
      </w:pPr>
      <w:r>
        <w:rPr>
          <w:rFonts w:hint="eastAsia"/>
          <w:u w:val="single"/>
        </w:rPr>
        <w:t>A</w:t>
      </w:r>
      <w:r>
        <w:rPr>
          <w:rFonts w:hint="eastAsia"/>
          <w:u w:val="single"/>
          <w:vertAlign w:val="subscript"/>
        </w:rPr>
        <w:t>atm</w:t>
      </w:r>
      <w:r>
        <w:rPr>
          <w:rFonts w:hint="eastAsia"/>
          <w:u w:val="single"/>
        </w:rPr>
        <w:t xml:space="preserve"> ——大气吸收引起的倍频带衰减，dB；</w:t>
      </w:r>
    </w:p>
    <w:p>
      <w:pPr>
        <w:ind w:firstLine="480"/>
        <w:rPr>
          <w:rFonts w:hint="eastAsia"/>
          <w:u w:val="single"/>
        </w:rPr>
      </w:pPr>
      <w:r>
        <w:rPr>
          <w:rFonts w:hint="eastAsia"/>
          <w:u w:val="single"/>
        </w:rPr>
        <w:t>A</w:t>
      </w:r>
      <w:r>
        <w:rPr>
          <w:rFonts w:hint="eastAsia"/>
          <w:u w:val="single"/>
          <w:vertAlign w:val="subscript"/>
        </w:rPr>
        <w:t>gr</w:t>
      </w:r>
      <w:r>
        <w:rPr>
          <w:rFonts w:hint="eastAsia"/>
          <w:u w:val="single"/>
        </w:rPr>
        <w:t xml:space="preserve"> ——地面效应引起的倍频带衰减，dB；</w:t>
      </w:r>
    </w:p>
    <w:p>
      <w:pPr>
        <w:ind w:firstLine="480"/>
        <w:rPr>
          <w:rFonts w:hint="eastAsia"/>
          <w:u w:val="single"/>
        </w:rPr>
      </w:pPr>
      <w:r>
        <w:rPr>
          <w:rFonts w:hint="eastAsia"/>
          <w:u w:val="single"/>
        </w:rPr>
        <w:t>A</w:t>
      </w:r>
      <w:r>
        <w:rPr>
          <w:rFonts w:hint="eastAsia"/>
          <w:u w:val="single"/>
          <w:vertAlign w:val="subscript"/>
        </w:rPr>
        <w:t>bar</w:t>
      </w:r>
      <w:r>
        <w:rPr>
          <w:rFonts w:hint="eastAsia"/>
          <w:u w:val="single"/>
        </w:rPr>
        <w:t xml:space="preserve"> ——声屏障引起的倍频带衰减，dB；</w:t>
      </w:r>
    </w:p>
    <w:p>
      <w:pPr>
        <w:ind w:firstLine="480"/>
        <w:rPr>
          <w:rFonts w:hint="eastAsia"/>
          <w:u w:val="single"/>
        </w:rPr>
      </w:pPr>
      <w:r>
        <w:rPr>
          <w:rFonts w:hint="eastAsia"/>
          <w:u w:val="single"/>
        </w:rPr>
        <w:t>A</w:t>
      </w:r>
      <w:r>
        <w:rPr>
          <w:rFonts w:hint="eastAsia"/>
          <w:u w:val="single"/>
          <w:vertAlign w:val="subscript"/>
        </w:rPr>
        <w:t>misc</w:t>
      </w:r>
      <w:r>
        <w:rPr>
          <w:rFonts w:hint="eastAsia"/>
          <w:u w:val="single"/>
        </w:rPr>
        <w:t xml:space="preserve"> ——其它多方面效应引起的倍频带衰减，dB。</w:t>
      </w:r>
    </w:p>
    <w:p>
      <w:pPr>
        <w:ind w:firstLine="480"/>
        <w:jc w:val="center"/>
        <w:rPr>
          <w:rFonts w:hint="eastAsia"/>
          <w:u w:val="none"/>
        </w:rPr>
      </w:pPr>
      <w:r>
        <w:rPr>
          <w:rFonts w:hint="eastAsia"/>
          <w:position w:val="-10"/>
          <w:u w:val="none"/>
        </w:rPr>
        <w:object>
          <v:shape id="_x0000_i1031" o:spt="75" type="#_x0000_t75" style="height:21.55pt;width:103.9pt;" o:ole="t" filled="f" o:preferrelative="t" stroked="f" coordsize="21600,21600">
            <v:path/>
            <v:fill on="f" focussize="0,0"/>
            <v:stroke on="f"/>
            <v:imagedata r:id="rId48" o:title=""/>
            <o:lock v:ext="edit" aspectratio="t"/>
            <w10:wrap type="none"/>
            <w10:anchorlock/>
          </v:shape>
          <o:OLEObject Type="Embed" ProgID="Equation.KSEE3" ShapeID="_x0000_i1031" DrawAspect="Content" ObjectID="_1468075729" r:id="rId47">
            <o:LockedField>false</o:LockedField>
          </o:OLEObject>
        </w:object>
      </w:r>
    </w:p>
    <w:p>
      <w:pPr>
        <w:ind w:firstLine="480"/>
        <w:jc w:val="center"/>
        <w:rPr>
          <w:rFonts w:hint="eastAsia"/>
          <w:u w:val="none"/>
        </w:rPr>
      </w:pPr>
      <w:r>
        <w:rPr>
          <w:rFonts w:hint="eastAsia"/>
          <w:position w:val="-20"/>
          <w:u w:val="none"/>
        </w:rPr>
        <w:object>
          <v:shape id="_x0000_i1032" o:spt="75" type="#_x0000_t75" style="height:29.6pt;width:77.35pt;" o:ole="t" filled="f" o:preferrelative="t" stroked="f" coordsize="21600,21600">
            <v:path/>
            <v:fill on="f" focussize="0,0"/>
            <v:stroke on="f"/>
            <v:imagedata r:id="rId50" o:title=""/>
            <o:lock v:ext="edit" aspectratio="t"/>
            <w10:wrap type="none"/>
            <w10:anchorlock/>
          </v:shape>
          <o:OLEObject Type="Embed" ProgID="Equation.KSEE3" ShapeID="_x0000_i1032" DrawAspect="Content" ObjectID="_1468075730" r:id="rId49">
            <o:LockedField>false</o:LockedField>
          </o:OLEObject>
        </w:object>
      </w:r>
    </w:p>
    <w:p>
      <w:pPr>
        <w:ind w:firstLine="480"/>
        <w:jc w:val="both"/>
        <w:rPr>
          <w:rFonts w:hint="eastAsia"/>
          <w:u w:val="single"/>
        </w:rPr>
      </w:pPr>
      <w:r>
        <w:rPr>
          <w:rFonts w:hint="eastAsia"/>
          <w:u w:val="single"/>
        </w:rPr>
        <w:t>a 为温度、湿度和声波频率的函数</w:t>
      </w:r>
      <w:r>
        <w:rPr>
          <w:rFonts w:hint="eastAsia"/>
          <w:i w:val="0"/>
          <w:iCs w:val="0"/>
          <w:u w:val="single"/>
        </w:rPr>
        <w:t>，预测计算中一般根据建设项目所处区域常年平均气温和温度选择相应的空气吸</w:t>
      </w:r>
      <w:r>
        <w:rPr>
          <w:rFonts w:hint="eastAsia"/>
          <w:u w:val="single"/>
        </w:rPr>
        <w:t>收系数，见表</w:t>
      </w:r>
      <w:r>
        <w:rPr>
          <w:rFonts w:hint="eastAsia"/>
          <w:u w:val="single"/>
          <w:lang w:val="en-US" w:eastAsia="zh-CN"/>
        </w:rPr>
        <w:t>4</w:t>
      </w:r>
      <w:r>
        <w:rPr>
          <w:rFonts w:hint="eastAsia"/>
          <w:u w:val="single"/>
        </w:rPr>
        <w:t>.2-</w:t>
      </w:r>
      <w:r>
        <w:rPr>
          <w:rFonts w:hint="eastAsia"/>
          <w:u w:val="single"/>
          <w:lang w:val="en-US" w:eastAsia="zh-CN"/>
        </w:rPr>
        <w:t>13</w:t>
      </w:r>
      <w:r>
        <w:rPr>
          <w:rFonts w:hint="eastAsia"/>
          <w:u w:val="single"/>
        </w:rPr>
        <w:t>。</w:t>
      </w:r>
    </w:p>
    <w:p>
      <w:pPr>
        <w:ind w:firstLine="0" w:firstLineChars="0"/>
        <w:jc w:val="center"/>
        <w:rPr>
          <w:rFonts w:hint="eastAsia"/>
          <w:b/>
          <w:bCs/>
          <w:sz w:val="21"/>
          <w:szCs w:val="21"/>
          <w:u w:val="single"/>
        </w:rPr>
      </w:pPr>
      <w:r>
        <w:rPr>
          <w:rFonts w:hint="eastAsia"/>
          <w:b/>
          <w:bCs/>
          <w:sz w:val="21"/>
          <w:szCs w:val="21"/>
          <w:u w:val="single"/>
        </w:rPr>
        <w:t>表</w:t>
      </w:r>
      <w:r>
        <w:rPr>
          <w:rFonts w:hint="eastAsia"/>
          <w:b/>
          <w:bCs/>
          <w:sz w:val="21"/>
          <w:szCs w:val="21"/>
          <w:u w:val="single"/>
          <w:lang w:val="en-US" w:eastAsia="zh-CN"/>
        </w:rPr>
        <w:t>4</w:t>
      </w:r>
      <w:r>
        <w:rPr>
          <w:rFonts w:hint="eastAsia"/>
          <w:b/>
          <w:bCs/>
          <w:sz w:val="21"/>
          <w:szCs w:val="21"/>
          <w:u w:val="single"/>
        </w:rPr>
        <w:t>.2-</w:t>
      </w:r>
      <w:r>
        <w:rPr>
          <w:rFonts w:hint="eastAsia"/>
          <w:b/>
          <w:bCs/>
          <w:sz w:val="21"/>
          <w:szCs w:val="21"/>
          <w:u w:val="single"/>
          <w:lang w:val="en-US" w:eastAsia="zh-CN"/>
        </w:rPr>
        <w:t>13</w:t>
      </w:r>
      <w:r>
        <w:rPr>
          <w:rFonts w:hint="eastAsia"/>
          <w:b/>
          <w:bCs/>
          <w:sz w:val="21"/>
          <w:szCs w:val="21"/>
          <w:u w:val="single"/>
        </w:rPr>
        <w:t xml:space="preserve">  倍频带噪声的大气吸收衰减系数a一览表</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96"/>
        <w:gridCol w:w="938"/>
        <w:gridCol w:w="855"/>
        <w:gridCol w:w="855"/>
        <w:gridCol w:w="851"/>
        <w:gridCol w:w="845"/>
        <w:gridCol w:w="840"/>
        <w:gridCol w:w="824"/>
        <w:gridCol w:w="818"/>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vMerge w:val="restart"/>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温度</w:t>
            </w:r>
          </w:p>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w:t>
            </w:r>
          </w:p>
        </w:tc>
        <w:tc>
          <w:tcPr>
            <w:tcW w:w="918" w:type="dxa"/>
            <w:vMerge w:val="restart"/>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相对湿度%</w:t>
            </w:r>
          </w:p>
        </w:tc>
        <w:tc>
          <w:tcPr>
            <w:tcW w:w="6994" w:type="dxa"/>
            <w:gridSpan w:val="8"/>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大气吸收衰减系数a，dB/km</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vMerge w:val="continue"/>
            <w:noWrap w:val="0"/>
            <w:vAlign w:val="center"/>
          </w:tcPr>
          <w:p>
            <w:pPr>
              <w:spacing w:line="240" w:lineRule="auto"/>
              <w:ind w:firstLine="0" w:firstLineChars="0"/>
              <w:jc w:val="center"/>
              <w:rPr>
                <w:rFonts w:hint="eastAsia" w:ascii="Times New Roman" w:hAnsi="Times New Roman"/>
                <w:sz w:val="21"/>
                <w:szCs w:val="21"/>
                <w:u w:val="single"/>
              </w:rPr>
            </w:pPr>
          </w:p>
        </w:tc>
        <w:tc>
          <w:tcPr>
            <w:tcW w:w="918" w:type="dxa"/>
            <w:vMerge w:val="continue"/>
            <w:noWrap w:val="0"/>
            <w:vAlign w:val="center"/>
          </w:tcPr>
          <w:p>
            <w:pPr>
              <w:spacing w:line="240" w:lineRule="auto"/>
              <w:ind w:firstLine="0" w:firstLineChars="0"/>
              <w:jc w:val="center"/>
              <w:rPr>
                <w:rFonts w:hint="eastAsia" w:ascii="Times New Roman" w:hAnsi="Times New Roman"/>
                <w:sz w:val="21"/>
                <w:szCs w:val="21"/>
                <w:u w:val="single"/>
              </w:rPr>
            </w:pPr>
          </w:p>
        </w:tc>
        <w:tc>
          <w:tcPr>
            <w:tcW w:w="6994" w:type="dxa"/>
            <w:gridSpan w:val="8"/>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倍频带中心频率Hz</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vMerge w:val="continue"/>
            <w:noWrap w:val="0"/>
            <w:vAlign w:val="center"/>
          </w:tcPr>
          <w:p>
            <w:pPr>
              <w:spacing w:line="240" w:lineRule="auto"/>
              <w:ind w:firstLine="0" w:firstLineChars="0"/>
              <w:jc w:val="center"/>
              <w:rPr>
                <w:rFonts w:hint="eastAsia" w:ascii="Times New Roman" w:hAnsi="Times New Roman"/>
                <w:sz w:val="21"/>
                <w:szCs w:val="21"/>
                <w:u w:val="single"/>
              </w:rPr>
            </w:pPr>
          </w:p>
        </w:tc>
        <w:tc>
          <w:tcPr>
            <w:tcW w:w="918" w:type="dxa"/>
            <w:vMerge w:val="continue"/>
            <w:noWrap w:val="0"/>
            <w:vAlign w:val="center"/>
          </w:tcPr>
          <w:p>
            <w:pPr>
              <w:spacing w:line="240" w:lineRule="auto"/>
              <w:ind w:firstLine="0" w:firstLineChars="0"/>
              <w:jc w:val="center"/>
              <w:rPr>
                <w:rFonts w:hint="eastAsia" w:ascii="Times New Roman" w:hAnsi="Times New Roman"/>
                <w:sz w:val="21"/>
                <w:szCs w:val="21"/>
                <w:u w:val="single"/>
              </w:rPr>
            </w:pP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63</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125</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250</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500</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1000</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2000</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4000</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8000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10</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70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0.1</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0.4</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1.0</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1.9</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3.7</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9.7</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32.8</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117.0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20</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70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0.1</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0.3</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1.1</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2.8</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5.0</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9.0</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22.9</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76.6</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30</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70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0.1</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0.3</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1.0</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3.1</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7.4</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12.7</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23.1</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59.3</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15</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0.3</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0.6</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1.2</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2.7</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8.2</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28.2</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28.8</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202.0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15</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50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0.1</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0.5</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1.2</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2.2</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4.2</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10.8</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36.2</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129.0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15</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80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0.1</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0.3</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1.1</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2.4</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4.1</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8.2</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23.7</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82.8</w:t>
            </w:r>
          </w:p>
        </w:tc>
      </w:tr>
    </w:tbl>
    <w:p>
      <w:pPr>
        <w:ind w:firstLine="0" w:firstLineChars="0"/>
        <w:jc w:val="center"/>
        <w:rPr>
          <w:rFonts w:hint="eastAsia"/>
          <w:u w:val="single"/>
        </w:rPr>
      </w:pPr>
      <w:r>
        <w:rPr>
          <w:rFonts w:hint="eastAsia"/>
          <w:position w:val="-26"/>
          <w:u w:val="none"/>
        </w:rPr>
        <w:object>
          <v:shape id="_x0000_i1033" o:spt="75" type="#_x0000_t75" style="height:39.6pt;width:159.65pt;" o:ole="t" filled="f" o:preferrelative="t" stroked="f" coordsize="21600,21600">
            <v:path/>
            <v:fill on="f" focussize="0,0"/>
            <v:stroke on="f"/>
            <v:imagedata r:id="rId52" o:title=""/>
            <o:lock v:ext="edit" aspectratio="t"/>
            <w10:wrap type="none"/>
            <w10:anchorlock/>
          </v:shape>
          <o:OLEObject Type="Embed" ProgID="Equation.KSEE3" ShapeID="_x0000_i1033" DrawAspect="Content" ObjectID="_1468075731" r:id="rId51">
            <o:LockedField>false</o:LockedField>
          </o:OLEObject>
        </w:object>
      </w:r>
    </w:p>
    <w:p>
      <w:pPr>
        <w:ind w:firstLine="0" w:firstLineChars="0"/>
        <w:jc w:val="center"/>
        <w:rPr>
          <w:rFonts w:hint="eastAsia"/>
          <w:u w:val="single"/>
        </w:rPr>
      </w:pPr>
      <w:r>
        <w:rPr>
          <w:rFonts w:hint="eastAsia"/>
          <w:position w:val="-24"/>
          <w:u w:val="none"/>
        </w:rPr>
        <w:object>
          <v:shape id="_x0000_i1034" o:spt="75" type="#_x0000_t75" style="height:41.75pt;width:284.75pt;" o:ole="t" filled="f" o:preferrelative="t" stroked="f" coordsize="21600,21600">
            <v:path/>
            <v:fill on="f" focussize="0,0"/>
            <v:stroke on="f"/>
            <v:imagedata r:id="rId54" o:title=""/>
            <o:lock v:ext="edit" aspectratio="t"/>
            <w10:wrap type="none"/>
            <w10:anchorlock/>
          </v:shape>
          <o:OLEObject Type="Embed" ProgID="Equation.KSEE3" ShapeID="_x0000_i1034" DrawAspect="Content" ObjectID="_1468075732" r:id="rId53">
            <o:LockedField>false</o:LockedField>
          </o:OLEObject>
        </w:object>
      </w:r>
    </w:p>
    <w:p>
      <w:pPr>
        <w:ind w:firstLine="480"/>
        <w:rPr>
          <w:rFonts w:hint="eastAsia"/>
          <w:u w:val="single"/>
        </w:rPr>
      </w:pPr>
      <w:r>
        <w:rPr>
          <w:rFonts w:hint="eastAsia"/>
          <w:u w:val="single"/>
        </w:rPr>
        <w:t>Amisc的确定参照GB/T17247.2 进行计算。</w:t>
      </w:r>
    </w:p>
    <w:p>
      <w:pPr>
        <w:ind w:firstLine="480"/>
        <w:jc w:val="both"/>
        <w:rPr>
          <w:rFonts w:hint="eastAsia"/>
          <w:u w:val="single"/>
        </w:rPr>
      </w:pPr>
      <w:r>
        <w:rPr>
          <w:rFonts w:hint="eastAsia"/>
          <w:u w:val="single"/>
        </w:rPr>
        <w:t>注：在计算了屏障衰减后，不再考虑地面效应衰减。</w:t>
      </w:r>
    </w:p>
    <w:p>
      <w:pPr>
        <w:ind w:firstLine="480"/>
        <w:jc w:val="both"/>
        <w:rPr>
          <w:rFonts w:hint="eastAsia"/>
          <w:u w:val="single"/>
        </w:rPr>
      </w:pPr>
      <w:r>
        <w:rPr>
          <w:rFonts w:hint="eastAsia"/>
          <w:u w:val="single"/>
        </w:rPr>
        <w:t>2）对于室内声源</w:t>
      </w:r>
    </w:p>
    <w:p>
      <w:pPr>
        <w:ind w:firstLine="480"/>
        <w:jc w:val="both"/>
        <w:rPr>
          <w:rFonts w:hint="eastAsia"/>
          <w:u w:val="single"/>
        </w:rPr>
      </w:pPr>
      <w:r>
        <w:rPr>
          <w:rFonts w:hint="eastAsia"/>
          <w:u w:val="single"/>
        </w:rPr>
        <w:t>①计算某一室内声源靠近围护结构处产生的倍频带声压级：</w:t>
      </w:r>
    </w:p>
    <w:p>
      <w:pPr>
        <w:ind w:firstLine="0" w:firstLineChars="0"/>
        <w:jc w:val="center"/>
        <w:rPr>
          <w:rFonts w:hint="eastAsia"/>
          <w:u w:val="single"/>
        </w:rPr>
      </w:pPr>
      <w:r>
        <w:rPr>
          <w:rFonts w:hint="eastAsia"/>
          <w:position w:val="-24"/>
          <w:u w:val="none"/>
        </w:rPr>
        <w:object>
          <v:shape id="_x0000_i1035" o:spt="75" type="#_x0000_t75" style="height:34.3pt;width:133.7pt;" o:ole="t" filled="f" o:preferrelative="t" stroked="f" coordsize="21600,21600">
            <v:path/>
            <v:fill on="f" focussize="0,0"/>
            <v:stroke on="f"/>
            <v:imagedata r:id="rId56" o:title=""/>
            <o:lock v:ext="edit" aspectratio="t"/>
            <w10:wrap type="none"/>
            <w10:anchorlock/>
          </v:shape>
          <o:OLEObject Type="Embed" ProgID="Equation.KSEE3" ShapeID="_x0000_i1035" DrawAspect="Content" ObjectID="_1468075733" r:id="rId55">
            <o:LockedField>false</o:LockedField>
          </o:OLEObject>
        </w:object>
      </w:r>
    </w:p>
    <w:p>
      <w:pPr>
        <w:ind w:firstLine="480"/>
        <w:jc w:val="both"/>
        <w:rPr>
          <w:rFonts w:hint="eastAsia"/>
          <w:u w:val="single"/>
        </w:rPr>
      </w:pPr>
      <w:r>
        <w:rPr>
          <w:rFonts w:hint="eastAsia"/>
          <w:u w:val="single"/>
        </w:rPr>
        <w:t>式中：Q——指向性因数，通常指无指向性声源，当声源放在放在房间中心时，Q=1；当放在一面墙的中心时，Q=2；当放在两面墙夹角处时，Q=4；当放在三面墙夹角处时，Q=8。</w:t>
      </w:r>
    </w:p>
    <w:p>
      <w:pPr>
        <w:ind w:firstLine="480"/>
        <w:rPr>
          <w:rFonts w:hint="eastAsia"/>
          <w:u w:val="single"/>
        </w:rPr>
      </w:pPr>
      <w:r>
        <w:rPr>
          <w:rFonts w:hint="eastAsia"/>
          <w:u w:val="single"/>
        </w:rPr>
        <w:t>R——房间常数，R=S</w:t>
      </w:r>
      <w:r>
        <w:rPr>
          <w:u w:val="single"/>
        </w:rPr>
        <w:t>α</w:t>
      </w:r>
      <w:r>
        <w:rPr>
          <w:rFonts w:hint="eastAsia"/>
          <w:u w:val="single"/>
        </w:rPr>
        <w:t>/（1-</w:t>
      </w:r>
      <w:r>
        <w:rPr>
          <w:u w:val="single"/>
        </w:rPr>
        <w:t>α</w:t>
      </w:r>
      <w:r>
        <w:rPr>
          <w:rFonts w:hint="eastAsia"/>
          <w:u w:val="single"/>
        </w:rPr>
        <w:t>），S为房间内表面面积，m</w:t>
      </w:r>
      <w:r>
        <w:rPr>
          <w:rFonts w:hint="eastAsia"/>
          <w:u w:val="single"/>
          <w:vertAlign w:val="superscript"/>
        </w:rPr>
        <w:t>2</w:t>
      </w:r>
      <w:r>
        <w:rPr>
          <w:rFonts w:hint="eastAsia"/>
          <w:u w:val="single"/>
        </w:rPr>
        <w:t>；</w:t>
      </w:r>
      <w:r>
        <w:rPr>
          <w:u w:val="single"/>
        </w:rPr>
        <w:t>α</w:t>
      </w:r>
      <w:r>
        <w:rPr>
          <w:rFonts w:hint="eastAsia"/>
          <w:u w:val="single"/>
        </w:rPr>
        <w:t>为平均吸声系数；</w:t>
      </w:r>
    </w:p>
    <w:p>
      <w:pPr>
        <w:ind w:firstLine="480"/>
        <w:rPr>
          <w:rFonts w:hint="eastAsia"/>
          <w:u w:val="single"/>
        </w:rPr>
      </w:pPr>
      <w:r>
        <w:rPr>
          <w:rFonts w:hint="eastAsia"/>
          <w:u w:val="single"/>
        </w:rPr>
        <w:t>R——声源到靠近围护结构某点处的距离，m。</w:t>
      </w:r>
    </w:p>
    <w:p>
      <w:pPr>
        <w:ind w:firstLine="480"/>
        <w:rPr>
          <w:rFonts w:hint="eastAsia"/>
          <w:u w:val="single"/>
        </w:rPr>
      </w:pPr>
      <w:r>
        <w:rPr>
          <w:rFonts w:hint="eastAsia"/>
          <w:u w:val="single"/>
        </w:rPr>
        <w:t>②计算所有室内声源在围护结构处产生的 i 倍频带叠加声压级：</w:t>
      </w:r>
    </w:p>
    <w:p>
      <w:pPr>
        <w:ind w:firstLine="0" w:firstLineChars="0"/>
        <w:jc w:val="center"/>
        <w:rPr>
          <w:rFonts w:hint="eastAsia"/>
          <w:u w:val="single"/>
        </w:rPr>
      </w:pPr>
      <w:r>
        <w:rPr>
          <w:rFonts w:hint="eastAsia"/>
          <w:position w:val="-34"/>
          <w:u w:val="none"/>
        </w:rPr>
        <w:object>
          <v:shape id="_x0000_i1036" o:spt="75" type="#_x0000_t75" style="height:47.6pt;width:134.25pt;" o:ole="t" filled="f" o:preferrelative="t" stroked="f" coordsize="21600,21600">
            <v:path/>
            <v:fill on="f" focussize="0,0"/>
            <v:stroke on="f"/>
            <v:imagedata r:id="rId58" o:title=""/>
            <o:lock v:ext="edit" aspectratio="t"/>
            <w10:wrap type="none"/>
            <w10:anchorlock/>
          </v:shape>
          <o:OLEObject Type="Embed" ProgID="Equation.KSEE3" ShapeID="_x0000_i1036" DrawAspect="Content" ObjectID="_1468075734" r:id="rId57">
            <o:LockedField>false</o:LockedField>
          </o:OLEObject>
        </w:object>
      </w:r>
    </w:p>
    <w:p>
      <w:pPr>
        <w:ind w:firstLine="480"/>
        <w:rPr>
          <w:rFonts w:hint="eastAsia"/>
          <w:u w:val="single"/>
        </w:rPr>
      </w:pPr>
      <w:r>
        <w:rPr>
          <w:rFonts w:hint="eastAsia"/>
          <w:u w:val="single"/>
        </w:rPr>
        <w:t>式中：</w:t>
      </w:r>
    </w:p>
    <w:p>
      <w:pPr>
        <w:ind w:firstLine="480"/>
        <w:jc w:val="both"/>
        <w:rPr>
          <w:rFonts w:hint="eastAsia"/>
          <w:u w:val="single"/>
        </w:rPr>
      </w:pPr>
      <w:r>
        <w:rPr>
          <w:rFonts w:hint="eastAsia"/>
          <w:i/>
          <w:iCs/>
          <w:u w:val="single"/>
        </w:rPr>
        <w:t>L</w:t>
      </w:r>
      <w:r>
        <w:rPr>
          <w:rFonts w:hint="eastAsia"/>
          <w:i/>
          <w:iCs/>
          <w:u w:val="single"/>
          <w:vertAlign w:val="subscript"/>
        </w:rPr>
        <w:t>p1i</w:t>
      </w:r>
      <w:r>
        <w:rPr>
          <w:rFonts w:hint="eastAsia"/>
          <w:i/>
          <w:iCs/>
          <w:u w:val="single"/>
        </w:rPr>
        <w:t>（T）</w:t>
      </w:r>
      <w:r>
        <w:rPr>
          <w:rFonts w:hint="eastAsia"/>
          <w:u w:val="single"/>
        </w:rPr>
        <w:t>——靠近围护结构处室内N个声源i倍频带的叠加声压级，dB；</w:t>
      </w:r>
    </w:p>
    <w:p>
      <w:pPr>
        <w:ind w:firstLine="480"/>
        <w:jc w:val="both"/>
        <w:rPr>
          <w:rFonts w:hint="eastAsia"/>
          <w:u w:val="single"/>
        </w:rPr>
      </w:pPr>
      <w:r>
        <w:rPr>
          <w:rFonts w:hint="eastAsia"/>
          <w:i/>
          <w:iCs/>
          <w:u w:val="single"/>
        </w:rPr>
        <w:t>L</w:t>
      </w:r>
      <w:r>
        <w:rPr>
          <w:rFonts w:hint="eastAsia"/>
          <w:i/>
          <w:iCs/>
          <w:u w:val="single"/>
          <w:vertAlign w:val="subscript"/>
        </w:rPr>
        <w:t>P1ij</w:t>
      </w:r>
      <w:r>
        <w:rPr>
          <w:rFonts w:hint="eastAsia"/>
          <w:u w:val="single"/>
        </w:rPr>
        <w:t>——室内j声源i倍频带的声压级，dB；</w:t>
      </w:r>
    </w:p>
    <w:p>
      <w:pPr>
        <w:ind w:firstLine="480"/>
        <w:rPr>
          <w:rFonts w:hint="eastAsia"/>
          <w:u w:val="single"/>
        </w:rPr>
      </w:pPr>
      <w:r>
        <w:rPr>
          <w:rFonts w:hint="eastAsia"/>
          <w:u w:val="single"/>
        </w:rPr>
        <w:t>N——室内声源总数。</w:t>
      </w:r>
    </w:p>
    <w:p>
      <w:pPr>
        <w:ind w:firstLine="480"/>
        <w:rPr>
          <w:rFonts w:hint="eastAsia"/>
          <w:u w:val="single"/>
        </w:rPr>
      </w:pPr>
      <w:r>
        <w:rPr>
          <w:rFonts w:hint="eastAsia"/>
          <w:u w:val="single"/>
        </w:rPr>
        <w:t>③计算靠近室外围护结构处的声压级：</w:t>
      </w:r>
    </w:p>
    <w:p>
      <w:pPr>
        <w:ind w:firstLine="0" w:firstLineChars="0"/>
        <w:jc w:val="center"/>
        <w:rPr>
          <w:rFonts w:hint="eastAsia"/>
          <w:sz w:val="28"/>
          <w:szCs w:val="28"/>
          <w:u w:val="single"/>
        </w:rPr>
      </w:pPr>
      <w:r>
        <w:rPr>
          <w:rFonts w:hint="eastAsia"/>
          <w:position w:val="-10"/>
          <w:sz w:val="28"/>
          <w:szCs w:val="28"/>
          <w:u w:val="none"/>
        </w:rPr>
        <w:object>
          <v:shape id="_x0000_i1037" o:spt="75" type="#_x0000_t75" style="height:23.9pt;width:180.1pt;" o:ole="t" filled="f" o:preferrelative="t" stroked="f" coordsize="21600,21600">
            <v:path/>
            <v:fill on="f" focussize="0,0"/>
            <v:stroke on="f"/>
            <v:imagedata r:id="rId60" o:title=""/>
            <o:lock v:ext="edit" aspectratio="t"/>
            <w10:wrap type="none"/>
            <w10:anchorlock/>
          </v:shape>
          <o:OLEObject Type="Embed" ProgID="Equation.KSEE3" ShapeID="_x0000_i1037" DrawAspect="Content" ObjectID="_1468075735" r:id="rId59">
            <o:LockedField>false</o:LockedField>
          </o:OLEObject>
        </w:object>
      </w:r>
    </w:p>
    <w:p>
      <w:pPr>
        <w:ind w:firstLine="560"/>
        <w:rPr>
          <w:rFonts w:hint="eastAsia"/>
          <w:sz w:val="28"/>
          <w:szCs w:val="28"/>
          <w:u w:val="single"/>
        </w:rPr>
      </w:pPr>
      <w:r>
        <w:rPr>
          <w:rFonts w:hint="eastAsia"/>
          <w:sz w:val="28"/>
          <w:szCs w:val="28"/>
          <w:u w:val="single"/>
        </w:rPr>
        <w:t>式中：</w:t>
      </w:r>
    </w:p>
    <w:p>
      <w:pPr>
        <w:ind w:firstLine="560"/>
        <w:rPr>
          <w:rFonts w:hint="eastAsia"/>
          <w:u w:val="single"/>
        </w:rPr>
      </w:pPr>
      <w:r>
        <w:rPr>
          <w:rFonts w:hint="eastAsia"/>
          <w:i/>
          <w:iCs/>
          <w:sz w:val="28"/>
          <w:szCs w:val="28"/>
          <w:u w:val="single"/>
        </w:rPr>
        <w:t>L</w:t>
      </w:r>
      <w:r>
        <w:rPr>
          <w:rFonts w:hint="eastAsia"/>
          <w:i/>
          <w:iCs/>
          <w:sz w:val="28"/>
          <w:szCs w:val="28"/>
          <w:u w:val="single"/>
          <w:vertAlign w:val="subscript"/>
        </w:rPr>
        <w:t>P2i</w:t>
      </w:r>
      <w:r>
        <w:rPr>
          <w:rFonts w:hint="eastAsia"/>
          <w:i/>
          <w:iCs/>
          <w:sz w:val="28"/>
          <w:szCs w:val="28"/>
          <w:u w:val="single"/>
        </w:rPr>
        <w:t>（T）</w:t>
      </w:r>
      <w:r>
        <w:rPr>
          <w:rFonts w:hint="eastAsia"/>
          <w:sz w:val="28"/>
          <w:szCs w:val="28"/>
          <w:u w:val="single"/>
        </w:rPr>
        <w:t>——</w:t>
      </w:r>
      <w:r>
        <w:rPr>
          <w:rFonts w:hint="eastAsia"/>
          <w:u w:val="single"/>
        </w:rPr>
        <w:t>靠近围护结构处室内N个声源i倍频带的叠加声压级，dB；</w:t>
      </w:r>
    </w:p>
    <w:p>
      <w:pPr>
        <w:ind w:firstLine="480"/>
        <w:rPr>
          <w:rFonts w:hint="eastAsia"/>
          <w:u w:val="single"/>
        </w:rPr>
      </w:pPr>
      <w:r>
        <w:rPr>
          <w:rFonts w:hint="eastAsia"/>
          <w:i/>
          <w:iCs/>
          <w:u w:val="single"/>
        </w:rPr>
        <w:t>TL</w:t>
      </w:r>
      <w:r>
        <w:rPr>
          <w:rFonts w:hint="eastAsia"/>
          <w:i/>
          <w:iCs/>
          <w:u w:val="single"/>
          <w:vertAlign w:val="subscript"/>
        </w:rPr>
        <w:t>i</w:t>
      </w:r>
      <w:r>
        <w:rPr>
          <w:rFonts w:hint="eastAsia"/>
          <w:u w:val="single"/>
        </w:rPr>
        <w:t>——围护结构i倍频带的隔声量，dB。</w:t>
      </w:r>
    </w:p>
    <w:p>
      <w:pPr>
        <w:ind w:firstLine="480"/>
        <w:jc w:val="both"/>
        <w:rPr>
          <w:rFonts w:hint="eastAsia"/>
          <w:u w:val="single"/>
        </w:rPr>
      </w:pPr>
      <w:r>
        <w:rPr>
          <w:rFonts w:hint="eastAsia"/>
          <w:u w:val="single"/>
        </w:rPr>
        <w:t>④将室外声源的声压级和透过面积换算成等效的室外声源，计算出中心位置位于透声面积（S）处的等效声源的倍频带声功率级。</w:t>
      </w:r>
    </w:p>
    <w:p>
      <w:pPr>
        <w:ind w:firstLine="0" w:firstLineChars="0"/>
        <w:jc w:val="center"/>
        <w:rPr>
          <w:rFonts w:hint="eastAsia"/>
          <w:u w:val="single"/>
        </w:rPr>
      </w:pPr>
      <w:r>
        <w:rPr>
          <w:rFonts w:hint="eastAsia"/>
          <w:position w:val="-10"/>
          <w:u w:val="none"/>
        </w:rPr>
        <w:object>
          <v:shape id="_x0000_i1038" o:spt="75" type="#_x0000_t75" style="height:23.9pt;width:149.95pt;" o:ole="t" filled="f" o:preferrelative="t" stroked="f" coordsize="21600,21600">
            <v:path/>
            <v:fill on="f" focussize="0,0"/>
            <v:stroke on="f"/>
            <v:imagedata r:id="rId62" o:title=""/>
            <o:lock v:ext="edit" aspectratio="t"/>
            <w10:wrap type="none"/>
            <w10:anchorlock/>
          </v:shape>
          <o:OLEObject Type="Embed" ProgID="Equation.KSEE3" ShapeID="_x0000_i1038" DrawAspect="Content" ObjectID="_1468075736" r:id="rId61">
            <o:LockedField>false</o:LockedField>
          </o:OLEObject>
        </w:object>
      </w:r>
    </w:p>
    <w:p>
      <w:pPr>
        <w:ind w:firstLine="480"/>
        <w:rPr>
          <w:rFonts w:hint="eastAsia"/>
          <w:u w:val="single"/>
        </w:rPr>
      </w:pPr>
      <w:r>
        <w:rPr>
          <w:rFonts w:hint="eastAsia"/>
          <w:u w:val="single"/>
        </w:rPr>
        <w:t>然后按室外声源预测方法计算预测点处的 A 声级。</w:t>
      </w:r>
    </w:p>
    <w:p>
      <w:pPr>
        <w:ind w:firstLine="480"/>
        <w:rPr>
          <w:rFonts w:hint="eastAsia"/>
          <w:u w:val="single"/>
        </w:rPr>
      </w:pPr>
      <w:r>
        <w:rPr>
          <w:rFonts w:hint="eastAsia"/>
          <w:u w:val="single"/>
        </w:rPr>
        <w:t>3）噪声贡献值计算</w:t>
      </w:r>
    </w:p>
    <w:p>
      <w:pPr>
        <w:ind w:firstLine="480"/>
        <w:jc w:val="both"/>
        <w:rPr>
          <w:rFonts w:hint="eastAsia"/>
          <w:u w:val="single"/>
        </w:rPr>
      </w:pPr>
      <w:r>
        <w:rPr>
          <w:rFonts w:hint="eastAsia"/>
          <w:u w:val="single"/>
        </w:rPr>
        <w:t>设第i个室外声源在预测点产生的A声级为L</w:t>
      </w:r>
      <w:r>
        <w:rPr>
          <w:rFonts w:hint="eastAsia"/>
          <w:u w:val="single"/>
          <w:vertAlign w:val="subscript"/>
        </w:rPr>
        <w:t>Ai</w:t>
      </w:r>
      <w:r>
        <w:rPr>
          <w:rFonts w:hint="eastAsia"/>
          <w:u w:val="single"/>
        </w:rPr>
        <w:t>，在T时间内该声源工作时间为t</w:t>
      </w:r>
      <w:r>
        <w:rPr>
          <w:rFonts w:hint="eastAsia"/>
          <w:u w:val="single"/>
          <w:vertAlign w:val="subscript"/>
        </w:rPr>
        <w:t>i</w:t>
      </w:r>
      <w:r>
        <w:rPr>
          <w:rFonts w:hint="eastAsia"/>
          <w:u w:val="single"/>
        </w:rPr>
        <w:t>；第j个等效室外声源在预测点产生的A声级为L</w:t>
      </w:r>
      <w:r>
        <w:rPr>
          <w:rFonts w:hint="eastAsia"/>
          <w:u w:val="single"/>
          <w:vertAlign w:val="subscript"/>
        </w:rPr>
        <w:t>Aj</w:t>
      </w:r>
      <w:r>
        <w:rPr>
          <w:rFonts w:hint="eastAsia"/>
          <w:u w:val="single"/>
        </w:rPr>
        <w:t>，在T时间内该声源工作时间为t</w:t>
      </w:r>
      <w:r>
        <w:rPr>
          <w:rFonts w:hint="eastAsia"/>
          <w:u w:val="single"/>
          <w:vertAlign w:val="subscript"/>
        </w:rPr>
        <w:t>j</w:t>
      </w:r>
      <w:r>
        <w:rPr>
          <w:rFonts w:hint="eastAsia"/>
          <w:u w:val="single"/>
        </w:rPr>
        <w:t>，则拟建工程声源对预测点产生的贡献值（L</w:t>
      </w:r>
      <w:r>
        <w:rPr>
          <w:rFonts w:hint="eastAsia"/>
          <w:u w:val="single"/>
          <w:vertAlign w:val="subscript"/>
        </w:rPr>
        <w:t>eqg</w:t>
      </w:r>
      <w:r>
        <w:rPr>
          <w:rFonts w:hint="eastAsia"/>
          <w:u w:val="single"/>
        </w:rPr>
        <w:t>）为：</w:t>
      </w:r>
    </w:p>
    <w:p>
      <w:pPr>
        <w:ind w:firstLine="0" w:firstLineChars="0"/>
        <w:jc w:val="center"/>
        <w:rPr>
          <w:rFonts w:hint="eastAsia"/>
          <w:u w:val="single"/>
        </w:rPr>
      </w:pPr>
      <w:r>
        <w:rPr>
          <w:rFonts w:hint="eastAsia"/>
          <w:position w:val="-36"/>
          <w:u w:val="none"/>
        </w:rPr>
        <w:object>
          <v:shape id="_x0000_i1039" o:spt="75" type="#_x0000_t75" style="height:41pt;width:182pt;" o:ole="t" filled="f" o:preferrelative="t" stroked="f" coordsize="21600,21600">
            <v:path/>
            <v:fill on="f" focussize="0,0"/>
            <v:stroke on="f"/>
            <v:imagedata r:id="rId64" o:title=""/>
            <o:lock v:ext="edit" aspectratio="t"/>
            <w10:wrap type="none"/>
            <w10:anchorlock/>
          </v:shape>
          <o:OLEObject Type="Embed" ProgID="Equation.KSEE3" ShapeID="_x0000_i1039" DrawAspect="Content" ObjectID="_1468075737" r:id="rId63">
            <o:LockedField>false</o:LockedField>
          </o:OLEObject>
        </w:object>
      </w:r>
    </w:p>
    <w:p>
      <w:pPr>
        <w:ind w:firstLine="480"/>
        <w:rPr>
          <w:rFonts w:hint="eastAsia"/>
          <w:u w:val="single"/>
        </w:rPr>
      </w:pPr>
      <w:r>
        <w:rPr>
          <w:rFonts w:hint="eastAsia"/>
          <w:u w:val="single"/>
        </w:rPr>
        <w:t>式中：</w:t>
      </w:r>
    </w:p>
    <w:p>
      <w:pPr>
        <w:ind w:firstLine="480"/>
        <w:rPr>
          <w:rFonts w:hint="eastAsia"/>
          <w:u w:val="single"/>
        </w:rPr>
      </w:pPr>
      <w:r>
        <w:rPr>
          <w:rFonts w:hint="eastAsia"/>
          <w:i/>
          <w:iCs/>
          <w:u w:val="single"/>
        </w:rPr>
        <w:t>t</w:t>
      </w:r>
      <w:r>
        <w:rPr>
          <w:rFonts w:hint="eastAsia"/>
          <w:i/>
          <w:iCs/>
          <w:u w:val="single"/>
          <w:vertAlign w:val="subscript"/>
        </w:rPr>
        <w:t>j</w:t>
      </w:r>
      <w:r>
        <w:rPr>
          <w:rFonts w:hint="eastAsia"/>
          <w:u w:val="single"/>
        </w:rPr>
        <w:t>——在T时间内j声源工作时间，s；</w:t>
      </w:r>
    </w:p>
    <w:p>
      <w:pPr>
        <w:ind w:firstLine="480"/>
        <w:rPr>
          <w:rFonts w:hint="eastAsia"/>
          <w:u w:val="single"/>
        </w:rPr>
      </w:pPr>
      <w:r>
        <w:rPr>
          <w:rFonts w:hint="eastAsia"/>
          <w:i/>
          <w:iCs/>
          <w:u w:val="single"/>
        </w:rPr>
        <w:t>t</w:t>
      </w:r>
      <w:r>
        <w:rPr>
          <w:rFonts w:hint="eastAsia"/>
          <w:i/>
          <w:iCs/>
          <w:u w:val="single"/>
          <w:vertAlign w:val="subscript"/>
        </w:rPr>
        <w:t>i</w:t>
      </w:r>
      <w:r>
        <w:rPr>
          <w:rFonts w:hint="eastAsia"/>
          <w:u w:val="single"/>
        </w:rPr>
        <w:t>——在T时间内i声源工作时间，s；</w:t>
      </w:r>
    </w:p>
    <w:p>
      <w:pPr>
        <w:ind w:firstLine="480"/>
        <w:rPr>
          <w:rFonts w:hint="eastAsia"/>
          <w:u w:val="single"/>
        </w:rPr>
      </w:pPr>
      <w:r>
        <w:rPr>
          <w:rFonts w:hint="eastAsia"/>
          <w:u w:val="single"/>
        </w:rPr>
        <w:t>T——用于计算等效声级的时间，s；</w:t>
      </w:r>
    </w:p>
    <w:p>
      <w:pPr>
        <w:ind w:firstLine="480"/>
        <w:rPr>
          <w:rFonts w:hint="eastAsia"/>
          <w:u w:val="single"/>
        </w:rPr>
      </w:pPr>
      <w:r>
        <w:rPr>
          <w:rFonts w:hint="eastAsia"/>
          <w:u w:val="single"/>
        </w:rPr>
        <w:t>N——室外声源个数；</w:t>
      </w:r>
    </w:p>
    <w:p>
      <w:pPr>
        <w:ind w:firstLine="480"/>
        <w:rPr>
          <w:rFonts w:hint="eastAsia"/>
          <w:u w:val="single"/>
        </w:rPr>
      </w:pPr>
      <w:r>
        <w:rPr>
          <w:rFonts w:hint="eastAsia"/>
          <w:u w:val="single"/>
        </w:rPr>
        <w:t>M——等效室外声源个数。</w:t>
      </w:r>
    </w:p>
    <w:p>
      <w:pPr>
        <w:ind w:firstLine="480"/>
        <w:jc w:val="both"/>
        <w:rPr>
          <w:rFonts w:hint="eastAsia"/>
          <w:u w:val="single"/>
        </w:rPr>
      </w:pPr>
      <w:r>
        <w:rPr>
          <w:rFonts w:hint="eastAsia"/>
          <w:u w:val="single"/>
        </w:rPr>
        <w:t>选择《环境影响评价技术导则 声环境》（HJ2.4-</w:t>
      </w:r>
      <w:r>
        <w:rPr>
          <w:rFonts w:hint="eastAsia"/>
          <w:u w:val="single"/>
          <w:lang w:val="en-US" w:eastAsia="zh-CN"/>
        </w:rPr>
        <w:t>2021</w:t>
      </w:r>
      <w:r>
        <w:rPr>
          <w:rFonts w:hint="eastAsia"/>
          <w:u w:val="single"/>
        </w:rPr>
        <w:t>）中无指向性点源几何发散衰减模式，预测模式如下：</w:t>
      </w:r>
    </w:p>
    <w:p>
      <w:pPr>
        <w:ind w:firstLine="0" w:firstLineChars="0"/>
        <w:jc w:val="center"/>
        <w:rPr>
          <w:rFonts w:hint="eastAsia"/>
          <w:u w:val="single"/>
        </w:rPr>
      </w:pPr>
      <w:r>
        <w:rPr>
          <w:rFonts w:hint="eastAsia"/>
          <w:position w:val="-20"/>
          <w:u w:val="none"/>
        </w:rPr>
        <w:object>
          <v:shape id="_x0000_i1040" o:spt="75" type="#_x0000_t75" style="height:35.25pt;width:93.45pt;" o:ole="t" filled="f" o:preferrelative="t" stroked="f" coordsize="21600,21600">
            <v:path/>
            <v:fill on="f" focussize="0,0"/>
            <v:stroke on="f"/>
            <v:imagedata r:id="rId66" o:title=""/>
            <o:lock v:ext="edit" aspectratio="t"/>
            <w10:wrap type="none"/>
            <w10:anchorlock/>
          </v:shape>
          <o:OLEObject Type="Embed" ProgID="Equation.KSEE3" ShapeID="_x0000_i1040" DrawAspect="Content" ObjectID="_1468075738" r:id="rId65">
            <o:LockedField>false</o:LockedField>
          </o:OLEObject>
        </w:object>
      </w:r>
    </w:p>
    <w:p>
      <w:pPr>
        <w:ind w:firstLine="480"/>
        <w:rPr>
          <w:rFonts w:hint="eastAsia"/>
          <w:u w:val="single"/>
        </w:rPr>
      </w:pPr>
      <w:r>
        <w:rPr>
          <w:rFonts w:hint="eastAsia"/>
          <w:u w:val="single"/>
        </w:rPr>
        <w:t>式中：</w:t>
      </w:r>
    </w:p>
    <w:p>
      <w:pPr>
        <w:ind w:firstLine="480"/>
        <w:rPr>
          <w:rFonts w:hint="eastAsia"/>
          <w:u w:val="single"/>
        </w:rPr>
      </w:pPr>
      <w:r>
        <w:rPr>
          <w:rFonts w:hint="eastAsia"/>
          <w:u w:val="single"/>
        </w:rPr>
        <w:t>L</w:t>
      </w:r>
      <w:r>
        <w:rPr>
          <w:rFonts w:hint="eastAsia"/>
          <w:u w:val="single"/>
          <w:vertAlign w:val="subscript"/>
        </w:rPr>
        <w:t>Pi</w:t>
      </w:r>
      <w:r>
        <w:rPr>
          <w:rFonts w:hint="eastAsia"/>
          <w:u w:val="single"/>
        </w:rPr>
        <w:t>——第i个噪声源噪声的距离的衰减值，dB（A）；</w:t>
      </w:r>
    </w:p>
    <w:p>
      <w:pPr>
        <w:ind w:firstLine="480"/>
        <w:rPr>
          <w:rFonts w:hint="eastAsia"/>
          <w:u w:val="single"/>
        </w:rPr>
      </w:pPr>
      <w:r>
        <w:rPr>
          <w:rFonts w:hint="eastAsia"/>
          <w:u w:val="single"/>
        </w:rPr>
        <w:t>L</w:t>
      </w:r>
      <w:r>
        <w:rPr>
          <w:rFonts w:hint="eastAsia"/>
          <w:u w:val="single"/>
          <w:vertAlign w:val="subscript"/>
        </w:rPr>
        <w:t>0i</w:t>
      </w:r>
      <w:r>
        <w:rPr>
          <w:rFonts w:hint="eastAsia"/>
          <w:u w:val="single"/>
        </w:rPr>
        <w:t>——第i个噪声源的A声级，dB（A）；</w:t>
      </w:r>
    </w:p>
    <w:p>
      <w:pPr>
        <w:ind w:firstLine="480"/>
        <w:rPr>
          <w:rFonts w:hint="eastAsia"/>
          <w:u w:val="single"/>
        </w:rPr>
      </w:pPr>
      <w:r>
        <w:rPr>
          <w:rFonts w:hint="eastAsia"/>
          <w:u w:val="single"/>
        </w:rPr>
        <w:t>r</w:t>
      </w:r>
      <w:r>
        <w:rPr>
          <w:rFonts w:hint="eastAsia"/>
          <w:u w:val="single"/>
          <w:vertAlign w:val="subscript"/>
        </w:rPr>
        <w:t>i</w:t>
      </w:r>
      <w:r>
        <w:rPr>
          <w:rFonts w:hint="eastAsia"/>
          <w:u w:val="single"/>
        </w:rPr>
        <w:t>——第i个噪声源噪声衰减距离，m；</w:t>
      </w:r>
    </w:p>
    <w:p>
      <w:pPr>
        <w:ind w:firstLine="480"/>
        <w:rPr>
          <w:rFonts w:hint="eastAsia"/>
          <w:u w:val="single"/>
        </w:rPr>
      </w:pPr>
      <w:r>
        <w:rPr>
          <w:rFonts w:hint="eastAsia"/>
          <w:u w:val="single"/>
        </w:rPr>
        <w:t>r</w:t>
      </w:r>
      <w:r>
        <w:rPr>
          <w:rFonts w:hint="eastAsia"/>
          <w:u w:val="single"/>
          <w:vertAlign w:val="subscript"/>
        </w:rPr>
        <w:t>oi</w:t>
      </w:r>
      <w:r>
        <w:rPr>
          <w:rFonts w:hint="eastAsia"/>
          <w:u w:val="single"/>
        </w:rPr>
        <w:t>——距离声源1m处，m；</w:t>
      </w:r>
    </w:p>
    <w:p>
      <w:pPr>
        <w:ind w:firstLine="480"/>
        <w:rPr>
          <w:rFonts w:hint="eastAsia"/>
          <w:u w:val="single"/>
        </w:rPr>
      </w:pPr>
      <w:r>
        <w:rPr>
          <w:rFonts w:hint="eastAsia"/>
          <w:u w:val="single"/>
        </w:rPr>
        <w:t>多点源对计算点的影响采用高声源叠加模式：</w:t>
      </w:r>
    </w:p>
    <w:p>
      <w:pPr>
        <w:ind w:firstLine="0" w:firstLineChars="0"/>
        <w:jc w:val="center"/>
        <w:rPr>
          <w:rFonts w:hint="eastAsia"/>
          <w:u w:val="single"/>
        </w:rPr>
      </w:pPr>
      <w:r>
        <w:rPr>
          <w:rFonts w:hint="eastAsia"/>
          <w:position w:val="-32"/>
          <w:u w:val="none"/>
        </w:rPr>
        <w:object>
          <v:shape id="_x0000_i1041" o:spt="75" type="#_x0000_t75" style="height:42.85pt;width:97.25pt;" o:ole="t" filled="f" o:preferrelative="t" stroked="f" coordsize="21600,21600">
            <v:path/>
            <v:fill on="f" focussize="0,0"/>
            <v:stroke on="f"/>
            <v:imagedata r:id="rId68" o:title=""/>
            <o:lock v:ext="edit" aspectratio="t"/>
            <w10:wrap type="none"/>
            <w10:anchorlock/>
          </v:shape>
          <o:OLEObject Type="Embed" ProgID="Equation.KSEE3" ShapeID="_x0000_i1041" DrawAspect="Content" ObjectID="_1468075739" r:id="rId67">
            <o:LockedField>false</o:LockedField>
          </o:OLEObject>
        </w:object>
      </w:r>
    </w:p>
    <w:p>
      <w:pPr>
        <w:ind w:firstLine="480"/>
        <w:rPr>
          <w:rFonts w:hint="eastAsia"/>
          <w:u w:val="single"/>
        </w:rPr>
      </w:pPr>
      <w:r>
        <w:rPr>
          <w:rFonts w:hint="eastAsia"/>
          <w:u w:val="single"/>
        </w:rPr>
        <w:t>式中：</w:t>
      </w:r>
    </w:p>
    <w:p>
      <w:pPr>
        <w:ind w:firstLine="480"/>
        <w:rPr>
          <w:rFonts w:hint="eastAsia"/>
          <w:u w:val="single"/>
        </w:rPr>
      </w:pPr>
      <w:r>
        <w:rPr>
          <w:rFonts w:hint="eastAsia"/>
          <w:u w:val="single"/>
        </w:rPr>
        <w:t>L——某点噪声总叠加值，dB（A）；</w:t>
      </w:r>
    </w:p>
    <w:p>
      <w:pPr>
        <w:ind w:firstLine="480"/>
        <w:rPr>
          <w:rFonts w:hint="eastAsia"/>
          <w:u w:val="single"/>
        </w:rPr>
      </w:pPr>
      <w:r>
        <w:rPr>
          <w:rFonts w:hint="eastAsia"/>
          <w:u w:val="single"/>
        </w:rPr>
        <w:t>L</w:t>
      </w:r>
      <w:r>
        <w:rPr>
          <w:rFonts w:hint="eastAsia"/>
          <w:u w:val="single"/>
          <w:vertAlign w:val="subscript"/>
        </w:rPr>
        <w:t>i</w:t>
      </w:r>
      <w:r>
        <w:rPr>
          <w:rFonts w:hint="eastAsia"/>
          <w:u w:val="single"/>
        </w:rPr>
        <w:t>——第i个声源的噪声值，dB（A）；</w:t>
      </w:r>
    </w:p>
    <w:p>
      <w:pPr>
        <w:ind w:firstLine="480"/>
        <w:jc w:val="both"/>
        <w:rPr>
          <w:rFonts w:hint="eastAsia"/>
          <w:u w:val="single"/>
        </w:rPr>
      </w:pPr>
      <w:r>
        <w:rPr>
          <w:rFonts w:hint="eastAsia"/>
          <w:u w:val="single"/>
        </w:rPr>
        <w:t>n——噪声源个数。</w:t>
      </w:r>
    </w:p>
    <w:p>
      <w:pPr>
        <w:ind w:firstLine="480"/>
        <w:jc w:val="both"/>
        <w:rPr>
          <w:rFonts w:hint="eastAsia"/>
          <w:u w:val="single"/>
        </w:rPr>
      </w:pPr>
      <w:r>
        <w:rPr>
          <w:rFonts w:hint="eastAsia"/>
          <w:u w:val="single"/>
        </w:rPr>
        <w:t>本次噪声预测选用宁波环科院按照《环境影响评价技术导则 声环境》（HJ2.4-</w:t>
      </w:r>
      <w:r>
        <w:rPr>
          <w:rFonts w:hint="eastAsia"/>
          <w:u w:val="single"/>
          <w:lang w:val="en-US" w:eastAsia="zh-CN"/>
        </w:rPr>
        <w:t>2021</w:t>
      </w:r>
      <w:r>
        <w:rPr>
          <w:rFonts w:hint="eastAsia"/>
          <w:u w:val="single"/>
        </w:rPr>
        <w:t>）开发的噪声预测软件。项目大部分产噪设备位于室内，因此需要对室内源进行预处理为室外源，计算模式如下：</w:t>
      </w:r>
    </w:p>
    <w:p>
      <w:pPr>
        <w:ind w:firstLine="480"/>
        <w:rPr>
          <w:rFonts w:hint="eastAsia"/>
          <w:u w:val="single"/>
        </w:rPr>
      </w:pPr>
      <w:r>
        <w:rPr>
          <w:rFonts w:hint="eastAsia"/>
          <w:u w:val="single"/>
        </w:rPr>
        <w:t>①计算出某个室内靠近围护结构处的倍频带声压级：</w:t>
      </w:r>
    </w:p>
    <w:p>
      <w:pPr>
        <w:ind w:firstLine="0" w:firstLineChars="0"/>
        <w:jc w:val="center"/>
        <w:rPr>
          <w:rFonts w:hint="eastAsia"/>
          <w:u w:val="single"/>
        </w:rPr>
      </w:pPr>
      <w:r>
        <w:rPr>
          <w:rFonts w:hint="eastAsia"/>
          <w:position w:val="-24"/>
          <w:u w:val="none"/>
        </w:rPr>
        <w:object>
          <v:shape id="_x0000_i1042" o:spt="75" type="#_x0000_t75" style="height:37.6pt;width:162.05pt;" o:ole="t" filled="f" o:preferrelative="t" stroked="f" coordsize="21600,21600">
            <v:path/>
            <v:fill on="f" focussize="0,0"/>
            <v:stroke on="f"/>
            <v:imagedata r:id="rId70" o:title=""/>
            <o:lock v:ext="edit" aspectratio="t"/>
            <w10:wrap type="none"/>
            <w10:anchorlock/>
          </v:shape>
          <o:OLEObject Type="Embed" ProgID="Equation.KSEE3" ShapeID="_x0000_i1042" DrawAspect="Content" ObjectID="_1468075740" r:id="rId69">
            <o:LockedField>false</o:LockedField>
          </o:OLEObject>
        </w:object>
      </w:r>
    </w:p>
    <w:p>
      <w:pPr>
        <w:ind w:firstLine="480"/>
        <w:jc w:val="both"/>
        <w:rPr>
          <w:rFonts w:hint="eastAsia"/>
          <w:u w:val="single"/>
        </w:rPr>
      </w:pPr>
      <w:r>
        <w:rPr>
          <w:rFonts w:hint="eastAsia"/>
          <w:u w:val="single"/>
        </w:rPr>
        <w:t>式中：L</w:t>
      </w:r>
      <w:r>
        <w:rPr>
          <w:rFonts w:hint="eastAsia"/>
          <w:u w:val="single"/>
          <w:vertAlign w:val="subscript"/>
        </w:rPr>
        <w:t>oct，1</w:t>
      </w:r>
      <w:r>
        <w:rPr>
          <w:rFonts w:hint="eastAsia"/>
          <w:u w:val="single"/>
        </w:rPr>
        <w:t>为某个室内声源在靠近围护结构处产生的倍频带声压级，L</w:t>
      </w:r>
      <w:r>
        <w:rPr>
          <w:rFonts w:hint="eastAsia"/>
          <w:u w:val="single"/>
          <w:vertAlign w:val="subscript"/>
        </w:rPr>
        <w:t>w oct</w:t>
      </w:r>
      <w:r>
        <w:rPr>
          <w:rFonts w:hint="eastAsia"/>
          <w:u w:val="single"/>
        </w:rPr>
        <w:t>为某个声源的倍频带声功率级，r</w:t>
      </w:r>
      <w:r>
        <w:rPr>
          <w:rFonts w:hint="eastAsia"/>
          <w:u w:val="single"/>
          <w:vertAlign w:val="subscript"/>
        </w:rPr>
        <w:t>1</w:t>
      </w:r>
      <w:r>
        <w:rPr>
          <w:rFonts w:hint="eastAsia"/>
          <w:u w:val="single"/>
        </w:rPr>
        <w:t>为室内某个声源与靠近围护结构处的距离，R为房间常数，Q为方向因子。</w:t>
      </w:r>
    </w:p>
    <w:p>
      <w:pPr>
        <w:ind w:firstLine="480"/>
        <w:rPr>
          <w:rFonts w:hint="eastAsia"/>
          <w:u w:val="single"/>
        </w:rPr>
      </w:pPr>
      <w:r>
        <w:rPr>
          <w:rFonts w:hint="eastAsia"/>
          <w:u w:val="single"/>
        </w:rPr>
        <w:t>② 计算出所有室内声源在靠近围护结构处产生的总倍频带声压级：</w:t>
      </w:r>
    </w:p>
    <w:p>
      <w:pPr>
        <w:bidi w:val="0"/>
        <w:jc w:val="center"/>
        <w:rPr>
          <w:rFonts w:hint="eastAsia"/>
          <w:u w:val="single"/>
        </w:rPr>
      </w:pPr>
      <w:r>
        <w:rPr>
          <w:rFonts w:hint="eastAsia"/>
          <w:position w:val="-32"/>
          <w:u w:val="none"/>
        </w:rPr>
        <w:object>
          <v:shape id="_x0000_i1043" o:spt="75" type="#_x0000_t75" style="height:50.35pt;width:165.9pt;" o:ole="t" filled="f" o:preferrelative="t" stroked="f" coordsize="21600,21600">
            <v:path/>
            <v:fill on="f" focussize="0,0"/>
            <v:stroke on="f"/>
            <v:imagedata r:id="rId72" o:title=""/>
            <o:lock v:ext="edit" aspectratio="t"/>
            <w10:wrap type="none"/>
            <w10:anchorlock/>
          </v:shape>
          <o:OLEObject Type="Embed" ProgID="Equation.KSEE3" ShapeID="_x0000_i1043" DrawAspect="Content" ObjectID="_1468075741" r:id="rId71">
            <o:LockedField>false</o:LockedField>
          </o:OLEObject>
        </w:object>
      </w:r>
    </w:p>
    <w:p>
      <w:pPr>
        <w:bidi w:val="0"/>
        <w:rPr>
          <w:rFonts w:hint="eastAsia"/>
          <w:u w:val="single"/>
        </w:rPr>
      </w:pPr>
      <w:r>
        <w:rPr>
          <w:rFonts w:hint="eastAsia"/>
          <w:u w:val="single"/>
          <w:lang w:eastAsia="zh-CN"/>
        </w:rPr>
        <w:t>（</w:t>
      </w:r>
      <w:r>
        <w:rPr>
          <w:rFonts w:hint="eastAsia"/>
          <w:u w:val="single"/>
          <w:lang w:val="en-US" w:eastAsia="zh-CN"/>
        </w:rPr>
        <w:t>4</w:t>
      </w:r>
      <w:r>
        <w:rPr>
          <w:rFonts w:hint="eastAsia"/>
          <w:u w:val="single"/>
          <w:lang w:eastAsia="zh-CN"/>
        </w:rPr>
        <w:t>）</w:t>
      </w:r>
      <w:r>
        <w:rPr>
          <w:rFonts w:hint="eastAsia"/>
          <w:u w:val="single"/>
        </w:rPr>
        <w:t>评价标准</w:t>
      </w:r>
    </w:p>
    <w:p>
      <w:pPr>
        <w:bidi w:val="0"/>
        <w:jc w:val="both"/>
        <w:rPr>
          <w:rFonts w:hint="eastAsia"/>
          <w:u w:val="single"/>
        </w:rPr>
      </w:pPr>
      <w:r>
        <w:rPr>
          <w:rFonts w:hint="eastAsia"/>
          <w:u w:val="single"/>
        </w:rPr>
        <w:t>厂界执行《工业企业厂界环境噪声排放标准》（GB12348-2008）中</w:t>
      </w:r>
      <w:r>
        <w:rPr>
          <w:rFonts w:hint="eastAsia"/>
          <w:u w:val="single"/>
          <w:lang w:val="en-US" w:eastAsia="zh-CN"/>
        </w:rPr>
        <w:t>3</w:t>
      </w:r>
      <w:r>
        <w:rPr>
          <w:rFonts w:hint="eastAsia"/>
          <w:u w:val="single"/>
        </w:rPr>
        <w:t>类标准，标准值为昼间</w:t>
      </w:r>
      <w:r>
        <w:rPr>
          <w:rFonts w:hint="eastAsia"/>
          <w:u w:val="single"/>
          <w:lang w:val="en-US" w:eastAsia="zh-CN"/>
        </w:rPr>
        <w:t>65</w:t>
      </w:r>
      <w:r>
        <w:rPr>
          <w:rFonts w:hint="eastAsia"/>
          <w:u w:val="single"/>
        </w:rPr>
        <w:t>dB(A），夜间</w:t>
      </w:r>
      <w:r>
        <w:rPr>
          <w:rFonts w:hint="eastAsia"/>
          <w:u w:val="single"/>
          <w:lang w:val="en-US" w:eastAsia="zh-CN"/>
        </w:rPr>
        <w:t>55</w:t>
      </w:r>
      <w:r>
        <w:rPr>
          <w:rFonts w:hint="eastAsia"/>
          <w:u w:val="single"/>
        </w:rPr>
        <w:t>dB(A）</w:t>
      </w:r>
      <w:r>
        <w:rPr>
          <w:rFonts w:hint="eastAsia"/>
          <w:u w:val="single"/>
          <w:lang w:eastAsia="zh-CN"/>
        </w:rPr>
        <w:t>，</w:t>
      </w:r>
      <w:r>
        <w:rPr>
          <w:rFonts w:hint="default" w:ascii="Times New Roman" w:hAnsi="Times New Roman" w:cs="Times New Roman"/>
          <w:color w:val="auto"/>
          <w:u w:val="single"/>
        </w:rPr>
        <w:t>由于项目夜间不进行生产活动，故本次评价只考虑昼间噪声影响</w:t>
      </w:r>
      <w:r>
        <w:rPr>
          <w:rFonts w:hint="eastAsia"/>
          <w:u w:val="single"/>
        </w:rPr>
        <w:t>。</w:t>
      </w:r>
    </w:p>
    <w:p>
      <w:pPr>
        <w:bidi w:val="0"/>
        <w:rPr>
          <w:rFonts w:hint="eastAsia"/>
          <w:u w:val="single"/>
        </w:rPr>
      </w:pPr>
      <w:r>
        <w:rPr>
          <w:rFonts w:hint="eastAsia"/>
          <w:u w:val="single"/>
          <w:lang w:eastAsia="zh-CN"/>
        </w:rPr>
        <w:t>（</w:t>
      </w:r>
      <w:r>
        <w:rPr>
          <w:rFonts w:hint="eastAsia"/>
          <w:u w:val="single"/>
          <w:lang w:val="en-US" w:eastAsia="zh-CN"/>
        </w:rPr>
        <w:t>5</w:t>
      </w:r>
      <w:r>
        <w:rPr>
          <w:rFonts w:hint="eastAsia"/>
          <w:u w:val="single"/>
          <w:lang w:eastAsia="zh-CN"/>
        </w:rPr>
        <w:t>）</w:t>
      </w:r>
      <w:r>
        <w:rPr>
          <w:rFonts w:hint="eastAsia"/>
          <w:u w:val="single"/>
        </w:rPr>
        <w:t>预测结果</w:t>
      </w:r>
    </w:p>
    <w:p>
      <w:pPr>
        <w:bidi w:val="0"/>
        <w:rPr>
          <w:rFonts w:hint="eastAsia"/>
          <w:u w:val="single"/>
        </w:rPr>
      </w:pPr>
      <w:r>
        <w:rPr>
          <w:rFonts w:hint="eastAsia"/>
          <w:u w:val="single"/>
        </w:rPr>
        <w:t>正常生产情况下厂界噪声预测结果见表</w:t>
      </w:r>
      <w:r>
        <w:rPr>
          <w:rFonts w:hint="eastAsia"/>
          <w:u w:val="single"/>
          <w:lang w:val="en-US" w:eastAsia="zh-CN"/>
        </w:rPr>
        <w:t>4</w:t>
      </w:r>
      <w:r>
        <w:rPr>
          <w:rFonts w:hint="eastAsia"/>
          <w:u w:val="single"/>
        </w:rPr>
        <w:t>.2-</w:t>
      </w:r>
      <w:r>
        <w:rPr>
          <w:rFonts w:hint="eastAsia"/>
          <w:u w:val="single"/>
          <w:lang w:val="en-US" w:eastAsia="zh-CN"/>
        </w:rPr>
        <w:t>14</w:t>
      </w:r>
      <w:r>
        <w:rPr>
          <w:rFonts w:hint="eastAsia"/>
          <w:u w:val="single"/>
        </w:rPr>
        <w:t>。</w:t>
      </w:r>
    </w:p>
    <w:p>
      <w:pPr>
        <w:ind w:firstLine="0" w:firstLineChars="0"/>
        <w:jc w:val="center"/>
        <w:rPr>
          <w:rFonts w:hint="eastAsia"/>
          <w:b/>
          <w:bCs/>
          <w:sz w:val="21"/>
          <w:szCs w:val="21"/>
          <w:u w:val="single"/>
        </w:rPr>
      </w:pPr>
      <w:r>
        <w:rPr>
          <w:rFonts w:hint="eastAsia"/>
          <w:b/>
          <w:bCs/>
          <w:sz w:val="21"/>
          <w:szCs w:val="21"/>
          <w:u w:val="single"/>
        </w:rPr>
        <w:t>表</w:t>
      </w:r>
      <w:r>
        <w:rPr>
          <w:rFonts w:hint="eastAsia"/>
          <w:b/>
          <w:bCs/>
          <w:sz w:val="21"/>
          <w:szCs w:val="21"/>
          <w:u w:val="single"/>
          <w:lang w:val="en-US" w:eastAsia="zh-CN"/>
        </w:rPr>
        <w:t>4</w:t>
      </w:r>
      <w:r>
        <w:rPr>
          <w:rFonts w:hint="eastAsia"/>
          <w:b/>
          <w:bCs/>
          <w:sz w:val="21"/>
          <w:szCs w:val="21"/>
          <w:u w:val="single"/>
        </w:rPr>
        <w:t>.2-</w:t>
      </w:r>
      <w:r>
        <w:rPr>
          <w:rFonts w:hint="eastAsia"/>
          <w:b/>
          <w:bCs/>
          <w:sz w:val="21"/>
          <w:szCs w:val="21"/>
          <w:u w:val="single"/>
          <w:lang w:val="en-US" w:eastAsia="zh-CN"/>
        </w:rPr>
        <w:t>14</w:t>
      </w:r>
      <w:r>
        <w:rPr>
          <w:rFonts w:hint="eastAsia"/>
          <w:b/>
          <w:bCs/>
          <w:sz w:val="21"/>
          <w:szCs w:val="21"/>
          <w:u w:val="single"/>
        </w:rPr>
        <w:t xml:space="preserve">  厂界噪声预测结果一览表  单位：dB（A）</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1759"/>
        <w:gridCol w:w="1260"/>
        <w:gridCol w:w="1514"/>
        <w:gridCol w:w="1330"/>
        <w:gridCol w:w="1344"/>
        <w:gridCol w:w="1315"/>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vMerge w:val="restart"/>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预测点名称</w:t>
            </w:r>
          </w:p>
        </w:tc>
        <w:tc>
          <w:tcPr>
            <w:tcW w:w="12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背景值</w:t>
            </w:r>
          </w:p>
        </w:tc>
        <w:tc>
          <w:tcPr>
            <w:tcW w:w="151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贡献值</w:t>
            </w:r>
          </w:p>
        </w:tc>
        <w:tc>
          <w:tcPr>
            <w:tcW w:w="133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lang w:eastAsia="zh-CN"/>
              </w:rPr>
              <w:t>叠加</w:t>
            </w:r>
            <w:r>
              <w:rPr>
                <w:rFonts w:hint="eastAsia" w:ascii="Times New Roman" w:hAnsi="Times New Roman"/>
                <w:sz w:val="21"/>
                <w:szCs w:val="21"/>
                <w:u w:val="single"/>
              </w:rPr>
              <w:t>值</w:t>
            </w:r>
          </w:p>
        </w:tc>
        <w:tc>
          <w:tcPr>
            <w:tcW w:w="13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标准值</w:t>
            </w:r>
          </w:p>
        </w:tc>
        <w:tc>
          <w:tcPr>
            <w:tcW w:w="1315"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超标量</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vMerge w:val="continue"/>
            <w:noWrap w:val="0"/>
            <w:vAlign w:val="center"/>
          </w:tcPr>
          <w:p>
            <w:pPr>
              <w:spacing w:line="240" w:lineRule="auto"/>
              <w:ind w:firstLine="0" w:firstLineChars="0"/>
              <w:jc w:val="center"/>
              <w:rPr>
                <w:rFonts w:hint="eastAsia" w:ascii="Times New Roman" w:hAnsi="Times New Roman"/>
                <w:sz w:val="21"/>
                <w:szCs w:val="21"/>
                <w:u w:val="single"/>
              </w:rPr>
            </w:pPr>
          </w:p>
        </w:tc>
        <w:tc>
          <w:tcPr>
            <w:tcW w:w="12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昼间</w:t>
            </w:r>
          </w:p>
        </w:tc>
        <w:tc>
          <w:tcPr>
            <w:tcW w:w="151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昼间</w:t>
            </w:r>
          </w:p>
        </w:tc>
        <w:tc>
          <w:tcPr>
            <w:tcW w:w="133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昼间</w:t>
            </w:r>
          </w:p>
        </w:tc>
        <w:tc>
          <w:tcPr>
            <w:tcW w:w="13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昼间</w:t>
            </w:r>
          </w:p>
        </w:tc>
        <w:tc>
          <w:tcPr>
            <w:tcW w:w="1315"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昼间</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75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东面厂界外1m</w:t>
            </w:r>
          </w:p>
        </w:tc>
        <w:tc>
          <w:tcPr>
            <w:tcW w:w="126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53</w:t>
            </w:r>
          </w:p>
        </w:tc>
        <w:tc>
          <w:tcPr>
            <w:tcW w:w="151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52.3</w:t>
            </w:r>
          </w:p>
        </w:tc>
        <w:tc>
          <w:tcPr>
            <w:tcW w:w="133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55.6</w:t>
            </w:r>
          </w:p>
        </w:tc>
        <w:tc>
          <w:tcPr>
            <w:tcW w:w="134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65</w:t>
            </w:r>
          </w:p>
        </w:tc>
        <w:tc>
          <w:tcPr>
            <w:tcW w:w="1315"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南面厂界外1m</w:t>
            </w:r>
          </w:p>
        </w:tc>
        <w:tc>
          <w:tcPr>
            <w:tcW w:w="126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53</w:t>
            </w:r>
          </w:p>
        </w:tc>
        <w:tc>
          <w:tcPr>
            <w:tcW w:w="151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51.1</w:t>
            </w:r>
          </w:p>
        </w:tc>
        <w:tc>
          <w:tcPr>
            <w:tcW w:w="133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54.8</w:t>
            </w:r>
          </w:p>
        </w:tc>
        <w:tc>
          <w:tcPr>
            <w:tcW w:w="134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65</w:t>
            </w:r>
          </w:p>
        </w:tc>
        <w:tc>
          <w:tcPr>
            <w:tcW w:w="1315"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西面厂界外1m</w:t>
            </w:r>
          </w:p>
        </w:tc>
        <w:tc>
          <w:tcPr>
            <w:tcW w:w="126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54</w:t>
            </w:r>
          </w:p>
        </w:tc>
        <w:tc>
          <w:tcPr>
            <w:tcW w:w="151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55.1</w:t>
            </w:r>
          </w:p>
        </w:tc>
        <w:tc>
          <w:tcPr>
            <w:tcW w:w="133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60.1</w:t>
            </w:r>
          </w:p>
        </w:tc>
        <w:tc>
          <w:tcPr>
            <w:tcW w:w="134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65</w:t>
            </w:r>
          </w:p>
        </w:tc>
        <w:tc>
          <w:tcPr>
            <w:tcW w:w="1315"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北面厂界外1m</w:t>
            </w:r>
          </w:p>
        </w:tc>
        <w:tc>
          <w:tcPr>
            <w:tcW w:w="126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52</w:t>
            </w:r>
          </w:p>
        </w:tc>
        <w:tc>
          <w:tcPr>
            <w:tcW w:w="151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53.2</w:t>
            </w:r>
          </w:p>
        </w:tc>
        <w:tc>
          <w:tcPr>
            <w:tcW w:w="133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56.3</w:t>
            </w:r>
          </w:p>
        </w:tc>
        <w:tc>
          <w:tcPr>
            <w:tcW w:w="134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65</w:t>
            </w:r>
          </w:p>
        </w:tc>
        <w:tc>
          <w:tcPr>
            <w:tcW w:w="1315"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sz w:val="21"/>
                <w:szCs w:val="21"/>
                <w:u w:val="single"/>
                <w:lang w:eastAsia="zh-CN"/>
              </w:rPr>
              <w:t>厂界西北侧</w:t>
            </w:r>
            <w:r>
              <w:rPr>
                <w:rFonts w:hint="eastAsia" w:ascii="Times New Roman" w:hAnsi="Times New Roman"/>
                <w:sz w:val="21"/>
                <w:szCs w:val="21"/>
                <w:u w:val="single"/>
                <w:lang w:val="en-US" w:eastAsia="zh-CN"/>
              </w:rPr>
              <w:t>50m处公租房</w:t>
            </w:r>
          </w:p>
        </w:tc>
        <w:tc>
          <w:tcPr>
            <w:tcW w:w="1260" w:type="dxa"/>
            <w:noWrap w:val="0"/>
            <w:vAlign w:val="center"/>
          </w:tcPr>
          <w:p>
            <w:pPr>
              <w:spacing w:line="240" w:lineRule="auto"/>
              <w:ind w:firstLine="0" w:firstLineChars="0"/>
              <w:jc w:val="center"/>
              <w:rPr>
                <w:rFonts w:hint="default"/>
                <w:sz w:val="21"/>
                <w:szCs w:val="21"/>
                <w:u w:val="single"/>
                <w:lang w:val="en-US" w:eastAsia="zh-CN"/>
              </w:rPr>
            </w:pPr>
            <w:r>
              <w:rPr>
                <w:rFonts w:hint="eastAsia"/>
                <w:sz w:val="21"/>
                <w:szCs w:val="21"/>
                <w:u w:val="single"/>
                <w:lang w:val="en-US" w:eastAsia="zh-CN"/>
              </w:rPr>
              <w:t>55</w:t>
            </w:r>
          </w:p>
        </w:tc>
        <w:tc>
          <w:tcPr>
            <w:tcW w:w="151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40.5</w:t>
            </w:r>
          </w:p>
        </w:tc>
        <w:tc>
          <w:tcPr>
            <w:tcW w:w="133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56.8</w:t>
            </w:r>
          </w:p>
        </w:tc>
        <w:tc>
          <w:tcPr>
            <w:tcW w:w="1344" w:type="dxa"/>
            <w:noWrap w:val="0"/>
            <w:vAlign w:val="center"/>
          </w:tcPr>
          <w:p>
            <w:pPr>
              <w:spacing w:line="240" w:lineRule="auto"/>
              <w:ind w:firstLine="0" w:firstLineChars="0"/>
              <w:jc w:val="center"/>
              <w:rPr>
                <w:rFonts w:hint="default"/>
                <w:sz w:val="21"/>
                <w:szCs w:val="21"/>
                <w:u w:val="single"/>
                <w:lang w:val="en-US" w:eastAsia="zh-CN"/>
              </w:rPr>
            </w:pPr>
            <w:r>
              <w:rPr>
                <w:rFonts w:hint="eastAsia"/>
                <w:sz w:val="21"/>
                <w:szCs w:val="21"/>
                <w:u w:val="single"/>
                <w:lang w:val="en-US" w:eastAsia="zh-CN"/>
              </w:rPr>
              <w:t>60</w:t>
            </w:r>
          </w:p>
        </w:tc>
        <w:tc>
          <w:tcPr>
            <w:tcW w:w="1315"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0</w:t>
            </w:r>
          </w:p>
        </w:tc>
      </w:tr>
    </w:tbl>
    <w:p>
      <w:pPr>
        <w:keepNext w:val="0"/>
        <w:keepLines w:val="0"/>
        <w:pageBreakBefore w:val="0"/>
        <w:widowControl w:val="0"/>
        <w:kinsoku/>
        <w:wordWrap w:val="0"/>
        <w:overflowPunct/>
        <w:topLinePunct w:val="0"/>
        <w:autoSpaceDE/>
        <w:autoSpaceDN/>
        <w:bidi w:val="0"/>
        <w:adjustRightInd/>
        <w:snapToGrid/>
        <w:ind w:firstLine="480"/>
        <w:jc w:val="both"/>
        <w:textAlignment w:val="auto"/>
        <w:rPr>
          <w:rFonts w:hint="eastAsia"/>
          <w:u w:val="single"/>
        </w:rPr>
      </w:pPr>
      <w:r>
        <w:rPr>
          <w:rFonts w:hint="eastAsia"/>
          <w:u w:val="single"/>
        </w:rPr>
        <w:t>由表</w:t>
      </w:r>
      <w:r>
        <w:rPr>
          <w:rFonts w:hint="eastAsia"/>
          <w:u w:val="single"/>
          <w:lang w:val="en-US" w:eastAsia="zh-CN"/>
        </w:rPr>
        <w:t>4</w:t>
      </w:r>
      <w:r>
        <w:rPr>
          <w:rFonts w:hint="eastAsia"/>
          <w:u w:val="single"/>
        </w:rPr>
        <w:t>.2-</w:t>
      </w:r>
      <w:r>
        <w:rPr>
          <w:rFonts w:hint="eastAsia"/>
          <w:u w:val="single"/>
          <w:lang w:val="en-US" w:eastAsia="zh-CN"/>
        </w:rPr>
        <w:t>3</w:t>
      </w:r>
      <w:r>
        <w:rPr>
          <w:rFonts w:hint="eastAsia"/>
          <w:u w:val="single"/>
        </w:rPr>
        <w:t>可知，营运期噪声各生产设备声源声压级在</w:t>
      </w:r>
      <w:r>
        <w:rPr>
          <w:rFonts w:hint="eastAsia"/>
          <w:u w:val="single"/>
          <w:lang w:val="en-US" w:eastAsia="zh-CN"/>
        </w:rPr>
        <w:t>80-90</w:t>
      </w:r>
      <w:r>
        <w:rPr>
          <w:rFonts w:hint="eastAsia"/>
          <w:u w:val="single"/>
        </w:rPr>
        <w:t>分贝之间，经预测，营运期各厂界噪声贡献值能满足《工业企业厂界环境噪声排放标准》</w:t>
      </w:r>
      <w:r>
        <w:rPr>
          <w:rFonts w:hint="eastAsia"/>
          <w:u w:val="single"/>
          <w:lang w:eastAsia="zh-CN"/>
        </w:rPr>
        <w:t>（</w:t>
      </w:r>
      <w:r>
        <w:rPr>
          <w:rFonts w:hint="eastAsia"/>
          <w:u w:val="single"/>
        </w:rPr>
        <w:t>GB12348-2008）</w:t>
      </w:r>
      <w:r>
        <w:rPr>
          <w:rFonts w:hint="eastAsia"/>
          <w:u w:val="single"/>
          <w:lang w:val="en-US" w:eastAsia="zh-CN"/>
        </w:rPr>
        <w:t>3</w:t>
      </w:r>
      <w:r>
        <w:rPr>
          <w:rFonts w:hint="eastAsia"/>
          <w:u w:val="single"/>
        </w:rPr>
        <w:t>类标准的要求，</w:t>
      </w:r>
      <w:r>
        <w:rPr>
          <w:rFonts w:hint="eastAsia"/>
          <w:u w:val="single"/>
          <w:lang w:eastAsia="zh-CN"/>
        </w:rPr>
        <w:t>叠加厂界背景值后</w:t>
      </w:r>
      <w:r>
        <w:rPr>
          <w:rFonts w:hint="eastAsia"/>
          <w:u w:val="single"/>
        </w:rPr>
        <w:t>《工业企业厂界环境噪声排放标准》</w:t>
      </w:r>
      <w:r>
        <w:rPr>
          <w:rFonts w:hint="eastAsia"/>
          <w:u w:val="single"/>
          <w:lang w:eastAsia="zh-CN"/>
        </w:rPr>
        <w:t>（</w:t>
      </w:r>
      <w:r>
        <w:rPr>
          <w:rFonts w:hint="eastAsia"/>
          <w:u w:val="single"/>
        </w:rPr>
        <w:t>GB12348-2008）</w:t>
      </w:r>
      <w:r>
        <w:rPr>
          <w:rFonts w:hint="eastAsia"/>
          <w:u w:val="single"/>
          <w:lang w:val="en-US" w:eastAsia="zh-CN"/>
        </w:rPr>
        <w:t>3</w:t>
      </w:r>
      <w:r>
        <w:rPr>
          <w:rFonts w:hint="eastAsia"/>
          <w:u w:val="single"/>
        </w:rPr>
        <w:t>类标准的要求。厂界西北侧50m处公租房</w:t>
      </w:r>
      <w:r>
        <w:rPr>
          <w:rFonts w:hint="eastAsia"/>
          <w:u w:val="single"/>
          <w:lang w:eastAsia="zh-CN"/>
        </w:rPr>
        <w:t>叠加厂界背景值后</w:t>
      </w:r>
      <w:r>
        <w:rPr>
          <w:rFonts w:hint="eastAsia"/>
          <w:u w:val="single"/>
        </w:rPr>
        <w:t>《声环境质量标准》</w:t>
      </w:r>
      <w:r>
        <w:rPr>
          <w:rFonts w:hint="eastAsia"/>
          <w:u w:val="single"/>
          <w:lang w:eastAsia="zh-CN"/>
        </w:rPr>
        <w:t>（</w:t>
      </w:r>
      <w:r>
        <w:rPr>
          <w:rFonts w:hint="eastAsia"/>
          <w:u w:val="single"/>
        </w:rPr>
        <w:t>GB</w:t>
      </w:r>
      <w:r>
        <w:rPr>
          <w:rFonts w:hint="eastAsia"/>
          <w:u w:val="single"/>
          <w:lang w:val="en-US" w:eastAsia="zh-CN"/>
        </w:rPr>
        <w:t>3096</w:t>
      </w:r>
      <w:r>
        <w:rPr>
          <w:rFonts w:hint="eastAsia"/>
          <w:u w:val="single"/>
        </w:rPr>
        <w:t>-2008）</w:t>
      </w:r>
      <w:r>
        <w:rPr>
          <w:rFonts w:hint="eastAsia"/>
          <w:u w:val="single"/>
          <w:lang w:val="en-US" w:eastAsia="zh-CN"/>
        </w:rPr>
        <w:t>2</w:t>
      </w:r>
      <w:r>
        <w:rPr>
          <w:rFonts w:hint="eastAsia"/>
          <w:u w:val="single"/>
        </w:rPr>
        <w:t>类标准的要求。可见，本项目营运后，项目所在地声环境质量变化很小，不会影响当地声环境水平</w:t>
      </w:r>
    </w:p>
    <w:p>
      <w:pPr>
        <w:pStyle w:val="6"/>
        <w:bidi w:val="0"/>
      </w:pPr>
      <w:r>
        <w:rPr>
          <w:rFonts w:hint="eastAsia"/>
        </w:rPr>
        <w:t>4.</w:t>
      </w:r>
      <w:r>
        <w:t>2</w:t>
      </w:r>
      <w:r>
        <w:rPr>
          <w:rFonts w:hint="eastAsia"/>
        </w:rPr>
        <w:t>.</w:t>
      </w:r>
      <w:r>
        <w:t>5</w:t>
      </w:r>
      <w:r>
        <w:rPr>
          <w:rFonts w:hint="eastAsia"/>
        </w:rPr>
        <w:t>固体废物处置及污染防治措施</w:t>
      </w:r>
    </w:p>
    <w:p>
      <w:pPr>
        <w:ind w:firstLine="480"/>
        <w:jc w:val="both"/>
        <w:rPr>
          <w:rFonts w:hint="eastAsia"/>
          <w:color w:val="auto"/>
          <w:kern w:val="0"/>
          <w:u w:val="single"/>
        </w:rPr>
      </w:pPr>
      <w:r>
        <w:rPr>
          <w:rFonts w:hint="eastAsia"/>
          <w:color w:val="auto"/>
          <w:kern w:val="0"/>
          <w:u w:val="single"/>
        </w:rPr>
        <w:t>（1）格栅渣以及</w:t>
      </w:r>
      <w:r>
        <w:rPr>
          <w:color w:val="auto"/>
          <w:kern w:val="0"/>
          <w:u w:val="single"/>
        </w:rPr>
        <w:t>沉砂池沉砂</w:t>
      </w:r>
      <w:r>
        <w:rPr>
          <w:rFonts w:hint="eastAsia"/>
          <w:color w:val="auto"/>
          <w:kern w:val="0"/>
          <w:u w:val="single"/>
        </w:rPr>
        <w:t>固体废物处置措施</w:t>
      </w:r>
    </w:p>
    <w:p>
      <w:pPr>
        <w:ind w:firstLine="480"/>
        <w:jc w:val="both"/>
        <w:rPr>
          <w:rFonts w:hint="eastAsia" w:ascii="Times New Roman" w:hAnsi="Times New Roman" w:eastAsia="宋体" w:cs="Times New Roman"/>
          <w:color w:val="auto"/>
          <w:kern w:val="0"/>
          <w:u w:val="single"/>
          <w:lang w:eastAsia="zh-CN"/>
        </w:rPr>
      </w:pPr>
      <w:r>
        <w:rPr>
          <w:rFonts w:hint="default" w:ascii="Times New Roman" w:hAnsi="Times New Roman" w:cs="Times New Roman"/>
          <w:color w:val="auto"/>
          <w:kern w:val="0"/>
          <w:u w:val="single"/>
          <w:lang w:eastAsia="zh-CN"/>
        </w:rPr>
        <w:t>①格栅用来拦截污水中较大的漂浮物，本项目采用格栅除污机；格栅渣多为块状固体物质，其中包括无机物质和有机物质，性状类似生活垃圾，格栅拦截直径大于6mm的杂物，类比同工艺污水处理厂环评报告，处理一立方米污水产生0.05kg栅渣，</w:t>
      </w:r>
      <w:r>
        <w:rPr>
          <w:rFonts w:hint="default" w:ascii="Times New Roman" w:hAnsi="Times New Roman" w:cs="Times New Roman"/>
          <w:color w:val="auto"/>
          <w:kern w:val="0"/>
          <w:u w:val="single"/>
        </w:rPr>
        <w:t>本项目</w:t>
      </w:r>
      <w:r>
        <w:rPr>
          <w:rFonts w:hint="eastAsia" w:cs="Times New Roman"/>
          <w:color w:val="auto"/>
          <w:kern w:val="0"/>
          <w:u w:val="single"/>
          <w:lang w:eastAsia="zh-CN"/>
        </w:rPr>
        <w:t>一期工程</w:t>
      </w:r>
      <w:r>
        <w:rPr>
          <w:rFonts w:hint="default" w:ascii="Times New Roman" w:hAnsi="Times New Roman" w:cs="Times New Roman"/>
          <w:color w:val="auto"/>
          <w:kern w:val="0"/>
          <w:u w:val="single"/>
        </w:rPr>
        <w:t>日处理规模</w:t>
      </w:r>
      <w:r>
        <w:rPr>
          <w:rFonts w:hint="default" w:ascii="Times New Roman" w:hAnsi="Times New Roman" w:cs="Times New Roman"/>
          <w:color w:val="auto"/>
          <w:kern w:val="0"/>
          <w:u w:val="single"/>
          <w:lang w:val="en-US" w:eastAsia="zh-CN"/>
        </w:rPr>
        <w:t>400</w:t>
      </w:r>
      <w:r>
        <w:rPr>
          <w:rFonts w:hint="default" w:ascii="Times New Roman" w:hAnsi="Times New Roman" w:cs="Times New Roman"/>
          <w:color w:val="auto"/>
          <w:kern w:val="0"/>
          <w:u w:val="single"/>
        </w:rPr>
        <w:t>m</w:t>
      </w:r>
      <w:r>
        <w:rPr>
          <w:rFonts w:hint="default" w:ascii="Times New Roman" w:hAnsi="Times New Roman" w:cs="Times New Roman"/>
          <w:color w:val="auto"/>
          <w:kern w:val="0"/>
          <w:u w:val="single"/>
          <w:vertAlign w:val="superscript"/>
        </w:rPr>
        <w:t>3</w:t>
      </w:r>
      <w:r>
        <w:rPr>
          <w:rFonts w:hint="default" w:ascii="Times New Roman" w:hAnsi="Times New Roman" w:cs="Times New Roman"/>
          <w:color w:val="auto"/>
          <w:kern w:val="0"/>
          <w:u w:val="single"/>
        </w:rPr>
        <w:t>/d</w:t>
      </w:r>
      <w:r>
        <w:rPr>
          <w:rFonts w:hint="default" w:ascii="Times New Roman" w:hAnsi="Times New Roman" w:cs="Times New Roman"/>
          <w:color w:val="auto"/>
          <w:kern w:val="0"/>
          <w:u w:val="single"/>
          <w:lang w:eastAsia="zh-CN"/>
        </w:rPr>
        <w:t>，</w:t>
      </w:r>
      <w:r>
        <w:rPr>
          <w:rFonts w:hint="default" w:ascii="Times New Roman" w:hAnsi="Times New Roman" w:cs="Times New Roman"/>
          <w:color w:val="auto"/>
          <w:kern w:val="0"/>
          <w:u w:val="single"/>
        </w:rPr>
        <w:t>则预计格栅渣产生量为</w:t>
      </w:r>
      <w:r>
        <w:rPr>
          <w:rFonts w:hint="default" w:ascii="Times New Roman" w:hAnsi="Times New Roman" w:cs="Times New Roman"/>
          <w:color w:val="auto"/>
          <w:kern w:val="0"/>
          <w:u w:val="single"/>
          <w:lang w:val="en-US" w:eastAsia="zh-CN"/>
        </w:rPr>
        <w:t>20kg</w:t>
      </w:r>
      <w:r>
        <w:rPr>
          <w:rFonts w:hint="default" w:ascii="Times New Roman" w:hAnsi="Times New Roman" w:cs="Times New Roman"/>
          <w:color w:val="auto"/>
          <w:kern w:val="0"/>
          <w:u w:val="single"/>
        </w:rPr>
        <w:t>/d（</w:t>
      </w:r>
      <w:r>
        <w:rPr>
          <w:rFonts w:hint="default" w:ascii="Times New Roman" w:hAnsi="Times New Roman" w:cs="Times New Roman"/>
          <w:color w:val="auto"/>
          <w:kern w:val="0"/>
          <w:u w:val="single"/>
          <w:lang w:val="en-US" w:eastAsia="zh-CN"/>
        </w:rPr>
        <w:t>7.3</w:t>
      </w:r>
      <w:r>
        <w:rPr>
          <w:rFonts w:hint="default" w:ascii="Times New Roman" w:hAnsi="Times New Roman" w:cs="Times New Roman"/>
          <w:color w:val="auto"/>
          <w:kern w:val="0"/>
          <w:u w:val="single"/>
        </w:rPr>
        <w:t>t/a）。</w:t>
      </w:r>
      <w:r>
        <w:rPr>
          <w:rFonts w:hint="eastAsia" w:cs="Times New Roman"/>
          <w:color w:val="auto"/>
          <w:kern w:val="0"/>
          <w:u w:val="single"/>
          <w:lang w:eastAsia="zh-CN"/>
        </w:rPr>
        <w:t>二期工程建成后总的</w:t>
      </w:r>
      <w:r>
        <w:rPr>
          <w:rFonts w:hint="default" w:ascii="Times New Roman" w:hAnsi="Times New Roman" w:cs="Times New Roman"/>
          <w:color w:val="auto"/>
          <w:kern w:val="0"/>
          <w:u w:val="single"/>
        </w:rPr>
        <w:t>日处理规模</w:t>
      </w:r>
      <w:r>
        <w:rPr>
          <w:rFonts w:hint="eastAsia" w:ascii="Times New Roman" w:hAnsi="Times New Roman" w:cs="Times New Roman"/>
          <w:color w:val="auto"/>
          <w:kern w:val="0"/>
          <w:u w:val="single"/>
          <w:lang w:val="en-US" w:eastAsia="zh-CN"/>
        </w:rPr>
        <w:t>1000</w:t>
      </w:r>
      <w:r>
        <w:rPr>
          <w:rFonts w:hint="default" w:ascii="Times New Roman" w:hAnsi="Times New Roman" w:cs="Times New Roman"/>
          <w:color w:val="auto"/>
          <w:kern w:val="0"/>
          <w:u w:val="single"/>
        </w:rPr>
        <w:t>m</w:t>
      </w:r>
      <w:r>
        <w:rPr>
          <w:rFonts w:hint="default" w:ascii="Times New Roman" w:hAnsi="Times New Roman" w:cs="Times New Roman"/>
          <w:color w:val="auto"/>
          <w:kern w:val="0"/>
          <w:u w:val="single"/>
          <w:vertAlign w:val="superscript"/>
        </w:rPr>
        <w:t>3</w:t>
      </w:r>
      <w:r>
        <w:rPr>
          <w:rFonts w:hint="default" w:ascii="Times New Roman" w:hAnsi="Times New Roman" w:cs="Times New Roman"/>
          <w:color w:val="auto"/>
          <w:kern w:val="0"/>
          <w:u w:val="single"/>
        </w:rPr>
        <w:t>/d</w:t>
      </w:r>
      <w:r>
        <w:rPr>
          <w:rFonts w:hint="eastAsia" w:ascii="Times New Roman" w:hAnsi="Times New Roman" w:cs="Times New Roman"/>
          <w:color w:val="auto"/>
          <w:kern w:val="0"/>
          <w:u w:val="single"/>
          <w:lang w:eastAsia="zh-CN"/>
        </w:rPr>
        <w:t>，</w:t>
      </w:r>
      <w:r>
        <w:rPr>
          <w:rFonts w:hint="default" w:ascii="Times New Roman" w:hAnsi="Times New Roman" w:cs="Times New Roman"/>
          <w:color w:val="auto"/>
          <w:kern w:val="0"/>
          <w:u w:val="single"/>
        </w:rPr>
        <w:t>则预计格栅渣产生量为</w:t>
      </w:r>
      <w:r>
        <w:rPr>
          <w:rFonts w:hint="eastAsia" w:ascii="Times New Roman" w:hAnsi="Times New Roman" w:cs="Times New Roman"/>
          <w:color w:val="auto"/>
          <w:kern w:val="0"/>
          <w:u w:val="single"/>
          <w:lang w:val="en-US" w:eastAsia="zh-CN"/>
        </w:rPr>
        <w:t>50</w:t>
      </w:r>
      <w:r>
        <w:rPr>
          <w:rFonts w:hint="default" w:ascii="Times New Roman" w:hAnsi="Times New Roman" w:cs="Times New Roman"/>
          <w:color w:val="auto"/>
          <w:kern w:val="0"/>
          <w:u w:val="single"/>
          <w:lang w:val="en-US" w:eastAsia="zh-CN"/>
        </w:rPr>
        <w:t>kg</w:t>
      </w:r>
      <w:r>
        <w:rPr>
          <w:rFonts w:hint="default" w:ascii="Times New Roman" w:hAnsi="Times New Roman" w:cs="Times New Roman"/>
          <w:color w:val="auto"/>
          <w:kern w:val="0"/>
          <w:u w:val="single"/>
        </w:rPr>
        <w:t>/d（</w:t>
      </w:r>
      <w:r>
        <w:rPr>
          <w:rFonts w:hint="eastAsia" w:ascii="Times New Roman" w:hAnsi="Times New Roman" w:cs="Times New Roman"/>
          <w:color w:val="auto"/>
          <w:kern w:val="0"/>
          <w:u w:val="single"/>
          <w:lang w:val="en-US" w:eastAsia="zh-CN"/>
        </w:rPr>
        <w:t>18.25</w:t>
      </w:r>
      <w:r>
        <w:rPr>
          <w:rFonts w:hint="default" w:ascii="Times New Roman" w:hAnsi="Times New Roman" w:cs="Times New Roman"/>
          <w:color w:val="auto"/>
          <w:kern w:val="0"/>
          <w:u w:val="single"/>
        </w:rPr>
        <w:t>t/a）。</w:t>
      </w:r>
    </w:p>
    <w:p>
      <w:pPr>
        <w:pStyle w:val="3"/>
        <w:keepNext w:val="0"/>
        <w:keepLines w:val="0"/>
        <w:pageBreakBefore w:val="0"/>
        <w:widowControl/>
        <w:kinsoku/>
        <w:wordWrap/>
        <w:overflowPunct/>
        <w:topLinePunct w:val="0"/>
        <w:autoSpaceDE w:val="0"/>
        <w:autoSpaceDN w:val="0"/>
        <w:bidi w:val="0"/>
        <w:adjustRightInd/>
        <w:snapToGrid/>
        <w:ind w:left="108" w:firstLine="480" w:firstLineChars="200"/>
        <w:jc w:val="both"/>
        <w:textAlignment w:val="auto"/>
        <w:rPr>
          <w:rFonts w:hint="default" w:ascii="Times New Roman" w:hAnsi="Times New Roman" w:eastAsia="宋体" w:cs="Times New Roman"/>
          <w:color w:val="auto"/>
          <w:u w:val="single"/>
          <w:lang w:eastAsia="zh-CN"/>
        </w:rPr>
      </w:pPr>
      <w:r>
        <w:rPr>
          <w:rFonts w:hint="default" w:ascii="Times New Roman" w:hAnsi="Times New Roman" w:cs="Times New Roman"/>
          <w:color w:val="auto"/>
          <w:kern w:val="0"/>
          <w:u w:val="single"/>
          <w:lang w:eastAsia="zh-CN"/>
        </w:rPr>
        <w:t>②沉砂：沉砂的主要成分为大的无机颗粒，主要为泥砂、石子等。类比同工艺污水处理厂环评报告，处理一万吨污水产生0.45吨沉砂量。</w:t>
      </w:r>
      <w:r>
        <w:rPr>
          <w:rFonts w:hint="default" w:ascii="Times New Roman" w:hAnsi="Times New Roman" w:cs="Times New Roman"/>
          <w:color w:val="auto"/>
          <w:kern w:val="0"/>
          <w:u w:val="single"/>
        </w:rPr>
        <w:t>本项目</w:t>
      </w:r>
      <w:r>
        <w:rPr>
          <w:rFonts w:hint="eastAsia" w:cs="Times New Roman"/>
          <w:color w:val="auto"/>
          <w:kern w:val="0"/>
          <w:u w:val="single"/>
          <w:lang w:eastAsia="zh-CN"/>
        </w:rPr>
        <w:t>一期工程</w:t>
      </w:r>
      <w:r>
        <w:rPr>
          <w:rFonts w:hint="default" w:ascii="Times New Roman" w:hAnsi="Times New Roman" w:cs="Times New Roman"/>
          <w:color w:val="auto"/>
          <w:kern w:val="0"/>
          <w:u w:val="single"/>
          <w:lang w:eastAsia="zh-CN"/>
        </w:rPr>
        <w:t>污水处理量为400m</w:t>
      </w:r>
      <w:r>
        <w:rPr>
          <w:rFonts w:hint="default" w:ascii="Times New Roman" w:hAnsi="Times New Roman" w:cs="Times New Roman"/>
          <w:color w:val="auto"/>
          <w:kern w:val="0"/>
          <w:u w:val="single"/>
          <w:vertAlign w:val="superscript"/>
          <w:lang w:eastAsia="zh-CN"/>
        </w:rPr>
        <w:t>3</w:t>
      </w:r>
      <w:r>
        <w:rPr>
          <w:rFonts w:hint="default" w:ascii="Times New Roman" w:hAnsi="Times New Roman" w:cs="Times New Roman"/>
          <w:color w:val="auto"/>
          <w:kern w:val="0"/>
          <w:u w:val="single"/>
          <w:lang w:eastAsia="zh-CN"/>
        </w:rPr>
        <w:t>/d，</w:t>
      </w:r>
      <w:r>
        <w:rPr>
          <w:rFonts w:hint="default" w:ascii="Times New Roman" w:hAnsi="Times New Roman" w:cs="Times New Roman"/>
          <w:color w:val="auto"/>
          <w:kern w:val="0"/>
          <w:u w:val="single"/>
        </w:rPr>
        <w:t>则预计沉砂池沉砂产生量为</w:t>
      </w:r>
      <w:r>
        <w:rPr>
          <w:rFonts w:hint="default" w:ascii="Times New Roman" w:hAnsi="Times New Roman" w:cs="Times New Roman"/>
          <w:color w:val="auto"/>
          <w:kern w:val="0"/>
          <w:u w:val="single"/>
          <w:lang w:val="en-US" w:eastAsia="zh-CN"/>
        </w:rPr>
        <w:t>18kg</w:t>
      </w:r>
      <w:r>
        <w:rPr>
          <w:rFonts w:hint="default" w:ascii="Times New Roman" w:hAnsi="Times New Roman" w:cs="Times New Roman"/>
          <w:color w:val="auto"/>
          <w:kern w:val="0"/>
          <w:u w:val="single"/>
        </w:rPr>
        <w:t>/d（</w:t>
      </w:r>
      <w:r>
        <w:rPr>
          <w:rFonts w:hint="default" w:ascii="Times New Roman" w:hAnsi="Times New Roman" w:cs="Times New Roman"/>
          <w:color w:val="auto"/>
          <w:kern w:val="0"/>
          <w:u w:val="single"/>
          <w:lang w:val="en-US" w:eastAsia="zh-CN"/>
        </w:rPr>
        <w:t>6.57</w:t>
      </w:r>
      <w:r>
        <w:rPr>
          <w:rFonts w:hint="default" w:ascii="Times New Roman" w:hAnsi="Times New Roman" w:cs="Times New Roman"/>
          <w:color w:val="auto"/>
          <w:kern w:val="0"/>
          <w:u w:val="single"/>
        </w:rPr>
        <w:t>t/a）。</w:t>
      </w:r>
      <w:r>
        <w:rPr>
          <w:rFonts w:hint="eastAsia" w:cs="Times New Roman"/>
          <w:color w:val="auto"/>
          <w:kern w:val="0"/>
          <w:u w:val="single"/>
          <w:lang w:eastAsia="zh-CN"/>
        </w:rPr>
        <w:t>二期工程建成后总的</w:t>
      </w:r>
      <w:r>
        <w:rPr>
          <w:rFonts w:hint="default" w:ascii="Times New Roman" w:hAnsi="Times New Roman" w:cs="Times New Roman"/>
          <w:color w:val="auto"/>
          <w:kern w:val="0"/>
          <w:u w:val="single"/>
        </w:rPr>
        <w:t>日处理规模</w:t>
      </w:r>
      <w:r>
        <w:rPr>
          <w:rFonts w:hint="eastAsia" w:ascii="Times New Roman" w:hAnsi="Times New Roman" w:cs="Times New Roman"/>
          <w:color w:val="auto"/>
          <w:kern w:val="0"/>
          <w:u w:val="single"/>
          <w:lang w:val="en-US" w:eastAsia="zh-CN"/>
        </w:rPr>
        <w:t>1000</w:t>
      </w:r>
      <w:r>
        <w:rPr>
          <w:rFonts w:hint="default" w:ascii="Times New Roman" w:hAnsi="Times New Roman" w:cs="Times New Roman"/>
          <w:color w:val="auto"/>
          <w:kern w:val="0"/>
          <w:u w:val="single"/>
        </w:rPr>
        <w:t>m</w:t>
      </w:r>
      <w:r>
        <w:rPr>
          <w:rFonts w:hint="default" w:ascii="Times New Roman" w:hAnsi="Times New Roman" w:cs="Times New Roman"/>
          <w:color w:val="auto"/>
          <w:kern w:val="0"/>
          <w:u w:val="single"/>
          <w:vertAlign w:val="superscript"/>
        </w:rPr>
        <w:t>3</w:t>
      </w:r>
      <w:r>
        <w:rPr>
          <w:rFonts w:hint="default" w:ascii="Times New Roman" w:hAnsi="Times New Roman" w:cs="Times New Roman"/>
          <w:color w:val="auto"/>
          <w:kern w:val="0"/>
          <w:u w:val="single"/>
        </w:rPr>
        <w:t>/d</w:t>
      </w:r>
      <w:r>
        <w:rPr>
          <w:rFonts w:hint="eastAsia" w:ascii="Times New Roman" w:hAnsi="Times New Roman" w:cs="Times New Roman"/>
          <w:color w:val="auto"/>
          <w:kern w:val="0"/>
          <w:u w:val="single"/>
          <w:lang w:eastAsia="zh-CN"/>
        </w:rPr>
        <w:t>，</w:t>
      </w:r>
      <w:r>
        <w:rPr>
          <w:rFonts w:hint="default" w:ascii="Times New Roman" w:hAnsi="Times New Roman" w:cs="Times New Roman"/>
          <w:color w:val="auto"/>
          <w:kern w:val="0"/>
          <w:u w:val="single"/>
        </w:rPr>
        <w:t>则沉砂池沉砂产生量为</w:t>
      </w:r>
      <w:r>
        <w:rPr>
          <w:rFonts w:hint="eastAsia" w:ascii="Times New Roman" w:hAnsi="Times New Roman" w:cs="Times New Roman"/>
          <w:color w:val="auto"/>
          <w:kern w:val="0"/>
          <w:u w:val="single"/>
          <w:lang w:val="en-US" w:eastAsia="zh-CN"/>
        </w:rPr>
        <w:t>45</w:t>
      </w:r>
      <w:r>
        <w:rPr>
          <w:rFonts w:hint="default" w:ascii="Times New Roman" w:hAnsi="Times New Roman" w:cs="Times New Roman"/>
          <w:color w:val="auto"/>
          <w:kern w:val="0"/>
          <w:u w:val="single"/>
          <w:lang w:val="en-US" w:eastAsia="zh-CN"/>
        </w:rPr>
        <w:t>kg</w:t>
      </w:r>
      <w:r>
        <w:rPr>
          <w:rFonts w:hint="default" w:ascii="Times New Roman" w:hAnsi="Times New Roman" w:cs="Times New Roman"/>
          <w:color w:val="auto"/>
          <w:kern w:val="0"/>
          <w:u w:val="single"/>
        </w:rPr>
        <w:t>/d（</w:t>
      </w:r>
      <w:r>
        <w:rPr>
          <w:rFonts w:hint="eastAsia" w:ascii="Times New Roman" w:hAnsi="Times New Roman" w:cs="Times New Roman"/>
          <w:color w:val="auto"/>
          <w:kern w:val="0"/>
          <w:u w:val="single"/>
          <w:lang w:val="en-US" w:eastAsia="zh-CN"/>
        </w:rPr>
        <w:t>16.425</w:t>
      </w:r>
      <w:r>
        <w:rPr>
          <w:rFonts w:hint="default" w:ascii="Times New Roman" w:hAnsi="Times New Roman" w:cs="Times New Roman"/>
          <w:color w:val="auto"/>
          <w:kern w:val="0"/>
          <w:u w:val="single"/>
        </w:rPr>
        <w:t>t/a）。格栅渣和沉砂为一般固废，</w:t>
      </w:r>
      <w:r>
        <w:rPr>
          <w:rFonts w:hint="default" w:ascii="Times New Roman" w:hAnsi="Times New Roman" w:cs="Times New Roman"/>
          <w:color w:val="auto"/>
          <w:u w:val="single"/>
        </w:rPr>
        <w:t>外运至</w:t>
      </w:r>
      <w:r>
        <w:rPr>
          <w:rFonts w:hint="default" w:ascii="Times New Roman" w:hAnsi="Times New Roman" w:cs="Times New Roman"/>
          <w:color w:val="auto"/>
          <w:u w:val="single"/>
          <w:lang w:eastAsia="zh-CN"/>
        </w:rPr>
        <w:t>永顺县</w:t>
      </w:r>
      <w:r>
        <w:rPr>
          <w:rFonts w:hint="default" w:ascii="Times New Roman" w:hAnsi="Times New Roman" w:cs="Times New Roman"/>
          <w:color w:val="auto"/>
          <w:u w:val="single"/>
        </w:rPr>
        <w:t>生活垃圾填埋场填埋。</w:t>
      </w:r>
    </w:p>
    <w:p>
      <w:pPr>
        <w:ind w:firstLine="480"/>
        <w:jc w:val="both"/>
        <w:rPr>
          <w:rFonts w:hint="eastAsia"/>
          <w:color w:val="auto"/>
          <w:kern w:val="0"/>
          <w:u w:val="single"/>
        </w:rPr>
      </w:pPr>
      <w:r>
        <w:rPr>
          <w:color w:val="auto"/>
          <w:kern w:val="0"/>
          <w:u w:val="single"/>
        </w:rPr>
        <w:t>（</w:t>
      </w:r>
      <w:r>
        <w:rPr>
          <w:rFonts w:hint="eastAsia"/>
          <w:color w:val="auto"/>
          <w:kern w:val="0"/>
          <w:u w:val="single"/>
        </w:rPr>
        <w:t>2</w:t>
      </w:r>
      <w:r>
        <w:rPr>
          <w:color w:val="auto"/>
          <w:kern w:val="0"/>
          <w:u w:val="single"/>
        </w:rPr>
        <w:t>）工艺污泥</w:t>
      </w:r>
    </w:p>
    <w:p>
      <w:pPr>
        <w:pStyle w:val="3"/>
        <w:wordWrap w:val="0"/>
        <w:ind w:left="0" w:firstLine="480" w:firstLineChars="200"/>
        <w:jc w:val="both"/>
        <w:rPr>
          <w:rFonts w:hint="default" w:ascii="Times New Roman" w:hAnsi="Times New Roman" w:cs="Times New Roman"/>
          <w:color w:val="auto"/>
          <w:kern w:val="0"/>
          <w:u w:val="single"/>
        </w:rPr>
      </w:pPr>
      <w:r>
        <w:rPr>
          <w:rFonts w:hint="default" w:ascii="Times New Roman" w:hAnsi="Times New Roman" w:cs="Times New Roman"/>
          <w:color w:val="auto"/>
          <w:kern w:val="0"/>
          <w:u w:val="single"/>
        </w:rPr>
        <w:t>储存在</w:t>
      </w:r>
      <w:r>
        <w:rPr>
          <w:rFonts w:hint="default" w:ascii="Times New Roman" w:hAnsi="Times New Roman" w:cs="Times New Roman"/>
          <w:color w:val="auto"/>
          <w:kern w:val="0"/>
          <w:u w:val="single"/>
          <w:lang w:eastAsia="zh-CN"/>
        </w:rPr>
        <w:t>污泥</w:t>
      </w:r>
      <w:r>
        <w:rPr>
          <w:rFonts w:hint="default" w:ascii="Times New Roman" w:hAnsi="Times New Roman" w:cs="Times New Roman"/>
          <w:color w:val="auto"/>
          <w:kern w:val="0"/>
          <w:u w:val="single"/>
        </w:rPr>
        <w:t>池的剩余污泥</w:t>
      </w:r>
      <w:r>
        <w:rPr>
          <w:rFonts w:hint="default" w:ascii="Times New Roman" w:hAnsi="Times New Roman" w:cs="Times New Roman"/>
          <w:color w:val="auto"/>
          <w:kern w:val="0"/>
          <w:sz w:val="24"/>
          <w:szCs w:val="24"/>
          <w:u w:val="single"/>
        </w:rPr>
        <w:t>通过叠螺脱水机进行</w:t>
      </w:r>
      <w:r>
        <w:rPr>
          <w:rFonts w:hint="default" w:ascii="Times New Roman" w:hAnsi="Times New Roman" w:cs="Times New Roman"/>
          <w:color w:val="auto"/>
          <w:kern w:val="0"/>
          <w:u w:val="single"/>
        </w:rPr>
        <w:t>污泥浓缩脱水，污泥浓缩脱水过程中需投加高分子有机絮凝剂PAM</w:t>
      </w:r>
      <w:r>
        <w:rPr>
          <w:rFonts w:hint="default" w:ascii="Times New Roman" w:hAnsi="Times New Roman" w:cs="Times New Roman"/>
          <w:color w:val="auto"/>
          <w:kern w:val="0"/>
          <w:u w:val="single"/>
          <w:lang w:eastAsia="zh-CN"/>
        </w:rPr>
        <w:t>、</w:t>
      </w:r>
      <w:r>
        <w:rPr>
          <w:rFonts w:hint="default" w:ascii="Times New Roman" w:hAnsi="Times New Roman" w:cs="Times New Roman"/>
          <w:color w:val="auto"/>
          <w:kern w:val="0"/>
          <w:u w:val="single"/>
          <w:lang w:val="en-US" w:eastAsia="zh-CN"/>
        </w:rPr>
        <w:t>PAC</w:t>
      </w:r>
      <w:r>
        <w:rPr>
          <w:rFonts w:hint="default" w:ascii="Times New Roman" w:hAnsi="Times New Roman" w:cs="Times New Roman"/>
          <w:color w:val="auto"/>
          <w:kern w:val="0"/>
          <w:u w:val="single"/>
        </w:rPr>
        <w:t>。类比同类型城市生活污水处理厂城北污水处理厂污泥产生量：污泥每天产生量（含水率</w:t>
      </w:r>
      <w:r>
        <w:rPr>
          <w:rFonts w:hint="default" w:ascii="Times New Roman" w:hAnsi="Times New Roman" w:cs="Times New Roman"/>
          <w:color w:val="auto"/>
          <w:kern w:val="0"/>
          <w:u w:val="single"/>
          <w:lang w:val="en-US" w:eastAsia="zh-CN"/>
        </w:rPr>
        <w:t>99</w:t>
      </w:r>
      <w:r>
        <w:rPr>
          <w:rFonts w:hint="default" w:ascii="Times New Roman" w:hAnsi="Times New Roman" w:cs="Times New Roman"/>
          <w:color w:val="auto"/>
          <w:kern w:val="0"/>
          <w:u w:val="single"/>
        </w:rPr>
        <w:t>%）约为3.57t/10</w:t>
      </w:r>
      <w:r>
        <w:rPr>
          <w:rFonts w:hint="default" w:ascii="Times New Roman" w:hAnsi="Times New Roman" w:cs="Times New Roman"/>
          <w:color w:val="auto"/>
          <w:kern w:val="0"/>
          <w:u w:val="single"/>
          <w:vertAlign w:val="superscript"/>
        </w:rPr>
        <w:t>4</w:t>
      </w:r>
      <w:r>
        <w:rPr>
          <w:rFonts w:hint="default" w:ascii="Times New Roman" w:hAnsi="Times New Roman" w:cs="Times New Roman"/>
          <w:color w:val="auto"/>
          <w:kern w:val="0"/>
          <w:u w:val="single"/>
        </w:rPr>
        <w:t>m</w:t>
      </w:r>
      <w:r>
        <w:rPr>
          <w:rFonts w:hint="default" w:ascii="Times New Roman" w:hAnsi="Times New Roman" w:cs="Times New Roman"/>
          <w:color w:val="auto"/>
          <w:kern w:val="0"/>
          <w:u w:val="single"/>
          <w:vertAlign w:val="superscript"/>
        </w:rPr>
        <w:t>3</w:t>
      </w:r>
      <w:r>
        <w:rPr>
          <w:rFonts w:hint="default" w:ascii="Times New Roman" w:hAnsi="Times New Roman" w:cs="Times New Roman"/>
          <w:color w:val="auto"/>
          <w:kern w:val="0"/>
          <w:u w:val="single"/>
        </w:rPr>
        <w:t xml:space="preserve"> 污水。本项目</w:t>
      </w:r>
      <w:r>
        <w:rPr>
          <w:rFonts w:hint="eastAsia" w:cs="Times New Roman"/>
          <w:color w:val="auto"/>
          <w:kern w:val="0"/>
          <w:u w:val="single"/>
          <w:lang w:eastAsia="zh-CN"/>
        </w:rPr>
        <w:t>一期工程</w:t>
      </w:r>
      <w:r>
        <w:rPr>
          <w:rFonts w:hint="default" w:ascii="Times New Roman" w:hAnsi="Times New Roman" w:cs="Times New Roman"/>
          <w:color w:val="auto"/>
          <w:kern w:val="0"/>
          <w:u w:val="single"/>
        </w:rPr>
        <w:t>污水规模为</w:t>
      </w:r>
      <w:r>
        <w:rPr>
          <w:rFonts w:hint="default" w:ascii="Times New Roman" w:hAnsi="Times New Roman" w:cs="Times New Roman"/>
          <w:color w:val="auto"/>
          <w:kern w:val="0"/>
          <w:u w:val="single"/>
          <w:lang w:val="en-US" w:eastAsia="zh-CN"/>
        </w:rPr>
        <w:t>400</w:t>
      </w:r>
      <w:r>
        <w:rPr>
          <w:rFonts w:hint="default" w:ascii="Times New Roman" w:hAnsi="Times New Roman" w:cs="Times New Roman"/>
          <w:color w:val="auto"/>
          <w:kern w:val="0"/>
          <w:u w:val="single"/>
        </w:rPr>
        <w:t>m</w:t>
      </w:r>
      <w:r>
        <w:rPr>
          <w:rFonts w:hint="default" w:ascii="Times New Roman" w:hAnsi="Times New Roman" w:cs="Times New Roman"/>
          <w:color w:val="auto"/>
          <w:kern w:val="0"/>
          <w:u w:val="single"/>
          <w:vertAlign w:val="superscript"/>
        </w:rPr>
        <w:t>3</w:t>
      </w:r>
      <w:r>
        <w:rPr>
          <w:rFonts w:hint="default" w:ascii="Times New Roman" w:hAnsi="Times New Roman" w:cs="Times New Roman"/>
          <w:color w:val="auto"/>
          <w:kern w:val="0"/>
          <w:u w:val="single"/>
        </w:rPr>
        <w:t>/d，则</w:t>
      </w:r>
      <w:r>
        <w:rPr>
          <w:rFonts w:hint="eastAsia" w:ascii="Times New Roman" w:hAnsi="Times New Roman" w:cs="Times New Roman"/>
          <w:color w:val="auto"/>
          <w:kern w:val="0"/>
          <w:u w:val="single"/>
          <w:lang w:eastAsia="zh-CN"/>
        </w:rPr>
        <w:t>一期</w:t>
      </w:r>
      <w:r>
        <w:rPr>
          <w:rFonts w:hint="default" w:ascii="Times New Roman" w:hAnsi="Times New Roman" w:cs="Times New Roman"/>
          <w:color w:val="auto"/>
          <w:kern w:val="0"/>
          <w:u w:val="single"/>
        </w:rPr>
        <w:t>污泥（含水率</w:t>
      </w:r>
      <w:r>
        <w:rPr>
          <w:rFonts w:hint="default" w:ascii="Times New Roman" w:hAnsi="Times New Roman" w:cs="Times New Roman"/>
          <w:color w:val="auto"/>
          <w:kern w:val="0"/>
          <w:u w:val="single"/>
          <w:lang w:val="en-US" w:eastAsia="zh-CN"/>
        </w:rPr>
        <w:t>99</w:t>
      </w:r>
      <w:r>
        <w:rPr>
          <w:rFonts w:hint="default" w:ascii="Times New Roman" w:hAnsi="Times New Roman" w:cs="Times New Roman"/>
          <w:color w:val="auto"/>
          <w:kern w:val="0"/>
          <w:u w:val="single"/>
        </w:rPr>
        <w:t>%）产生量为</w:t>
      </w:r>
      <w:r>
        <w:rPr>
          <w:rFonts w:hint="default" w:ascii="Times New Roman" w:hAnsi="Times New Roman" w:cs="Times New Roman"/>
          <w:color w:val="auto"/>
          <w:kern w:val="0"/>
          <w:u w:val="single"/>
          <w:lang w:val="en-US" w:eastAsia="zh-CN"/>
        </w:rPr>
        <w:t>142.80kg</w:t>
      </w:r>
      <w:r>
        <w:rPr>
          <w:rFonts w:hint="default" w:ascii="Times New Roman" w:hAnsi="Times New Roman" w:cs="Times New Roman"/>
          <w:color w:val="auto"/>
          <w:kern w:val="0"/>
          <w:u w:val="single"/>
        </w:rPr>
        <w:t>/d</w:t>
      </w:r>
      <w:r>
        <w:rPr>
          <w:rFonts w:hint="default" w:ascii="Times New Roman" w:hAnsi="Times New Roman" w:cs="Times New Roman"/>
          <w:color w:val="auto"/>
          <w:kern w:val="0"/>
          <w:u w:val="single"/>
          <w:lang w:eastAsia="zh-CN"/>
        </w:rPr>
        <w:t>（</w:t>
      </w:r>
      <w:r>
        <w:rPr>
          <w:rFonts w:hint="default" w:ascii="Times New Roman" w:hAnsi="Times New Roman" w:cs="Times New Roman"/>
          <w:color w:val="auto"/>
          <w:kern w:val="0"/>
          <w:u w:val="single"/>
          <w:lang w:val="en-US" w:eastAsia="zh-CN"/>
        </w:rPr>
        <w:t>52.1220</w:t>
      </w:r>
      <w:r>
        <w:rPr>
          <w:rFonts w:hint="default" w:ascii="Times New Roman" w:hAnsi="Times New Roman" w:cs="Times New Roman"/>
          <w:color w:val="auto"/>
          <w:kern w:val="0"/>
          <w:u w:val="single"/>
        </w:rPr>
        <w:t>t/a</w:t>
      </w:r>
      <w:r>
        <w:rPr>
          <w:rFonts w:hint="default" w:ascii="Times New Roman" w:hAnsi="Times New Roman" w:cs="Times New Roman"/>
          <w:color w:val="auto"/>
          <w:kern w:val="0"/>
          <w:u w:val="single"/>
          <w:lang w:eastAsia="zh-CN"/>
        </w:rPr>
        <w:t>，其中干物质</w:t>
      </w:r>
      <w:r>
        <w:rPr>
          <w:rFonts w:hint="default" w:ascii="Times New Roman" w:hAnsi="Times New Roman" w:cs="Times New Roman"/>
          <w:color w:val="auto"/>
          <w:kern w:val="0"/>
          <w:u w:val="single"/>
          <w:lang w:val="en-US" w:eastAsia="zh-CN"/>
        </w:rPr>
        <w:t>1.4kg/d、0.5110</w:t>
      </w:r>
      <w:r>
        <w:rPr>
          <w:rFonts w:hint="default" w:ascii="Times New Roman" w:hAnsi="Times New Roman" w:cs="Times New Roman"/>
          <w:color w:val="auto"/>
          <w:kern w:val="0"/>
          <w:u w:val="single"/>
        </w:rPr>
        <w:t>t/a</w:t>
      </w:r>
      <w:r>
        <w:rPr>
          <w:rFonts w:hint="default" w:ascii="Times New Roman" w:hAnsi="Times New Roman" w:cs="Times New Roman"/>
          <w:color w:val="auto"/>
          <w:kern w:val="0"/>
          <w:u w:val="single"/>
          <w:lang w:eastAsia="zh-CN"/>
        </w:rPr>
        <w:t>），污泥经叠螺式污泥脱水机脱水后含水率为</w:t>
      </w:r>
      <w:r>
        <w:rPr>
          <w:rFonts w:hint="default" w:ascii="Times New Roman" w:hAnsi="Times New Roman" w:cs="Times New Roman"/>
          <w:color w:val="auto"/>
          <w:kern w:val="0"/>
          <w:u w:val="single"/>
          <w:lang w:val="en-US" w:eastAsia="zh-CN"/>
        </w:rPr>
        <w:t>80%，故</w:t>
      </w:r>
      <w:r>
        <w:rPr>
          <w:rFonts w:hint="eastAsia" w:ascii="Times New Roman" w:hAnsi="Times New Roman" w:cs="Times New Roman"/>
          <w:color w:val="auto"/>
          <w:kern w:val="0"/>
          <w:u w:val="single"/>
          <w:lang w:val="en-US" w:eastAsia="zh-CN"/>
        </w:rPr>
        <w:t>一期</w:t>
      </w:r>
      <w:r>
        <w:rPr>
          <w:rFonts w:hint="default" w:ascii="Times New Roman" w:hAnsi="Times New Roman" w:cs="Times New Roman"/>
          <w:color w:val="auto"/>
          <w:kern w:val="0"/>
          <w:u w:val="single"/>
          <w:lang w:val="en-US" w:eastAsia="zh-CN"/>
        </w:rPr>
        <w:t>污泥最终产生量为7.00kg</w:t>
      </w:r>
      <w:r>
        <w:rPr>
          <w:rFonts w:hint="default" w:ascii="Times New Roman" w:hAnsi="Times New Roman" w:cs="Times New Roman"/>
          <w:color w:val="auto"/>
          <w:kern w:val="0"/>
          <w:u w:val="single"/>
        </w:rPr>
        <w:t>/d</w:t>
      </w:r>
      <w:r>
        <w:rPr>
          <w:rFonts w:hint="default" w:ascii="Times New Roman" w:hAnsi="Times New Roman" w:cs="Times New Roman"/>
          <w:color w:val="auto"/>
          <w:kern w:val="0"/>
          <w:u w:val="single"/>
          <w:lang w:eastAsia="zh-CN"/>
        </w:rPr>
        <w:t>（</w:t>
      </w:r>
      <w:r>
        <w:rPr>
          <w:rFonts w:hint="default" w:ascii="Times New Roman" w:hAnsi="Times New Roman" w:cs="Times New Roman"/>
          <w:color w:val="auto"/>
          <w:kern w:val="0"/>
          <w:u w:val="single"/>
          <w:lang w:val="en-US" w:eastAsia="zh-CN"/>
        </w:rPr>
        <w:t>2.5550</w:t>
      </w:r>
      <w:r>
        <w:rPr>
          <w:rFonts w:hint="default" w:ascii="Times New Roman" w:hAnsi="Times New Roman" w:cs="Times New Roman"/>
          <w:color w:val="auto"/>
          <w:kern w:val="0"/>
          <w:u w:val="single"/>
        </w:rPr>
        <w:t>t/a</w:t>
      </w:r>
      <w:r>
        <w:rPr>
          <w:rFonts w:hint="default" w:ascii="Times New Roman" w:hAnsi="Times New Roman" w:cs="Times New Roman"/>
          <w:color w:val="auto"/>
          <w:kern w:val="0"/>
          <w:u w:val="single"/>
          <w:lang w:eastAsia="zh-CN"/>
        </w:rPr>
        <w:t>，其中干物质</w:t>
      </w:r>
      <w:r>
        <w:rPr>
          <w:rFonts w:hint="default" w:ascii="Times New Roman" w:hAnsi="Times New Roman" w:cs="Times New Roman"/>
          <w:color w:val="auto"/>
          <w:kern w:val="0"/>
          <w:u w:val="single"/>
          <w:lang w:val="en-US" w:eastAsia="zh-CN"/>
        </w:rPr>
        <w:t>1.4kg/d、0.5110</w:t>
      </w:r>
      <w:r>
        <w:rPr>
          <w:rFonts w:hint="default" w:ascii="Times New Roman" w:hAnsi="Times New Roman" w:cs="Times New Roman"/>
          <w:color w:val="auto"/>
          <w:kern w:val="0"/>
          <w:u w:val="single"/>
        </w:rPr>
        <w:t>t/a</w:t>
      </w:r>
      <w:r>
        <w:rPr>
          <w:rFonts w:hint="default" w:ascii="Times New Roman" w:hAnsi="Times New Roman" w:cs="Times New Roman"/>
          <w:color w:val="auto"/>
          <w:kern w:val="0"/>
          <w:u w:val="single"/>
          <w:lang w:eastAsia="zh-CN"/>
        </w:rPr>
        <w:t>）</w:t>
      </w:r>
      <w:r>
        <w:rPr>
          <w:rFonts w:hint="default" w:ascii="Times New Roman" w:hAnsi="Times New Roman" w:cs="Times New Roman"/>
          <w:color w:val="auto"/>
          <w:kern w:val="0"/>
          <w:u w:val="single"/>
        </w:rPr>
        <w:t>。本项目</w:t>
      </w:r>
      <w:r>
        <w:rPr>
          <w:rFonts w:hint="default" w:ascii="Times New Roman" w:hAnsi="Times New Roman" w:cs="Times New Roman"/>
          <w:color w:val="auto"/>
          <w:kern w:val="0"/>
          <w:u w:val="single"/>
          <w:lang w:eastAsia="zh-CN"/>
        </w:rPr>
        <w:t>二期建成后</w:t>
      </w:r>
      <w:r>
        <w:rPr>
          <w:rFonts w:hint="default" w:ascii="Times New Roman" w:hAnsi="Times New Roman" w:cs="Times New Roman"/>
          <w:color w:val="auto"/>
          <w:kern w:val="0"/>
          <w:u w:val="single"/>
        </w:rPr>
        <w:t>日处理规模</w:t>
      </w:r>
      <w:r>
        <w:rPr>
          <w:rFonts w:hint="default" w:ascii="Times New Roman" w:hAnsi="Times New Roman" w:cs="Times New Roman"/>
          <w:color w:val="auto"/>
          <w:kern w:val="0"/>
          <w:u w:val="single"/>
          <w:lang w:val="en-US" w:eastAsia="zh-CN"/>
        </w:rPr>
        <w:t>1000</w:t>
      </w:r>
      <w:r>
        <w:rPr>
          <w:rFonts w:hint="default" w:ascii="Times New Roman" w:hAnsi="Times New Roman" w:cs="Times New Roman"/>
          <w:color w:val="auto"/>
          <w:kern w:val="0"/>
          <w:u w:val="single"/>
        </w:rPr>
        <w:t>m</w:t>
      </w:r>
      <w:r>
        <w:rPr>
          <w:rFonts w:hint="default" w:ascii="Times New Roman" w:hAnsi="Times New Roman" w:cs="Times New Roman"/>
          <w:color w:val="auto"/>
          <w:kern w:val="0"/>
          <w:u w:val="single"/>
          <w:vertAlign w:val="superscript"/>
        </w:rPr>
        <w:t>3</w:t>
      </w:r>
      <w:r>
        <w:rPr>
          <w:rFonts w:hint="default" w:ascii="Times New Roman" w:hAnsi="Times New Roman" w:cs="Times New Roman"/>
          <w:color w:val="auto"/>
          <w:kern w:val="0"/>
          <w:u w:val="single"/>
        </w:rPr>
        <w:t>/d</w:t>
      </w:r>
      <w:r>
        <w:rPr>
          <w:rFonts w:hint="default" w:ascii="Times New Roman" w:hAnsi="Times New Roman" w:cs="Times New Roman"/>
          <w:color w:val="auto"/>
          <w:kern w:val="0"/>
          <w:u w:val="single"/>
          <w:lang w:eastAsia="zh-CN"/>
        </w:rPr>
        <w:t>，</w:t>
      </w:r>
      <w:r>
        <w:rPr>
          <w:rFonts w:hint="default" w:ascii="Times New Roman" w:hAnsi="Times New Roman" w:cs="Times New Roman"/>
          <w:color w:val="auto"/>
          <w:kern w:val="0"/>
          <w:u w:val="single"/>
        </w:rPr>
        <w:t>则</w:t>
      </w:r>
      <w:r>
        <w:rPr>
          <w:rFonts w:hint="eastAsia" w:ascii="Times New Roman" w:hAnsi="Times New Roman" w:cs="Times New Roman"/>
          <w:color w:val="auto"/>
          <w:kern w:val="0"/>
          <w:u w:val="single"/>
          <w:lang w:eastAsia="zh-CN"/>
        </w:rPr>
        <w:t>二期</w:t>
      </w:r>
      <w:r>
        <w:rPr>
          <w:rFonts w:hint="default" w:ascii="Times New Roman" w:hAnsi="Times New Roman" w:cs="Times New Roman"/>
          <w:color w:val="auto"/>
          <w:kern w:val="0"/>
          <w:u w:val="single"/>
        </w:rPr>
        <w:t>污泥（含水率</w:t>
      </w:r>
      <w:r>
        <w:rPr>
          <w:rFonts w:hint="default" w:ascii="Times New Roman" w:hAnsi="Times New Roman" w:cs="Times New Roman"/>
          <w:color w:val="auto"/>
          <w:kern w:val="0"/>
          <w:u w:val="single"/>
          <w:lang w:val="en-US" w:eastAsia="zh-CN"/>
        </w:rPr>
        <w:t>99</w:t>
      </w:r>
      <w:r>
        <w:rPr>
          <w:rFonts w:hint="default" w:ascii="Times New Roman" w:hAnsi="Times New Roman" w:cs="Times New Roman"/>
          <w:color w:val="auto"/>
          <w:kern w:val="0"/>
          <w:u w:val="single"/>
        </w:rPr>
        <w:t>%）产生量为</w:t>
      </w:r>
      <w:r>
        <w:rPr>
          <w:rFonts w:hint="default" w:ascii="Times New Roman" w:hAnsi="Times New Roman" w:cs="Times New Roman"/>
          <w:color w:val="auto"/>
          <w:kern w:val="0"/>
          <w:u w:val="single"/>
          <w:lang w:val="en-US" w:eastAsia="zh-CN"/>
        </w:rPr>
        <w:t>0.357</w:t>
      </w:r>
      <w:r>
        <w:rPr>
          <w:rFonts w:hint="default" w:ascii="Times New Roman" w:hAnsi="Times New Roman" w:cs="Times New Roman"/>
          <w:color w:val="auto"/>
          <w:kern w:val="0"/>
          <w:u w:val="single"/>
        </w:rPr>
        <w:t>t/d</w:t>
      </w:r>
      <w:r>
        <w:rPr>
          <w:rFonts w:hint="default" w:ascii="Times New Roman" w:hAnsi="Times New Roman" w:cs="Times New Roman"/>
          <w:color w:val="auto"/>
          <w:kern w:val="0"/>
          <w:u w:val="single"/>
          <w:lang w:eastAsia="zh-CN"/>
        </w:rPr>
        <w:t>（</w:t>
      </w:r>
      <w:r>
        <w:rPr>
          <w:rFonts w:hint="default" w:ascii="Times New Roman" w:hAnsi="Times New Roman" w:cs="Times New Roman"/>
          <w:color w:val="auto"/>
          <w:kern w:val="0"/>
          <w:u w:val="single"/>
          <w:lang w:val="en-US" w:eastAsia="zh-CN"/>
        </w:rPr>
        <w:t>130.305</w:t>
      </w:r>
      <w:r>
        <w:rPr>
          <w:rFonts w:hint="default" w:ascii="Times New Roman" w:hAnsi="Times New Roman" w:cs="Times New Roman"/>
          <w:color w:val="auto"/>
          <w:kern w:val="0"/>
          <w:u w:val="single"/>
        </w:rPr>
        <w:t>t/a</w:t>
      </w:r>
      <w:r>
        <w:rPr>
          <w:rFonts w:hint="default" w:ascii="Times New Roman" w:hAnsi="Times New Roman" w:cs="Times New Roman"/>
          <w:color w:val="auto"/>
          <w:kern w:val="0"/>
          <w:u w:val="single"/>
          <w:lang w:eastAsia="zh-CN"/>
        </w:rPr>
        <w:t>，其中干物质</w:t>
      </w:r>
      <w:r>
        <w:rPr>
          <w:rFonts w:hint="default" w:ascii="Times New Roman" w:hAnsi="Times New Roman" w:cs="Times New Roman"/>
          <w:color w:val="auto"/>
          <w:kern w:val="0"/>
          <w:u w:val="single"/>
          <w:lang w:val="en-US" w:eastAsia="zh-CN"/>
        </w:rPr>
        <w:t>3.57kg/d、1.3031</w:t>
      </w:r>
      <w:r>
        <w:rPr>
          <w:rFonts w:hint="default" w:ascii="Times New Roman" w:hAnsi="Times New Roman" w:cs="Times New Roman"/>
          <w:color w:val="auto"/>
          <w:kern w:val="0"/>
          <w:u w:val="single"/>
        </w:rPr>
        <w:t>t/a</w:t>
      </w:r>
      <w:r>
        <w:rPr>
          <w:rFonts w:hint="default" w:ascii="Times New Roman" w:hAnsi="Times New Roman" w:cs="Times New Roman"/>
          <w:color w:val="auto"/>
          <w:kern w:val="0"/>
          <w:u w:val="single"/>
          <w:lang w:eastAsia="zh-CN"/>
        </w:rPr>
        <w:t>），经叠螺脱水机干化后含水率为</w:t>
      </w:r>
      <w:r>
        <w:rPr>
          <w:rFonts w:hint="default" w:ascii="Times New Roman" w:hAnsi="Times New Roman" w:cs="Times New Roman"/>
          <w:color w:val="auto"/>
          <w:kern w:val="0"/>
          <w:u w:val="single"/>
          <w:lang w:val="en-US" w:eastAsia="zh-CN"/>
        </w:rPr>
        <w:t>80%，</w:t>
      </w:r>
      <w:r>
        <w:rPr>
          <w:rFonts w:hint="eastAsia" w:ascii="Times New Roman" w:hAnsi="Times New Roman" w:cs="Times New Roman"/>
          <w:color w:val="auto"/>
          <w:kern w:val="0"/>
          <w:u w:val="single"/>
          <w:lang w:val="en-US" w:eastAsia="zh-CN"/>
        </w:rPr>
        <w:t>二期</w:t>
      </w:r>
      <w:r>
        <w:rPr>
          <w:rFonts w:hint="default" w:ascii="Times New Roman" w:hAnsi="Times New Roman" w:cs="Times New Roman"/>
          <w:color w:val="auto"/>
          <w:kern w:val="0"/>
          <w:u w:val="single"/>
          <w:lang w:val="en-US" w:eastAsia="zh-CN"/>
        </w:rPr>
        <w:t>干化后污泥产生量为17.85kg</w:t>
      </w:r>
      <w:r>
        <w:rPr>
          <w:rFonts w:hint="default" w:ascii="Times New Roman" w:hAnsi="Times New Roman" w:cs="Times New Roman"/>
          <w:color w:val="auto"/>
          <w:kern w:val="0"/>
          <w:u w:val="single"/>
        </w:rPr>
        <w:t>/d</w:t>
      </w:r>
      <w:r>
        <w:rPr>
          <w:rFonts w:hint="default" w:ascii="Times New Roman" w:hAnsi="Times New Roman" w:cs="Times New Roman"/>
          <w:color w:val="auto"/>
          <w:kern w:val="0"/>
          <w:u w:val="single"/>
          <w:lang w:eastAsia="zh-CN"/>
        </w:rPr>
        <w:t>（</w:t>
      </w:r>
      <w:r>
        <w:rPr>
          <w:rFonts w:hint="default" w:ascii="Times New Roman" w:hAnsi="Times New Roman" w:cs="Times New Roman"/>
          <w:color w:val="auto"/>
          <w:kern w:val="0"/>
          <w:u w:val="single"/>
          <w:lang w:val="en-US" w:eastAsia="zh-CN"/>
        </w:rPr>
        <w:t>6.5153</w:t>
      </w:r>
      <w:r>
        <w:rPr>
          <w:rFonts w:hint="default" w:ascii="Times New Roman" w:hAnsi="Times New Roman" w:cs="Times New Roman"/>
          <w:color w:val="auto"/>
          <w:kern w:val="0"/>
          <w:u w:val="single"/>
        </w:rPr>
        <w:t>t/a</w:t>
      </w:r>
      <w:r>
        <w:rPr>
          <w:rFonts w:hint="default" w:ascii="Times New Roman" w:hAnsi="Times New Roman" w:cs="Times New Roman"/>
          <w:color w:val="auto"/>
          <w:kern w:val="0"/>
          <w:u w:val="single"/>
          <w:lang w:eastAsia="zh-CN"/>
        </w:rPr>
        <w:t>，其中干物质</w:t>
      </w:r>
      <w:r>
        <w:rPr>
          <w:rFonts w:hint="default" w:ascii="Times New Roman" w:hAnsi="Times New Roman" w:cs="Times New Roman"/>
          <w:color w:val="auto"/>
          <w:kern w:val="0"/>
          <w:u w:val="single"/>
          <w:lang w:val="en-US" w:eastAsia="zh-CN"/>
        </w:rPr>
        <w:t>3.57kg/d、1.3031</w:t>
      </w:r>
      <w:r>
        <w:rPr>
          <w:rFonts w:hint="default" w:ascii="Times New Roman" w:hAnsi="Times New Roman" w:cs="Times New Roman"/>
          <w:color w:val="auto"/>
          <w:kern w:val="0"/>
          <w:u w:val="single"/>
        </w:rPr>
        <w:t>t/a</w:t>
      </w:r>
      <w:r>
        <w:rPr>
          <w:rFonts w:hint="default" w:ascii="Times New Roman" w:hAnsi="Times New Roman" w:cs="Times New Roman"/>
          <w:color w:val="auto"/>
          <w:kern w:val="0"/>
          <w:u w:val="single"/>
          <w:lang w:eastAsia="zh-CN"/>
        </w:rPr>
        <w:t>）</w:t>
      </w:r>
      <w:r>
        <w:rPr>
          <w:rFonts w:hint="default" w:ascii="Times New Roman" w:hAnsi="Times New Roman" w:cs="Times New Roman"/>
          <w:color w:val="auto"/>
          <w:kern w:val="0"/>
          <w:u w:val="single"/>
        </w:rPr>
        <w:t>。</w:t>
      </w:r>
    </w:p>
    <w:p>
      <w:pPr>
        <w:pStyle w:val="3"/>
        <w:wordWrap w:val="0"/>
        <w:ind w:left="0" w:firstLine="480" w:firstLineChars="200"/>
        <w:jc w:val="both"/>
        <w:rPr>
          <w:color w:val="auto"/>
          <w:u w:val="none"/>
          <w:lang w:eastAsia="zh-CN"/>
        </w:rPr>
      </w:pPr>
      <w:r>
        <w:rPr>
          <w:rFonts w:hint="eastAsia"/>
          <w:color w:val="auto"/>
          <w:u w:val="single"/>
          <w:lang w:eastAsia="zh-CN"/>
        </w:rPr>
        <w:t>生化处理系统剩余污泥脱水后的污泥首先建设单位应按照《危险废物鉴别标准浸</w:t>
      </w:r>
      <w:r>
        <w:rPr>
          <w:rFonts w:hint="default" w:ascii="Times New Roman" w:hAnsi="Times New Roman" w:cs="Times New Roman"/>
          <w:color w:val="auto"/>
          <w:u w:val="single"/>
          <w:lang w:eastAsia="zh-CN"/>
        </w:rPr>
        <w:t>出毒性鉴别》（GB5085.3-2007）进</w:t>
      </w:r>
      <w:r>
        <w:rPr>
          <w:rFonts w:hint="eastAsia"/>
          <w:color w:val="auto"/>
          <w:u w:val="single"/>
          <w:lang w:eastAsia="zh-CN"/>
        </w:rPr>
        <w:t>行浸出实验，确认污泥性质，如属于危险废物，运营单位应按照危险废物要求进行管理，并委托具有相应资质单位进行安全处置；如鉴别属于一般固废，则可</w:t>
      </w:r>
      <w:r>
        <w:rPr>
          <w:color w:val="auto"/>
          <w:u w:val="single"/>
          <w:lang w:eastAsia="zh-CN"/>
        </w:rPr>
        <w:t>运至</w:t>
      </w:r>
      <w:r>
        <w:rPr>
          <w:rFonts w:hint="eastAsia"/>
          <w:color w:val="auto"/>
          <w:u w:val="single"/>
          <w:lang w:eastAsia="zh-CN"/>
        </w:rPr>
        <w:t>永顺县生活</w:t>
      </w:r>
      <w:r>
        <w:rPr>
          <w:color w:val="auto"/>
          <w:u w:val="single"/>
          <w:lang w:eastAsia="zh-CN"/>
        </w:rPr>
        <w:t>垃圾填埋场卫生填埋</w:t>
      </w:r>
      <w:r>
        <w:rPr>
          <w:rFonts w:hint="eastAsia"/>
          <w:color w:val="auto"/>
          <w:u w:val="single"/>
          <w:lang w:eastAsia="zh-CN"/>
        </w:rPr>
        <w:t>，本环评要求，建设方应在建设期提前设立危险废物暂存间，在进行无害化处理前进行暂存处理，暂存间设置需按照《危险废物贮存污染控</w:t>
      </w:r>
      <w:r>
        <w:rPr>
          <w:rFonts w:hint="default" w:ascii="Times New Roman" w:hAnsi="Times New Roman" w:cs="Times New Roman"/>
          <w:color w:val="auto"/>
          <w:u w:val="single"/>
          <w:lang w:eastAsia="zh-CN"/>
        </w:rPr>
        <w:t>制标准》（GB18579-2001）及2013年</w:t>
      </w:r>
      <w:r>
        <w:rPr>
          <w:rFonts w:hint="eastAsia"/>
          <w:color w:val="auto"/>
          <w:u w:val="single"/>
          <w:lang w:eastAsia="zh-CN"/>
        </w:rPr>
        <w:t>修改单中的相关要求进行设置，确保不会对外环境造成不良影响。</w:t>
      </w:r>
    </w:p>
    <w:p>
      <w:pPr>
        <w:widowControl w:val="0"/>
        <w:ind w:firstLine="480"/>
        <w:jc w:val="both"/>
        <w:rPr>
          <w:color w:val="auto"/>
          <w:kern w:val="0"/>
          <w:u w:val="none"/>
        </w:rPr>
      </w:pPr>
      <w:r>
        <w:rPr>
          <w:color w:val="auto"/>
          <w:kern w:val="0"/>
          <w:u w:val="none"/>
        </w:rPr>
        <w:t>本环评针对污泥运输过程中产生的扬尘</w:t>
      </w:r>
      <w:r>
        <w:rPr>
          <w:rFonts w:hint="eastAsia"/>
          <w:color w:val="auto"/>
          <w:kern w:val="0"/>
          <w:u w:val="none"/>
        </w:rPr>
        <w:t>、</w:t>
      </w:r>
      <w:r>
        <w:rPr>
          <w:color w:val="auto"/>
          <w:kern w:val="0"/>
          <w:u w:val="none"/>
        </w:rPr>
        <w:t>臭气提出以下措施</w:t>
      </w:r>
      <w:r>
        <w:rPr>
          <w:rFonts w:hint="eastAsia"/>
          <w:color w:val="auto"/>
          <w:kern w:val="0"/>
          <w:u w:val="none"/>
        </w:rPr>
        <w:t>：</w:t>
      </w:r>
    </w:p>
    <w:p>
      <w:pPr>
        <w:widowControl w:val="0"/>
        <w:ind w:firstLine="480"/>
        <w:jc w:val="both"/>
        <w:rPr>
          <w:color w:val="auto"/>
          <w:kern w:val="0"/>
          <w:u w:val="none"/>
        </w:rPr>
      </w:pPr>
      <w:r>
        <w:rPr>
          <w:rFonts w:hint="eastAsia"/>
          <w:color w:val="auto"/>
          <w:kern w:val="0"/>
          <w:u w:val="none"/>
        </w:rPr>
        <w:t>a)委托具有道路运输经营许可证及相关运营资质污泥运输单位进行外厂污泥收集运输；</w:t>
      </w:r>
    </w:p>
    <w:p>
      <w:pPr>
        <w:widowControl w:val="0"/>
        <w:ind w:firstLine="480"/>
        <w:jc w:val="both"/>
        <w:rPr>
          <w:color w:val="auto"/>
          <w:kern w:val="0"/>
          <w:u w:val="none"/>
        </w:rPr>
      </w:pPr>
      <w:r>
        <w:rPr>
          <w:rFonts w:hint="eastAsia"/>
          <w:color w:val="auto"/>
          <w:kern w:val="0"/>
          <w:u w:val="none"/>
        </w:rPr>
        <w:t>b)应采用防渗漏、防遗撒、无尖锐边角、易于装卸和清洁的专用密闭式污泥运输车辆进行运输，以有效防止恶臭逸散。运输车辆具有明显的严控废物警示标志。运输过程中全过程监控和管理，防止因裸露、散落或泄露造成二次污染；</w:t>
      </w:r>
    </w:p>
    <w:p>
      <w:pPr>
        <w:widowControl w:val="0"/>
        <w:ind w:firstLine="480"/>
        <w:jc w:val="both"/>
        <w:rPr>
          <w:rFonts w:hint="default" w:ascii="Times New Roman" w:hAnsi="Times New Roman" w:cs="Times New Roman"/>
          <w:color w:val="auto"/>
          <w:kern w:val="0"/>
          <w:u w:val="none"/>
        </w:rPr>
      </w:pPr>
      <w:r>
        <w:rPr>
          <w:rFonts w:hint="default" w:ascii="Times New Roman" w:hAnsi="Times New Roman" w:cs="Times New Roman"/>
          <w:color w:val="auto"/>
          <w:kern w:val="0"/>
          <w:u w:val="none"/>
        </w:rPr>
        <w:t>c)污泥收集入车后，应在装好污泥的运输车辆行驶前对污泥喷洒生物除臭液，能从源头抑制臭味产生；</w:t>
      </w:r>
    </w:p>
    <w:p>
      <w:pPr>
        <w:widowControl w:val="0"/>
        <w:ind w:firstLine="480"/>
        <w:jc w:val="both"/>
        <w:rPr>
          <w:color w:val="auto"/>
          <w:kern w:val="0"/>
          <w:u w:val="none"/>
        </w:rPr>
      </w:pPr>
      <w:r>
        <w:rPr>
          <w:rFonts w:hint="default" w:ascii="Times New Roman" w:hAnsi="Times New Roman" w:cs="Times New Roman"/>
          <w:color w:val="auto"/>
          <w:kern w:val="0"/>
          <w:u w:val="none"/>
        </w:rPr>
        <w:t>d)污</w:t>
      </w:r>
      <w:r>
        <w:rPr>
          <w:rFonts w:hint="eastAsia"/>
          <w:color w:val="auto"/>
          <w:kern w:val="0"/>
          <w:u w:val="none"/>
        </w:rPr>
        <w:t>泥运输按相关部门批准的路线和时间行驶，运输路线尽量避开人群密集区、交通集中区和居民住宅等环境敏感区；运送污泥的时间避开上下班、上下学、等交通高峰期，以减少污泥运输恶臭对周边敏感点的影响；</w:t>
      </w:r>
    </w:p>
    <w:p>
      <w:pPr>
        <w:widowControl w:val="0"/>
        <w:ind w:firstLine="480"/>
        <w:jc w:val="both"/>
        <w:rPr>
          <w:color w:val="auto"/>
          <w:kern w:val="0"/>
          <w:u w:val="none"/>
        </w:rPr>
      </w:pPr>
      <w:r>
        <w:rPr>
          <w:rFonts w:hint="eastAsia"/>
          <w:color w:val="auto"/>
          <w:kern w:val="0"/>
          <w:u w:val="none"/>
        </w:rPr>
        <w:t>e)运输途中不停靠和中转，严禁将污泥向环境中倾倒、丢弃、遗洒；</w:t>
      </w:r>
    </w:p>
    <w:p>
      <w:pPr>
        <w:widowControl w:val="0"/>
        <w:ind w:firstLine="480"/>
        <w:jc w:val="both"/>
        <w:rPr>
          <w:color w:val="auto"/>
          <w:kern w:val="0"/>
          <w:u w:val="none"/>
        </w:rPr>
      </w:pPr>
      <w:r>
        <w:rPr>
          <w:rFonts w:hint="eastAsia"/>
          <w:color w:val="auto"/>
          <w:kern w:val="0"/>
          <w:u w:val="none"/>
        </w:rPr>
        <w:t>f)所委托的污泥运输单位必须安排专职人员对污泥途径路段进行定时巡查。若污泥运输过程中发生污泥流失、泄漏、扩散时，污泥产生单位和污泥集中处置单位应当立即采取紧急处理措施，并及时向</w:t>
      </w:r>
      <w:r>
        <w:rPr>
          <w:rFonts w:hint="eastAsia"/>
          <w:color w:val="auto"/>
          <w:kern w:val="0"/>
          <w:u w:val="none"/>
          <w:lang w:eastAsia="zh-CN"/>
        </w:rPr>
        <w:t>县</w:t>
      </w:r>
      <w:r>
        <w:rPr>
          <w:rFonts w:hint="eastAsia"/>
          <w:color w:val="auto"/>
          <w:kern w:val="0"/>
          <w:u w:val="none"/>
        </w:rPr>
        <w:t>环保部门报告；</w:t>
      </w:r>
    </w:p>
    <w:p>
      <w:pPr>
        <w:widowControl w:val="0"/>
        <w:ind w:firstLine="480"/>
        <w:jc w:val="both"/>
        <w:rPr>
          <w:color w:val="auto"/>
          <w:kern w:val="0"/>
          <w:u w:val="none"/>
        </w:rPr>
      </w:pPr>
      <w:r>
        <w:rPr>
          <w:rFonts w:hint="eastAsia"/>
          <w:color w:val="auto"/>
          <w:kern w:val="0"/>
          <w:u w:val="none"/>
        </w:rPr>
        <w:t>g)运送污泥的专用车辆使用后，应当在污泥集中处置场所内及时进行清洁，对清洁产生的污染物妥善处理，防止二次污染；</w:t>
      </w:r>
    </w:p>
    <w:p>
      <w:pPr>
        <w:widowControl w:val="0"/>
        <w:ind w:firstLine="480"/>
        <w:jc w:val="both"/>
        <w:rPr>
          <w:color w:val="auto"/>
          <w:kern w:val="0"/>
          <w:u w:val="none"/>
        </w:rPr>
      </w:pPr>
      <w:r>
        <w:rPr>
          <w:color w:val="auto"/>
          <w:kern w:val="0"/>
          <w:u w:val="none"/>
        </w:rPr>
        <w:t>h</w:t>
      </w:r>
      <w:r>
        <w:rPr>
          <w:rFonts w:hint="eastAsia"/>
          <w:color w:val="auto"/>
          <w:kern w:val="0"/>
          <w:u w:val="none"/>
        </w:rPr>
        <w:t>）建立收运台账，严禁将污泥向环境中倾倒、丢弃、遗洒。</w:t>
      </w:r>
    </w:p>
    <w:p>
      <w:pPr>
        <w:pStyle w:val="3"/>
        <w:wordWrap w:val="0"/>
        <w:ind w:left="0" w:firstLine="480" w:firstLineChars="20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（3）员工生活固废</w:t>
      </w:r>
    </w:p>
    <w:p>
      <w:pPr>
        <w:pStyle w:val="3"/>
        <w:wordWrap w:val="0"/>
        <w:ind w:left="0" w:firstLine="480" w:firstLineChars="200"/>
        <w:jc w:val="both"/>
        <w:rPr>
          <w:rFonts w:hint="eastAsia" w:ascii="Times New Roman" w:hAnsi="Times New Roman" w:cs="Times New Roman"/>
          <w:color w:val="auto"/>
          <w:u w:val="single"/>
          <w:lang w:eastAsia="zh-CN"/>
        </w:rPr>
      </w:pPr>
      <w:r>
        <w:rPr>
          <w:rFonts w:hint="eastAsia" w:ascii="Times New Roman" w:hAnsi="Times New Roman" w:cs="Times New Roman"/>
          <w:color w:val="auto"/>
          <w:u w:val="single"/>
          <w:lang w:eastAsia="zh-CN"/>
        </w:rPr>
        <w:t>本项目一期运营期劳动定员为</w:t>
      </w:r>
      <w:r>
        <w:rPr>
          <w:rFonts w:hint="eastAsia" w:ascii="Times New Roman" w:hAnsi="Times New Roman" w:cs="Times New Roman"/>
          <w:color w:val="auto"/>
          <w:u w:val="single"/>
          <w:lang w:val="en-US" w:eastAsia="zh-CN"/>
        </w:rPr>
        <w:t>5</w:t>
      </w:r>
      <w:r>
        <w:rPr>
          <w:rFonts w:hint="eastAsia" w:ascii="Times New Roman" w:hAnsi="Times New Roman" w:cs="Times New Roman"/>
          <w:color w:val="auto"/>
          <w:u w:val="single"/>
          <w:lang w:eastAsia="zh-CN"/>
        </w:rPr>
        <w:t>人，二期不再新增劳动人员，生活垃圾产生量按每人每天0.38kg计，则生活垃圾产生量为</w:t>
      </w:r>
      <w:r>
        <w:rPr>
          <w:rFonts w:hint="eastAsia" w:ascii="Times New Roman" w:hAnsi="Times New Roman" w:cs="Times New Roman"/>
          <w:color w:val="auto"/>
          <w:u w:val="single"/>
          <w:lang w:val="en-US" w:eastAsia="zh-CN"/>
        </w:rPr>
        <w:t>1.9</w:t>
      </w:r>
      <w:r>
        <w:rPr>
          <w:rFonts w:hint="eastAsia" w:ascii="Times New Roman" w:hAnsi="Times New Roman" w:cs="Times New Roman"/>
          <w:color w:val="auto"/>
          <w:u w:val="single"/>
          <w:lang w:eastAsia="zh-CN"/>
        </w:rPr>
        <w:t>kg/d</w:t>
      </w:r>
      <w:r>
        <w:rPr>
          <w:rFonts w:ascii="Times New Roman" w:hAnsi="Times New Roman" w:cs="Times New Roman"/>
          <w:color w:val="auto"/>
          <w:u w:val="single"/>
          <w:lang w:eastAsia="zh-CN"/>
        </w:rPr>
        <w:t>（</w:t>
      </w:r>
      <w:r>
        <w:rPr>
          <w:rFonts w:hint="eastAsia" w:ascii="Times New Roman" w:hAnsi="Times New Roman" w:cs="Times New Roman"/>
          <w:color w:val="auto"/>
          <w:u w:val="single"/>
          <w:lang w:val="en-US" w:eastAsia="zh-CN"/>
        </w:rPr>
        <w:t>0.6935</w:t>
      </w:r>
      <w:r>
        <w:rPr>
          <w:rFonts w:ascii="Times New Roman" w:hAnsi="Times New Roman" w:cs="Times New Roman"/>
          <w:color w:val="auto"/>
          <w:u w:val="single"/>
          <w:lang w:eastAsia="zh-CN"/>
        </w:rPr>
        <w:t>t/a）</w:t>
      </w:r>
      <w:r>
        <w:rPr>
          <w:rFonts w:hint="eastAsia" w:ascii="Times New Roman" w:hAnsi="Times New Roman" w:cs="Times New Roman"/>
          <w:color w:val="auto"/>
          <w:u w:val="single"/>
          <w:lang w:eastAsia="zh-CN"/>
        </w:rPr>
        <w:t>，运营后须设立垃圾收集点，员工生活垃圾统一由环卫部门统一处理，基本不会对外环境造成影响。</w:t>
      </w:r>
    </w:p>
    <w:p>
      <w:pPr>
        <w:pStyle w:val="3"/>
        <w:ind w:left="0" w:firstLine="42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4</w:t>
      </w:r>
      <w:r>
        <w:rPr>
          <w:rFonts w:hint="eastAsia" w:ascii="Times New Roman" w:hAnsi="Times New Roman" w:cs="Times New Roman"/>
          <w:color w:val="auto"/>
          <w:u w:val="none"/>
          <w:lang w:eastAsia="zh-CN"/>
        </w:rPr>
        <w:t>）废紫外灯管固体废物</w:t>
      </w:r>
    </w:p>
    <w:p>
      <w:pPr>
        <w:ind w:firstLine="480"/>
        <w:jc w:val="both"/>
        <w:rPr>
          <w:color w:val="auto"/>
          <w:kern w:val="0"/>
          <w:u w:val="single"/>
        </w:rPr>
      </w:pPr>
      <w:r>
        <w:rPr>
          <w:rFonts w:hint="eastAsia"/>
          <w:color w:val="auto"/>
          <w:kern w:val="0"/>
          <w:u w:val="single"/>
        </w:rPr>
        <w:t>污水处理消毒系统在运行过程中，消毒系统中的紫外灯管一般使用寿命为一年左右，需要定期更换，</w:t>
      </w:r>
      <w:r>
        <w:rPr>
          <w:rFonts w:hint="eastAsia" w:cs="Times New Roman"/>
          <w:color w:val="auto"/>
          <w:kern w:val="0"/>
          <w:u w:val="single"/>
          <w:lang w:eastAsia="zh-CN"/>
        </w:rPr>
        <w:t>一期工程</w:t>
      </w:r>
      <w:r>
        <w:rPr>
          <w:rFonts w:hint="default" w:ascii="Times New Roman" w:hAnsi="Times New Roman" w:cs="Times New Roman"/>
          <w:color w:val="auto"/>
          <w:kern w:val="0"/>
          <w:u w:val="single"/>
        </w:rPr>
        <w:t>污水规模为</w:t>
      </w:r>
      <w:r>
        <w:rPr>
          <w:rFonts w:hint="default" w:ascii="Times New Roman" w:hAnsi="Times New Roman" w:cs="Times New Roman"/>
          <w:color w:val="auto"/>
          <w:kern w:val="0"/>
          <w:u w:val="single"/>
          <w:lang w:val="en-US" w:eastAsia="zh-CN"/>
        </w:rPr>
        <w:t>400</w:t>
      </w:r>
      <w:r>
        <w:rPr>
          <w:rFonts w:hint="default" w:ascii="Times New Roman" w:hAnsi="Times New Roman" w:cs="Times New Roman"/>
          <w:color w:val="auto"/>
          <w:kern w:val="0"/>
          <w:u w:val="single"/>
        </w:rPr>
        <w:t>m</w:t>
      </w:r>
      <w:r>
        <w:rPr>
          <w:rFonts w:hint="default" w:ascii="Times New Roman" w:hAnsi="Times New Roman" w:cs="Times New Roman"/>
          <w:color w:val="auto"/>
          <w:kern w:val="0"/>
          <w:u w:val="single"/>
          <w:vertAlign w:val="superscript"/>
        </w:rPr>
        <w:t>3</w:t>
      </w:r>
      <w:r>
        <w:rPr>
          <w:rFonts w:hint="default" w:ascii="Times New Roman" w:hAnsi="Times New Roman" w:cs="Times New Roman"/>
          <w:color w:val="auto"/>
          <w:kern w:val="0"/>
          <w:u w:val="single"/>
        </w:rPr>
        <w:t>/d，</w:t>
      </w:r>
      <w:r>
        <w:rPr>
          <w:rFonts w:hint="eastAsia"/>
          <w:color w:val="auto"/>
          <w:kern w:val="0"/>
          <w:u w:val="single"/>
        </w:rPr>
        <w:t>年废弃灯管产生量为</w:t>
      </w:r>
      <w:r>
        <w:rPr>
          <w:rFonts w:hint="eastAsia"/>
          <w:color w:val="auto"/>
          <w:kern w:val="0"/>
          <w:u w:val="single"/>
          <w:lang w:val="en-US" w:eastAsia="zh-CN"/>
        </w:rPr>
        <w:t>0.01</w:t>
      </w:r>
      <w:r>
        <w:rPr>
          <w:rFonts w:hint="eastAsia"/>
          <w:color w:val="auto"/>
          <w:kern w:val="0"/>
          <w:u w:val="single"/>
        </w:rPr>
        <w:t>t/a，</w:t>
      </w:r>
      <w:r>
        <w:rPr>
          <w:rFonts w:hint="eastAsia"/>
          <w:color w:val="auto"/>
          <w:kern w:val="0"/>
          <w:u w:val="single"/>
          <w:lang w:eastAsia="zh-CN"/>
        </w:rPr>
        <w:t>二期处理能力增加至</w:t>
      </w:r>
      <w:r>
        <w:rPr>
          <w:rFonts w:hint="eastAsia" w:ascii="Times New Roman" w:hAnsi="Times New Roman" w:cs="Times New Roman"/>
          <w:color w:val="auto"/>
          <w:kern w:val="0"/>
          <w:u w:val="single"/>
          <w:lang w:val="en-US" w:eastAsia="zh-CN"/>
        </w:rPr>
        <w:t>1000</w:t>
      </w:r>
      <w:r>
        <w:rPr>
          <w:rFonts w:hint="default" w:ascii="Times New Roman" w:hAnsi="Times New Roman" w:cs="Times New Roman"/>
          <w:color w:val="auto"/>
          <w:kern w:val="0"/>
          <w:u w:val="single"/>
        </w:rPr>
        <w:t>m</w:t>
      </w:r>
      <w:r>
        <w:rPr>
          <w:rFonts w:hint="default" w:ascii="Times New Roman" w:hAnsi="Times New Roman" w:cs="Times New Roman"/>
          <w:color w:val="auto"/>
          <w:kern w:val="0"/>
          <w:u w:val="single"/>
          <w:vertAlign w:val="superscript"/>
        </w:rPr>
        <w:t>3</w:t>
      </w:r>
      <w:r>
        <w:rPr>
          <w:rFonts w:hint="default" w:ascii="Times New Roman" w:hAnsi="Times New Roman" w:cs="Times New Roman"/>
          <w:color w:val="auto"/>
          <w:kern w:val="0"/>
          <w:u w:val="single"/>
        </w:rPr>
        <w:t>/d</w:t>
      </w:r>
      <w:r>
        <w:rPr>
          <w:rFonts w:hint="eastAsia" w:ascii="Times New Roman" w:hAnsi="Times New Roman" w:cs="Times New Roman"/>
          <w:color w:val="auto"/>
          <w:kern w:val="0"/>
          <w:u w:val="single"/>
          <w:lang w:eastAsia="zh-CN"/>
        </w:rPr>
        <w:t>后，</w:t>
      </w:r>
      <w:r>
        <w:rPr>
          <w:rFonts w:hint="eastAsia"/>
          <w:color w:val="auto"/>
          <w:kern w:val="0"/>
          <w:u w:val="single"/>
        </w:rPr>
        <w:t>年废弃灯管产生量为</w:t>
      </w:r>
      <w:r>
        <w:rPr>
          <w:rFonts w:hint="eastAsia"/>
          <w:color w:val="auto"/>
          <w:kern w:val="0"/>
          <w:u w:val="single"/>
          <w:lang w:val="en-US" w:eastAsia="zh-CN"/>
        </w:rPr>
        <w:t>0.04</w:t>
      </w:r>
      <w:r>
        <w:rPr>
          <w:rFonts w:hint="eastAsia"/>
          <w:color w:val="auto"/>
          <w:kern w:val="0"/>
          <w:u w:val="single"/>
        </w:rPr>
        <w:t>t/a，根据《危险废物管理名录》，废弃紫外灯管属于危险废物，废物类别为HW29含汞废物</w:t>
      </w:r>
      <w:r>
        <w:rPr>
          <w:rFonts w:hint="eastAsia"/>
          <w:color w:val="auto"/>
          <w:kern w:val="0"/>
          <w:u w:val="single"/>
          <w:lang w:eastAsia="zh-CN"/>
        </w:rPr>
        <w:t>“</w:t>
      </w:r>
      <w:r>
        <w:rPr>
          <w:rFonts w:hint="eastAsia"/>
          <w:color w:val="auto"/>
          <w:kern w:val="0"/>
          <w:u w:val="single"/>
          <w:lang w:val="en-US" w:eastAsia="zh-CN"/>
        </w:rPr>
        <w:t>900-023-29生产销售及使用过程中废含汞荧光灯管及其他含汞电光源</w:t>
      </w:r>
      <w:r>
        <w:rPr>
          <w:rFonts w:hint="eastAsia"/>
          <w:color w:val="auto"/>
          <w:kern w:val="0"/>
          <w:u w:val="single"/>
          <w:lang w:eastAsia="zh-CN"/>
        </w:rPr>
        <w:t>”</w:t>
      </w:r>
      <w:r>
        <w:rPr>
          <w:rFonts w:hint="eastAsia"/>
          <w:color w:val="auto"/>
          <w:kern w:val="0"/>
          <w:u w:val="single"/>
        </w:rPr>
        <w:t>，废弃紫外灯</w:t>
      </w:r>
      <w:r>
        <w:rPr>
          <w:rFonts w:hint="eastAsia"/>
          <w:color w:val="auto"/>
          <w:kern w:val="0"/>
          <w:u w:val="single"/>
          <w:lang w:eastAsia="zh-CN"/>
        </w:rPr>
        <w:t>由厂家定期更换回收，不在场内暂存</w:t>
      </w:r>
      <w:r>
        <w:rPr>
          <w:rFonts w:hint="eastAsia"/>
          <w:color w:val="auto"/>
          <w:kern w:val="0"/>
          <w:u w:val="single"/>
        </w:rPr>
        <w:t>。</w:t>
      </w:r>
    </w:p>
    <w:p>
      <w:pPr>
        <w:ind w:firstLine="480"/>
        <w:rPr>
          <w:color w:val="auto"/>
          <w:kern w:val="0"/>
          <w:u w:val="single"/>
        </w:rPr>
      </w:pPr>
      <w:r>
        <w:rPr>
          <w:rFonts w:hint="eastAsia"/>
          <w:color w:val="auto"/>
          <w:kern w:val="0"/>
          <w:u w:val="single"/>
        </w:rPr>
        <w:t>（</w:t>
      </w:r>
      <w:r>
        <w:rPr>
          <w:color w:val="auto"/>
          <w:kern w:val="0"/>
          <w:u w:val="single"/>
        </w:rPr>
        <w:t>5</w:t>
      </w:r>
      <w:r>
        <w:rPr>
          <w:rFonts w:hint="eastAsia"/>
          <w:color w:val="auto"/>
          <w:kern w:val="0"/>
          <w:u w:val="single"/>
        </w:rPr>
        <w:t>）废活性炭</w:t>
      </w:r>
    </w:p>
    <w:p>
      <w:pPr>
        <w:ind w:firstLine="480"/>
        <w:jc w:val="both"/>
        <w:rPr>
          <w:color w:val="auto"/>
          <w:szCs w:val="21"/>
          <w:u w:val="single"/>
        </w:rPr>
      </w:pPr>
      <w:r>
        <w:rPr>
          <w:rFonts w:hint="eastAsia"/>
          <w:color w:val="auto"/>
          <w:u w:val="single"/>
        </w:rPr>
        <w:t>本项目污泥脱水间采用活性炭吸附工艺处理臭气，</w:t>
      </w:r>
      <w:r>
        <w:rPr>
          <w:color w:val="auto"/>
          <w:szCs w:val="21"/>
          <w:u w:val="single"/>
        </w:rPr>
        <w:t>按《国家危险</w:t>
      </w:r>
      <w:r>
        <w:rPr>
          <w:rFonts w:hint="eastAsia"/>
          <w:color w:val="auto"/>
          <w:szCs w:val="21"/>
          <w:u w:val="single"/>
        </w:rPr>
        <w:t>废物</w:t>
      </w:r>
      <w:r>
        <w:rPr>
          <w:color w:val="auto"/>
          <w:szCs w:val="21"/>
          <w:u w:val="single"/>
        </w:rPr>
        <w:t>名录》</w:t>
      </w:r>
      <w:r>
        <w:rPr>
          <w:rFonts w:hint="eastAsia"/>
          <w:color w:val="auto"/>
          <w:szCs w:val="21"/>
          <w:u w:val="single"/>
        </w:rPr>
        <w:t>（2</w:t>
      </w:r>
      <w:r>
        <w:rPr>
          <w:color w:val="auto"/>
          <w:szCs w:val="21"/>
          <w:u w:val="single"/>
        </w:rPr>
        <w:t>016</w:t>
      </w:r>
      <w:r>
        <w:rPr>
          <w:rFonts w:hint="eastAsia"/>
          <w:color w:val="auto"/>
          <w:szCs w:val="21"/>
          <w:u w:val="single"/>
        </w:rPr>
        <w:t>）</w:t>
      </w:r>
      <w:r>
        <w:rPr>
          <w:color w:val="auto"/>
          <w:szCs w:val="21"/>
          <w:u w:val="single"/>
        </w:rPr>
        <w:t>规定属于编号为HW49</w:t>
      </w:r>
      <w:r>
        <w:rPr>
          <w:rFonts w:hint="eastAsia"/>
          <w:color w:val="auto"/>
          <w:szCs w:val="21"/>
          <w:u w:val="single"/>
          <w:lang w:eastAsia="zh-CN"/>
        </w:rPr>
        <w:t>其他废物中“</w:t>
      </w:r>
      <w:r>
        <w:rPr>
          <w:rFonts w:hint="eastAsia"/>
          <w:color w:val="auto"/>
          <w:szCs w:val="21"/>
          <w:u w:val="single"/>
          <w:lang w:val="en-US" w:eastAsia="zh-CN"/>
        </w:rPr>
        <w:t>900-039-49烟气治理过程中产生的废活性炭</w:t>
      </w:r>
      <w:r>
        <w:rPr>
          <w:rFonts w:hint="eastAsia"/>
          <w:color w:val="auto"/>
          <w:szCs w:val="21"/>
          <w:u w:val="single"/>
          <w:lang w:eastAsia="zh-CN"/>
        </w:rPr>
        <w:t>”</w:t>
      </w:r>
      <w:r>
        <w:rPr>
          <w:color w:val="auto"/>
          <w:szCs w:val="21"/>
          <w:u w:val="single"/>
        </w:rPr>
        <w:t>。类比相关项目，</w:t>
      </w:r>
      <w:r>
        <w:rPr>
          <w:rFonts w:hint="eastAsia"/>
          <w:color w:val="auto"/>
          <w:u w:val="single"/>
        </w:rPr>
        <w:t>年废弃活性炭产生量为</w:t>
      </w:r>
      <w:r>
        <w:rPr>
          <w:rFonts w:hint="eastAsia"/>
          <w:color w:val="auto"/>
          <w:u w:val="single"/>
          <w:lang w:val="en-US" w:eastAsia="zh-CN"/>
        </w:rPr>
        <w:t>0.015</w:t>
      </w:r>
      <w:r>
        <w:rPr>
          <w:rFonts w:hint="eastAsia"/>
          <w:color w:val="auto"/>
          <w:u w:val="single"/>
        </w:rPr>
        <w:t>t/a</w:t>
      </w:r>
      <w:r>
        <w:rPr>
          <w:rFonts w:hint="eastAsia"/>
          <w:color w:val="auto"/>
          <w:szCs w:val="21"/>
          <w:u w:val="single"/>
        </w:rPr>
        <w:t>，</w:t>
      </w:r>
      <w:r>
        <w:rPr>
          <w:rFonts w:hint="eastAsia"/>
          <w:color w:val="auto"/>
          <w:szCs w:val="21"/>
          <w:u w:val="single"/>
          <w:lang w:eastAsia="zh-CN"/>
        </w:rPr>
        <w:t>废活性炭由厂家定期更换回收，不在场内暂存。</w:t>
      </w:r>
    </w:p>
    <w:p>
      <w:pPr>
        <w:ind w:firstLine="480"/>
        <w:jc w:val="both"/>
        <w:rPr>
          <w:color w:val="auto"/>
          <w:kern w:val="0"/>
          <w:u w:val="none"/>
        </w:rPr>
      </w:pPr>
      <w:r>
        <w:rPr>
          <w:rFonts w:hint="eastAsia"/>
          <w:color w:val="auto"/>
          <w:kern w:val="0"/>
          <w:u w:val="single"/>
        </w:rPr>
        <w:t>综上所述，建设方运营期实施本环评废物处置以及污染防治措施后，固体废物基本不会对外环境造成影响</w:t>
      </w:r>
      <w:r>
        <w:rPr>
          <w:rFonts w:hint="eastAsia"/>
          <w:color w:val="auto"/>
          <w:kern w:val="0"/>
          <w:u w:val="none"/>
        </w:rPr>
        <w:t>。</w:t>
      </w:r>
    </w:p>
    <w:p>
      <w:pPr>
        <w:pStyle w:val="6"/>
        <w:bidi w:val="0"/>
      </w:pPr>
      <w:r>
        <w:t>4.2.6</w:t>
      </w:r>
      <w:r>
        <w:rPr>
          <w:rFonts w:hint="eastAsia"/>
        </w:rPr>
        <w:t>土壤环境影响分析</w:t>
      </w:r>
    </w:p>
    <w:p>
      <w:pPr>
        <w:ind w:firstLine="480"/>
        <w:rPr>
          <w:color w:val="auto"/>
          <w:u w:val="none"/>
        </w:rPr>
      </w:pPr>
      <w:r>
        <w:rPr>
          <w:rFonts w:hint="eastAsia"/>
          <w:color w:val="auto"/>
          <w:u w:val="none"/>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pPr>
        <w:keepNext/>
        <w:keepLines/>
        <w:ind w:firstLine="0" w:firstLineChars="0"/>
        <w:outlineLvl w:val="3"/>
        <w:rPr>
          <w:rFonts w:hint="eastAsia"/>
          <w:b/>
          <w:color w:val="auto"/>
          <w:kern w:val="0"/>
          <w:u w:val="none"/>
          <w:lang w:bidi="zh-CN"/>
        </w:rPr>
      </w:pPr>
      <w:r>
        <w:rPr>
          <w:rFonts w:hint="eastAsia"/>
          <w:b/>
          <w:color w:val="auto"/>
          <w:kern w:val="0"/>
          <w:u w:val="none"/>
          <w:lang w:bidi="zh-CN"/>
        </w:rPr>
        <w:t>4</w:t>
      </w:r>
      <w:r>
        <w:rPr>
          <w:b/>
          <w:color w:val="auto"/>
          <w:kern w:val="0"/>
          <w:u w:val="none"/>
          <w:lang w:bidi="zh-CN"/>
        </w:rPr>
        <w:t>.2.6</w:t>
      </w:r>
      <w:r>
        <w:rPr>
          <w:rFonts w:hint="eastAsia"/>
          <w:b/>
          <w:color w:val="auto"/>
          <w:kern w:val="0"/>
          <w:u w:val="none"/>
          <w:lang w:bidi="zh-CN"/>
        </w:rPr>
        <w:t>.1建设项目土壤环境影响识别</w:t>
      </w:r>
    </w:p>
    <w:p>
      <w:pPr>
        <w:ind w:firstLine="480"/>
        <w:jc w:val="both"/>
        <w:rPr>
          <w:rFonts w:hint="eastAsia"/>
          <w:color w:val="auto"/>
          <w:u w:val="none"/>
        </w:rPr>
      </w:pPr>
      <w:r>
        <w:rPr>
          <w:rFonts w:hint="eastAsia"/>
          <w:color w:val="auto"/>
          <w:u w:val="none"/>
        </w:rPr>
        <w:t>建设项目施工期对土壤环境影响主要包括废水污染物以及固废污染物对土壤环境的影响。建设项目运营期对土壤环境影响主要包括废气污染物、废水污染物以及固废污染物对土壤环境的影响。</w:t>
      </w:r>
    </w:p>
    <w:p>
      <w:pPr>
        <w:ind w:firstLine="480"/>
        <w:jc w:val="both"/>
        <w:rPr>
          <w:color w:val="auto"/>
          <w:u w:val="none"/>
        </w:rPr>
      </w:pPr>
      <w:r>
        <w:rPr>
          <w:rFonts w:hint="eastAsia"/>
          <w:color w:val="auto"/>
          <w:u w:val="none"/>
        </w:rPr>
        <w:t>其中建设项目施工期废水污染物主要为</w:t>
      </w:r>
      <w:r>
        <w:rPr>
          <w:rFonts w:hint="eastAsia"/>
          <w:color w:val="auto"/>
          <w:u w:val="none"/>
          <w:lang w:eastAsia="zh-CN"/>
        </w:rPr>
        <w:t>施工废水</w:t>
      </w:r>
      <w:r>
        <w:rPr>
          <w:rFonts w:hint="eastAsia"/>
          <w:color w:val="auto"/>
          <w:u w:val="none"/>
        </w:rPr>
        <w:t>，固废主要为建筑垃圾。建设项目运营期废气中污染物包括NH</w:t>
      </w:r>
      <w:r>
        <w:rPr>
          <w:rFonts w:hint="eastAsia"/>
          <w:color w:val="auto"/>
          <w:u w:val="none"/>
          <w:vertAlign w:val="subscript"/>
        </w:rPr>
        <w:t>3</w:t>
      </w:r>
      <w:r>
        <w:rPr>
          <w:rFonts w:hint="eastAsia"/>
          <w:color w:val="auto"/>
          <w:u w:val="none"/>
        </w:rPr>
        <w:t>和H</w:t>
      </w:r>
      <w:r>
        <w:rPr>
          <w:rFonts w:hint="eastAsia"/>
          <w:color w:val="auto"/>
          <w:u w:val="none"/>
          <w:vertAlign w:val="subscript"/>
        </w:rPr>
        <w:t>2</w:t>
      </w:r>
      <w:r>
        <w:rPr>
          <w:rFonts w:hint="eastAsia"/>
          <w:color w:val="auto"/>
          <w:u w:val="none"/>
        </w:rPr>
        <w:t>S；废水污染物包括COD、BOD</w:t>
      </w:r>
      <w:r>
        <w:rPr>
          <w:rFonts w:hint="eastAsia"/>
          <w:color w:val="auto"/>
          <w:u w:val="none"/>
          <w:vertAlign w:val="subscript"/>
        </w:rPr>
        <w:t>5</w:t>
      </w:r>
      <w:r>
        <w:rPr>
          <w:rFonts w:hint="eastAsia"/>
          <w:color w:val="auto"/>
          <w:u w:val="none"/>
          <w:lang w:eastAsia="zh-CN"/>
        </w:rPr>
        <w:t>、</w:t>
      </w:r>
      <w:r>
        <w:rPr>
          <w:rFonts w:hint="eastAsia"/>
          <w:color w:val="auto"/>
          <w:u w:val="none"/>
        </w:rPr>
        <w:t>SS</w:t>
      </w:r>
      <w:r>
        <w:rPr>
          <w:rFonts w:hint="eastAsia"/>
          <w:color w:val="auto"/>
          <w:u w:val="none"/>
          <w:lang w:eastAsia="zh-CN"/>
        </w:rPr>
        <w:t>、</w:t>
      </w:r>
      <w:r>
        <w:rPr>
          <w:rFonts w:hint="eastAsia"/>
          <w:color w:val="auto"/>
          <w:u w:val="none"/>
        </w:rPr>
        <w:t>NH</w:t>
      </w:r>
      <w:r>
        <w:rPr>
          <w:rFonts w:hint="eastAsia"/>
          <w:color w:val="auto"/>
          <w:u w:val="none"/>
          <w:vertAlign w:val="subscript"/>
        </w:rPr>
        <w:t>3</w:t>
      </w:r>
      <w:r>
        <w:rPr>
          <w:rFonts w:hint="eastAsia"/>
          <w:color w:val="auto"/>
          <w:u w:val="none"/>
        </w:rPr>
        <w:t>-N</w:t>
      </w:r>
      <w:r>
        <w:rPr>
          <w:rFonts w:hint="eastAsia"/>
          <w:color w:val="auto"/>
          <w:u w:val="none"/>
          <w:lang w:eastAsia="zh-CN"/>
        </w:rPr>
        <w:t>、</w:t>
      </w:r>
      <w:r>
        <w:rPr>
          <w:rFonts w:hint="eastAsia"/>
          <w:color w:val="auto"/>
          <w:u w:val="none"/>
        </w:rPr>
        <w:t>TN</w:t>
      </w:r>
      <w:r>
        <w:rPr>
          <w:rFonts w:hint="eastAsia"/>
          <w:color w:val="auto"/>
          <w:u w:val="none"/>
          <w:lang w:eastAsia="zh-CN"/>
        </w:rPr>
        <w:t>、</w:t>
      </w:r>
      <w:r>
        <w:rPr>
          <w:rFonts w:hint="eastAsia"/>
          <w:color w:val="auto"/>
          <w:u w:val="none"/>
        </w:rPr>
        <w:t>TP</w:t>
      </w:r>
      <w:r>
        <w:rPr>
          <w:rFonts w:hint="eastAsia"/>
          <w:color w:val="auto"/>
          <w:u w:val="none"/>
          <w:lang w:eastAsia="zh-CN"/>
        </w:rPr>
        <w:t>、石油类、动植物油</w:t>
      </w:r>
      <w:r>
        <w:rPr>
          <w:rFonts w:hint="eastAsia"/>
          <w:color w:val="auto"/>
          <w:u w:val="none"/>
        </w:rPr>
        <w:t>；固废污染物主要为污泥、栅渣、</w:t>
      </w:r>
      <w:r>
        <w:rPr>
          <w:rFonts w:hint="eastAsia"/>
          <w:color w:val="auto"/>
          <w:u w:val="none"/>
          <w:lang w:eastAsia="zh-CN"/>
        </w:rPr>
        <w:t>沉砂、废活性炭、废紫外灯管</w:t>
      </w:r>
      <w:r>
        <w:rPr>
          <w:rFonts w:hint="eastAsia"/>
          <w:color w:val="auto"/>
          <w:u w:val="none"/>
        </w:rPr>
        <w:t>和生活垃圾。</w:t>
      </w:r>
    </w:p>
    <w:p>
      <w:pPr>
        <w:keepNext/>
        <w:keepLines/>
        <w:ind w:firstLine="0" w:firstLineChars="0"/>
        <w:outlineLvl w:val="3"/>
        <w:rPr>
          <w:rFonts w:hint="eastAsia"/>
          <w:b/>
          <w:color w:val="auto"/>
          <w:kern w:val="0"/>
          <w:u w:val="none"/>
          <w:lang w:bidi="zh-CN"/>
        </w:rPr>
      </w:pPr>
      <w:r>
        <w:rPr>
          <w:rFonts w:hint="eastAsia"/>
          <w:b/>
          <w:color w:val="auto"/>
          <w:kern w:val="0"/>
          <w:u w:val="none"/>
          <w:lang w:bidi="zh-CN"/>
        </w:rPr>
        <w:t>4</w:t>
      </w:r>
      <w:r>
        <w:rPr>
          <w:b/>
          <w:color w:val="auto"/>
          <w:kern w:val="0"/>
          <w:u w:val="none"/>
          <w:lang w:bidi="zh-CN"/>
        </w:rPr>
        <w:t>.2.6</w:t>
      </w:r>
      <w:r>
        <w:rPr>
          <w:rFonts w:hint="eastAsia"/>
          <w:b/>
          <w:color w:val="auto"/>
          <w:kern w:val="0"/>
          <w:u w:val="none"/>
          <w:lang w:bidi="zh-CN"/>
        </w:rPr>
        <w:t>.</w:t>
      </w:r>
      <w:r>
        <w:rPr>
          <w:b/>
          <w:color w:val="auto"/>
          <w:kern w:val="0"/>
          <w:u w:val="none"/>
          <w:lang w:bidi="zh-CN"/>
        </w:rPr>
        <w:t>2</w:t>
      </w:r>
      <w:r>
        <w:rPr>
          <w:rFonts w:hint="eastAsia"/>
          <w:b/>
          <w:color w:val="auto"/>
          <w:kern w:val="0"/>
          <w:u w:val="none"/>
          <w:lang w:bidi="zh-CN"/>
        </w:rPr>
        <w:t>预测评价范围</w:t>
      </w:r>
    </w:p>
    <w:p>
      <w:pPr>
        <w:ind w:firstLine="480"/>
        <w:rPr>
          <w:rFonts w:hint="eastAsia"/>
          <w:color w:val="auto"/>
          <w:u w:val="none"/>
        </w:rPr>
      </w:pPr>
      <w:r>
        <w:rPr>
          <w:rFonts w:hint="eastAsia"/>
          <w:color w:val="auto"/>
          <w:kern w:val="0"/>
          <w:szCs w:val="22"/>
          <w:u w:val="none"/>
        </w:rPr>
        <w:t>评价范围为项目所在地占地范围外</w:t>
      </w:r>
      <w:r>
        <w:rPr>
          <w:color w:val="auto"/>
          <w:kern w:val="0"/>
          <w:szCs w:val="22"/>
          <w:u w:val="none"/>
        </w:rPr>
        <w:t>50m</w:t>
      </w:r>
      <w:r>
        <w:rPr>
          <w:rFonts w:hint="eastAsia"/>
          <w:color w:val="auto"/>
          <w:u w:val="none"/>
        </w:rPr>
        <w:t>。</w:t>
      </w:r>
    </w:p>
    <w:p>
      <w:pPr>
        <w:keepNext/>
        <w:keepLines/>
        <w:ind w:firstLine="0" w:firstLineChars="0"/>
        <w:outlineLvl w:val="3"/>
        <w:rPr>
          <w:rFonts w:hint="eastAsia"/>
          <w:b/>
          <w:color w:val="auto"/>
          <w:kern w:val="0"/>
          <w:u w:val="none"/>
          <w:lang w:bidi="zh-CN"/>
        </w:rPr>
      </w:pPr>
      <w:r>
        <w:rPr>
          <w:rFonts w:hint="eastAsia"/>
          <w:b/>
          <w:color w:val="auto"/>
          <w:kern w:val="0"/>
          <w:u w:val="none"/>
          <w:lang w:bidi="zh-CN"/>
        </w:rPr>
        <w:t>4</w:t>
      </w:r>
      <w:r>
        <w:rPr>
          <w:b/>
          <w:color w:val="auto"/>
          <w:kern w:val="0"/>
          <w:u w:val="none"/>
          <w:lang w:bidi="zh-CN"/>
        </w:rPr>
        <w:t>.2.6</w:t>
      </w:r>
      <w:r>
        <w:rPr>
          <w:rFonts w:hint="eastAsia"/>
          <w:b/>
          <w:color w:val="auto"/>
          <w:kern w:val="0"/>
          <w:u w:val="none"/>
          <w:lang w:bidi="zh-CN"/>
        </w:rPr>
        <w:t>.</w:t>
      </w:r>
      <w:r>
        <w:rPr>
          <w:b/>
          <w:color w:val="auto"/>
          <w:kern w:val="0"/>
          <w:u w:val="none"/>
          <w:lang w:bidi="zh-CN"/>
        </w:rPr>
        <w:t>3</w:t>
      </w:r>
      <w:r>
        <w:rPr>
          <w:rFonts w:hint="eastAsia"/>
          <w:b/>
          <w:color w:val="auto"/>
          <w:kern w:val="0"/>
          <w:u w:val="none"/>
          <w:lang w:bidi="zh-CN"/>
        </w:rPr>
        <w:t>预测评价时段</w:t>
      </w:r>
    </w:p>
    <w:p>
      <w:pPr>
        <w:ind w:firstLine="480"/>
        <w:rPr>
          <w:rFonts w:hint="eastAsia"/>
          <w:color w:val="auto"/>
          <w:u w:val="none"/>
        </w:rPr>
      </w:pPr>
      <w:r>
        <w:rPr>
          <w:rFonts w:hint="eastAsia"/>
          <w:color w:val="auto"/>
          <w:u w:val="none"/>
        </w:rPr>
        <w:t>施工期属于短期局部影响，待施工结束后，对周围土壤环境的影响随之结束。对建设项目占地范围内及周边土壤影响较大的为运营期，根据建设项目土壤环境影响识别分析结果确定预测时段为建设项目的运营期。</w:t>
      </w:r>
    </w:p>
    <w:p>
      <w:pPr>
        <w:keepNext/>
        <w:keepLines/>
        <w:ind w:firstLine="0" w:firstLineChars="0"/>
        <w:outlineLvl w:val="3"/>
        <w:rPr>
          <w:rFonts w:hint="eastAsia"/>
          <w:b/>
          <w:color w:val="auto"/>
          <w:kern w:val="0"/>
          <w:u w:val="none"/>
          <w:lang w:bidi="zh-CN"/>
        </w:rPr>
      </w:pPr>
      <w:r>
        <w:rPr>
          <w:rFonts w:hint="eastAsia"/>
          <w:b/>
          <w:color w:val="auto"/>
          <w:kern w:val="0"/>
          <w:u w:val="none"/>
          <w:lang w:bidi="zh-CN"/>
        </w:rPr>
        <w:t>4</w:t>
      </w:r>
      <w:r>
        <w:rPr>
          <w:b/>
          <w:color w:val="auto"/>
          <w:kern w:val="0"/>
          <w:u w:val="none"/>
          <w:lang w:bidi="zh-CN"/>
        </w:rPr>
        <w:t>.2.6</w:t>
      </w:r>
      <w:r>
        <w:rPr>
          <w:rFonts w:hint="eastAsia"/>
          <w:b/>
          <w:color w:val="auto"/>
          <w:kern w:val="0"/>
          <w:u w:val="none"/>
          <w:lang w:bidi="zh-CN"/>
        </w:rPr>
        <w:t>.</w:t>
      </w:r>
      <w:r>
        <w:rPr>
          <w:b/>
          <w:color w:val="auto"/>
          <w:kern w:val="0"/>
          <w:u w:val="none"/>
          <w:lang w:bidi="zh-CN"/>
        </w:rPr>
        <w:t>4</w:t>
      </w:r>
      <w:r>
        <w:rPr>
          <w:rFonts w:hint="eastAsia"/>
          <w:b/>
          <w:color w:val="auto"/>
          <w:kern w:val="0"/>
          <w:u w:val="none"/>
          <w:lang w:bidi="zh-CN"/>
        </w:rPr>
        <w:t xml:space="preserve"> 预测与评价方法</w:t>
      </w:r>
    </w:p>
    <w:p>
      <w:pPr>
        <w:ind w:firstLine="480"/>
        <w:rPr>
          <w:rFonts w:hint="eastAsia"/>
          <w:color w:val="auto"/>
          <w:u w:val="none"/>
        </w:rPr>
      </w:pPr>
      <w:r>
        <w:rPr>
          <w:rFonts w:hint="eastAsia"/>
          <w:color w:val="auto"/>
          <w:u w:val="none"/>
        </w:rPr>
        <w:t>建设项目评价工作等级为三级，本次评价采用定性描述的方法进行预测。</w:t>
      </w:r>
    </w:p>
    <w:p>
      <w:pPr>
        <w:keepNext/>
        <w:keepLines/>
        <w:ind w:firstLine="0" w:firstLineChars="0"/>
        <w:outlineLvl w:val="3"/>
        <w:rPr>
          <w:b/>
          <w:color w:val="auto"/>
          <w:kern w:val="0"/>
          <w:u w:val="none"/>
          <w:lang w:bidi="zh-CN"/>
        </w:rPr>
      </w:pPr>
      <w:r>
        <w:rPr>
          <w:rFonts w:hint="eastAsia"/>
          <w:b/>
          <w:color w:val="auto"/>
          <w:kern w:val="0"/>
          <w:u w:val="none"/>
          <w:lang w:bidi="zh-CN"/>
        </w:rPr>
        <w:t>4</w:t>
      </w:r>
      <w:r>
        <w:rPr>
          <w:b/>
          <w:color w:val="auto"/>
          <w:kern w:val="0"/>
          <w:u w:val="none"/>
          <w:lang w:bidi="zh-CN"/>
        </w:rPr>
        <w:t>.2.6</w:t>
      </w:r>
      <w:r>
        <w:rPr>
          <w:rFonts w:hint="eastAsia"/>
          <w:b/>
          <w:color w:val="auto"/>
          <w:kern w:val="0"/>
          <w:u w:val="none"/>
          <w:lang w:bidi="zh-CN"/>
        </w:rPr>
        <w:t>.5 建设项目土壤环境影响预测及评价</w:t>
      </w:r>
    </w:p>
    <w:p>
      <w:pPr>
        <w:ind w:firstLine="480"/>
        <w:rPr>
          <w:rFonts w:hint="eastAsia"/>
          <w:color w:val="auto"/>
          <w:u w:val="none"/>
          <w:lang w:bidi="zh-CN"/>
        </w:rPr>
      </w:pPr>
      <w:r>
        <w:rPr>
          <w:rFonts w:hint="eastAsia"/>
          <w:color w:val="auto"/>
          <w:u w:val="none"/>
          <w:lang w:bidi="zh-CN"/>
        </w:rPr>
        <w:t>（1）废气对土壤环境的影响及评价</w:t>
      </w:r>
    </w:p>
    <w:p>
      <w:pPr>
        <w:wordWrap w:val="0"/>
        <w:ind w:firstLine="480"/>
        <w:jc w:val="both"/>
        <w:rPr>
          <w:color w:val="auto"/>
          <w:kern w:val="0"/>
          <w:u w:val="none"/>
        </w:rPr>
      </w:pPr>
      <w:r>
        <w:rPr>
          <w:rFonts w:hint="eastAsia"/>
          <w:color w:val="auto"/>
          <w:u w:val="single"/>
          <w:lang w:bidi="zh-CN"/>
        </w:rPr>
        <w:t>本项目废气污染物包括NH</w:t>
      </w:r>
      <w:r>
        <w:rPr>
          <w:rFonts w:hint="eastAsia"/>
          <w:color w:val="auto"/>
          <w:u w:val="single"/>
          <w:vertAlign w:val="subscript"/>
          <w:lang w:bidi="zh-CN"/>
        </w:rPr>
        <w:t>3</w:t>
      </w:r>
      <w:r>
        <w:rPr>
          <w:rFonts w:hint="eastAsia"/>
          <w:color w:val="auto"/>
          <w:u w:val="single"/>
          <w:lang w:bidi="zh-CN"/>
        </w:rPr>
        <w:t>和H</w:t>
      </w:r>
      <w:r>
        <w:rPr>
          <w:rFonts w:hint="eastAsia"/>
          <w:color w:val="auto"/>
          <w:u w:val="single"/>
          <w:vertAlign w:val="subscript"/>
          <w:lang w:bidi="zh-CN"/>
        </w:rPr>
        <w:t>2</w:t>
      </w:r>
      <w:r>
        <w:rPr>
          <w:rFonts w:hint="eastAsia"/>
          <w:color w:val="auto"/>
          <w:u w:val="single"/>
          <w:lang w:bidi="zh-CN"/>
        </w:rPr>
        <w:t>S，根据章节“</w:t>
      </w:r>
      <w:r>
        <w:rPr>
          <w:rFonts w:hint="eastAsia"/>
          <w:color w:val="auto"/>
          <w:u w:val="single"/>
          <w:lang w:val="en-US" w:bidi="zh-CN"/>
        </w:rPr>
        <w:t>4.2.1</w:t>
      </w:r>
      <w:r>
        <w:rPr>
          <w:rFonts w:hint="eastAsia"/>
          <w:color w:val="auto"/>
          <w:u w:val="single"/>
          <w:lang w:bidi="zh-CN"/>
        </w:rPr>
        <w:t>”大气预测结果可知，</w:t>
      </w:r>
      <w:r>
        <w:rPr>
          <w:rFonts w:hint="eastAsia"/>
          <w:color w:val="auto"/>
          <w:kern w:val="0"/>
          <w:u w:val="single"/>
        </w:rPr>
        <w:t>项目废气处理设备正常运行时，点源NH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113</w:t>
      </w:r>
      <w:r>
        <w:rPr>
          <w:rFonts w:hint="eastAsia"/>
          <w:color w:val="auto"/>
          <w:kern w:val="0"/>
          <w:u w:val="single"/>
        </w:rPr>
        <w:t>m处出现浓度最大值，分别为</w:t>
      </w:r>
      <w:r>
        <w:rPr>
          <w:rFonts w:hint="eastAsia"/>
          <w:color w:val="auto"/>
          <w:u w:val="single"/>
          <w:lang w:val="en-US" w:eastAsia="zh-CN"/>
        </w:rPr>
        <w:t>0.000889</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w:t>
      </w:r>
      <w:r>
        <w:rPr>
          <w:rFonts w:hint="eastAsia"/>
          <w:color w:val="auto"/>
          <w:u w:val="single"/>
          <w:lang w:val="en-US" w:eastAsia="zh-CN"/>
        </w:rPr>
        <w:t>0.0000344</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，其占标率分别为</w:t>
      </w:r>
      <w:r>
        <w:rPr>
          <w:rFonts w:hint="eastAsia"/>
          <w:color w:val="auto"/>
          <w:kern w:val="0"/>
          <w:u w:val="single"/>
          <w:lang w:val="en-US" w:eastAsia="zh-CN"/>
        </w:rPr>
        <w:t>0.44</w:t>
      </w:r>
      <w:r>
        <w:rPr>
          <w:rFonts w:hint="eastAsia"/>
          <w:color w:val="auto"/>
          <w:kern w:val="0"/>
          <w:u w:val="single"/>
        </w:rPr>
        <w:t>%、</w:t>
      </w:r>
      <w:r>
        <w:rPr>
          <w:rFonts w:hint="eastAsia"/>
          <w:color w:val="auto"/>
          <w:kern w:val="0"/>
          <w:u w:val="single"/>
          <w:lang w:val="en-US" w:eastAsia="zh-CN"/>
        </w:rPr>
        <w:t>0.34</w:t>
      </w:r>
      <w:r>
        <w:rPr>
          <w:rFonts w:hint="eastAsia"/>
          <w:color w:val="auto"/>
          <w:kern w:val="0"/>
          <w:u w:val="single"/>
        </w:rPr>
        <w:t>%；点源NH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S非正常工况下在</w:t>
      </w:r>
      <w:r>
        <w:rPr>
          <w:rFonts w:hint="eastAsia"/>
          <w:color w:val="auto"/>
          <w:kern w:val="0"/>
          <w:u w:val="single"/>
          <w:lang w:val="en-US" w:eastAsia="zh-CN"/>
        </w:rPr>
        <w:t>113</w:t>
      </w:r>
      <w:r>
        <w:rPr>
          <w:rFonts w:hint="eastAsia"/>
          <w:color w:val="auto"/>
          <w:kern w:val="0"/>
          <w:u w:val="single"/>
        </w:rPr>
        <w:t>m处出现浓度最大值，分别为</w:t>
      </w:r>
      <w:r>
        <w:rPr>
          <w:rFonts w:hint="eastAsia"/>
          <w:color w:val="auto"/>
          <w:kern w:val="0"/>
          <w:u w:val="single"/>
          <w:lang w:val="en-US" w:eastAsia="zh-CN"/>
        </w:rPr>
        <w:t>0.00889</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w:t>
      </w:r>
      <w:r>
        <w:rPr>
          <w:rFonts w:hint="eastAsia" w:ascii="Times New Roman" w:hAnsi="Times New Roman" w:eastAsia="宋体" w:cs="Times New Roman"/>
          <w:color w:val="auto"/>
          <w:kern w:val="0"/>
          <w:u w:val="single"/>
          <w:lang w:val="en-US" w:eastAsia="zh-CN"/>
        </w:rPr>
        <w:t>0.0000393</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，其占标率分别为</w:t>
      </w:r>
      <w:r>
        <w:rPr>
          <w:rFonts w:hint="eastAsia"/>
          <w:color w:val="auto"/>
          <w:kern w:val="0"/>
          <w:u w:val="single"/>
          <w:lang w:val="en-US" w:eastAsia="zh-CN"/>
        </w:rPr>
        <w:t>0.39</w:t>
      </w:r>
      <w:r>
        <w:rPr>
          <w:rFonts w:hint="eastAsia"/>
          <w:color w:val="auto"/>
          <w:kern w:val="0"/>
          <w:u w:val="single"/>
        </w:rPr>
        <w:t>%、</w:t>
      </w:r>
      <w:r>
        <w:rPr>
          <w:rFonts w:hint="eastAsia"/>
          <w:color w:val="auto"/>
          <w:kern w:val="0"/>
          <w:u w:val="single"/>
          <w:lang w:val="en-US" w:eastAsia="zh-CN"/>
        </w:rPr>
        <w:t>0.01</w:t>
      </w:r>
      <w:r>
        <w:rPr>
          <w:rFonts w:hint="eastAsia"/>
          <w:color w:val="auto"/>
          <w:kern w:val="0"/>
          <w:u w:val="single"/>
        </w:rPr>
        <w:t>%</w:t>
      </w:r>
      <w:r>
        <w:rPr>
          <w:rFonts w:hint="eastAsia"/>
          <w:color w:val="auto"/>
          <w:u w:val="single"/>
        </w:rPr>
        <w:t>；</w:t>
      </w:r>
      <w:r>
        <w:rPr>
          <w:rFonts w:hint="eastAsia"/>
          <w:color w:val="auto"/>
          <w:kern w:val="0"/>
          <w:u w:val="single"/>
        </w:rPr>
        <w:t>面源NH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15</w:t>
      </w:r>
      <w:r>
        <w:rPr>
          <w:rFonts w:hint="eastAsia"/>
          <w:color w:val="auto"/>
          <w:kern w:val="0"/>
          <w:u w:val="single"/>
        </w:rPr>
        <w:t>m处出现浓度最大值，</w:t>
      </w:r>
      <w:r>
        <w:rPr>
          <w:rFonts w:hint="default" w:ascii="Times New Roman" w:hAnsi="Times New Roman" w:cs="Times New Roman"/>
          <w:color w:val="auto"/>
          <w:kern w:val="0"/>
          <w:sz w:val="24"/>
          <w:szCs w:val="24"/>
          <w:u w:val="single"/>
        </w:rPr>
        <w:t>分别为</w:t>
      </w:r>
      <w:r>
        <w:rPr>
          <w:rFonts w:hint="eastAsia" w:ascii="Times New Roman" w:hAnsi="Times New Roman" w:cs="Times New Roman"/>
          <w:color w:val="auto"/>
          <w:sz w:val="24"/>
          <w:szCs w:val="24"/>
          <w:u w:val="single"/>
          <w:lang w:val="en-US" w:eastAsia="zh-CN"/>
        </w:rPr>
        <w:t>0.0111</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w:t>
      </w:r>
      <w:r>
        <w:rPr>
          <w:rFonts w:hint="eastAsia" w:ascii="Times New Roman" w:hAnsi="Times New Roman" w:eastAsia="宋体" w:cs="Times New Roman"/>
          <w:color w:val="auto"/>
          <w:sz w:val="24"/>
          <w:szCs w:val="24"/>
          <w:u w:val="single"/>
          <w:lang w:val="en-US" w:eastAsia="zh-CN"/>
        </w:rPr>
        <w:t>0.000123</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w:t>
      </w:r>
      <w:r>
        <w:rPr>
          <w:rFonts w:hint="eastAsia"/>
          <w:color w:val="auto"/>
          <w:kern w:val="0"/>
          <w:u w:val="single"/>
        </w:rPr>
        <w:t>其占标率分别为</w:t>
      </w:r>
      <w:r>
        <w:rPr>
          <w:rFonts w:hint="eastAsia"/>
          <w:color w:val="auto"/>
          <w:kern w:val="0"/>
          <w:u w:val="single"/>
          <w:lang w:val="en-US" w:eastAsia="zh-CN"/>
        </w:rPr>
        <w:t>5.57</w:t>
      </w:r>
      <w:r>
        <w:rPr>
          <w:rFonts w:hint="eastAsia"/>
          <w:color w:val="auto"/>
          <w:kern w:val="0"/>
          <w:u w:val="single"/>
        </w:rPr>
        <w:t>%、</w:t>
      </w:r>
      <w:r>
        <w:rPr>
          <w:rFonts w:hint="eastAsia"/>
          <w:color w:val="auto"/>
          <w:kern w:val="0"/>
          <w:u w:val="single"/>
          <w:lang w:val="en-US" w:eastAsia="zh-CN"/>
        </w:rPr>
        <w:t>1.23</w:t>
      </w:r>
      <w:r>
        <w:rPr>
          <w:rFonts w:hint="eastAsia"/>
          <w:color w:val="auto"/>
          <w:kern w:val="0"/>
          <w:u w:val="single"/>
        </w:rPr>
        <w:t>%。</w:t>
      </w:r>
      <w:r>
        <w:rPr>
          <w:rFonts w:hint="eastAsia"/>
          <w:color w:val="auto"/>
          <w:kern w:val="0"/>
          <w:u w:val="single"/>
          <w:lang w:eastAsia="zh-CN"/>
        </w:rPr>
        <w:t>正常工况下</w:t>
      </w:r>
      <w:r>
        <w:rPr>
          <w:rFonts w:hint="eastAsia"/>
          <w:color w:val="auto"/>
          <w:kern w:val="0"/>
          <w:u w:val="single"/>
        </w:rPr>
        <w:t>点源NH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1000</w:t>
      </w:r>
      <w:r>
        <w:rPr>
          <w:rFonts w:hint="eastAsia"/>
          <w:color w:val="auto"/>
          <w:kern w:val="0"/>
          <w:u w:val="single"/>
        </w:rPr>
        <w:t>m处（</w:t>
      </w:r>
      <w:r>
        <w:rPr>
          <w:rFonts w:hint="eastAsia"/>
          <w:color w:val="auto"/>
          <w:kern w:val="0"/>
          <w:u w:val="single"/>
          <w:lang w:eastAsia="zh-CN"/>
        </w:rPr>
        <w:t>下风向</w:t>
      </w:r>
      <w:r>
        <w:rPr>
          <w:rFonts w:hint="eastAsia"/>
          <w:color w:val="auto"/>
          <w:kern w:val="0"/>
          <w:u w:val="single"/>
        </w:rPr>
        <w:t>最近居民点</w:t>
      </w:r>
      <w:r>
        <w:rPr>
          <w:rFonts w:hint="eastAsia"/>
          <w:color w:val="auto"/>
          <w:kern w:val="0"/>
          <w:u w:val="single"/>
          <w:lang w:eastAsia="zh-CN"/>
        </w:rPr>
        <w:t>曾家湾</w:t>
      </w:r>
      <w:r>
        <w:rPr>
          <w:rFonts w:hint="eastAsia"/>
          <w:color w:val="auto"/>
          <w:kern w:val="0"/>
          <w:u w:val="single"/>
        </w:rPr>
        <w:t>）浓度分</w:t>
      </w:r>
      <w:r>
        <w:rPr>
          <w:rFonts w:hint="default" w:ascii="Times New Roman" w:hAnsi="Times New Roman" w:cs="Times New Roman"/>
          <w:color w:val="auto"/>
          <w:kern w:val="0"/>
          <w:sz w:val="24"/>
          <w:szCs w:val="24"/>
          <w:u w:val="single"/>
        </w:rPr>
        <w:t>为</w:t>
      </w:r>
      <w:r>
        <w:rPr>
          <w:rFonts w:hint="eastAsia" w:ascii="Times New Roman" w:hAnsi="Times New Roman" w:cs="Times New Roman"/>
          <w:color w:val="auto"/>
          <w:sz w:val="24"/>
          <w:szCs w:val="24"/>
          <w:u w:val="single"/>
          <w:lang w:val="en-US" w:eastAsia="zh-CN"/>
        </w:rPr>
        <w:t>0.0000125</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w:t>
      </w:r>
      <w:r>
        <w:rPr>
          <w:rFonts w:hint="eastAsia" w:ascii="Times New Roman" w:hAnsi="Times New Roman" w:cs="Times New Roman"/>
          <w:color w:val="auto"/>
          <w:sz w:val="24"/>
          <w:szCs w:val="24"/>
          <w:u w:val="single"/>
          <w:lang w:val="en-US" w:eastAsia="zh-CN"/>
        </w:rPr>
        <w:t>0.000000484</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，其</w:t>
      </w:r>
      <w:r>
        <w:rPr>
          <w:rFonts w:hint="eastAsia"/>
          <w:color w:val="auto"/>
          <w:kern w:val="0"/>
          <w:u w:val="single"/>
        </w:rPr>
        <w:t>占标率分别为</w:t>
      </w:r>
      <w:r>
        <w:rPr>
          <w:rFonts w:hint="eastAsia"/>
          <w:color w:val="auto"/>
          <w:kern w:val="0"/>
          <w:u w:val="single"/>
          <w:lang w:val="en-US" w:eastAsia="zh-CN"/>
        </w:rPr>
        <w:t>0.06</w:t>
      </w:r>
      <w:r>
        <w:rPr>
          <w:rFonts w:hint="eastAsia"/>
          <w:color w:val="auto"/>
          <w:kern w:val="0"/>
          <w:u w:val="single"/>
        </w:rPr>
        <w:t>%、</w:t>
      </w:r>
      <w:r>
        <w:rPr>
          <w:rFonts w:hint="eastAsia"/>
          <w:color w:val="auto"/>
          <w:kern w:val="0"/>
          <w:u w:val="single"/>
          <w:lang w:val="en-US" w:eastAsia="zh-CN"/>
        </w:rPr>
        <w:t>0.05</w:t>
      </w:r>
      <w:r>
        <w:rPr>
          <w:rFonts w:hint="eastAsia"/>
          <w:color w:val="auto"/>
          <w:kern w:val="0"/>
          <w:u w:val="single"/>
        </w:rPr>
        <w:t>%，面源NH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1000</w:t>
      </w:r>
      <w:r>
        <w:rPr>
          <w:rFonts w:hint="eastAsia"/>
          <w:color w:val="auto"/>
          <w:kern w:val="0"/>
          <w:u w:val="single"/>
        </w:rPr>
        <w:t>m处（</w:t>
      </w:r>
      <w:r>
        <w:rPr>
          <w:rFonts w:hint="eastAsia"/>
          <w:color w:val="auto"/>
          <w:kern w:val="0"/>
          <w:u w:val="single"/>
          <w:lang w:eastAsia="zh-CN"/>
        </w:rPr>
        <w:t>下风向</w:t>
      </w:r>
      <w:r>
        <w:rPr>
          <w:rFonts w:hint="eastAsia"/>
          <w:color w:val="auto"/>
          <w:kern w:val="0"/>
          <w:u w:val="single"/>
        </w:rPr>
        <w:t>最近居民点</w:t>
      </w:r>
      <w:r>
        <w:rPr>
          <w:rFonts w:hint="eastAsia"/>
          <w:color w:val="auto"/>
          <w:kern w:val="0"/>
          <w:u w:val="single"/>
          <w:lang w:eastAsia="zh-CN"/>
        </w:rPr>
        <w:t>曾家湾</w:t>
      </w:r>
      <w:r>
        <w:rPr>
          <w:rFonts w:hint="eastAsia"/>
          <w:color w:val="auto"/>
          <w:kern w:val="0"/>
          <w:u w:val="single"/>
        </w:rPr>
        <w:t>）浓度分为</w:t>
      </w:r>
      <w:r>
        <w:rPr>
          <w:rFonts w:hint="eastAsia"/>
          <w:color w:val="auto"/>
          <w:kern w:val="0"/>
          <w:u w:val="single"/>
          <w:lang w:val="en-US" w:eastAsia="zh-CN"/>
        </w:rPr>
        <w:t>0.000106</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w:t>
      </w:r>
      <w:r>
        <w:rPr>
          <w:rFonts w:hint="eastAsia"/>
          <w:color w:val="auto"/>
          <w:kern w:val="0"/>
          <w:u w:val="single"/>
          <w:lang w:val="en-US" w:eastAsia="zh-CN"/>
        </w:rPr>
        <w:t>0.00000117</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，其占标率分别为</w:t>
      </w:r>
      <w:r>
        <w:rPr>
          <w:rFonts w:hint="eastAsia"/>
          <w:color w:val="auto"/>
          <w:kern w:val="0"/>
          <w:u w:val="single"/>
          <w:lang w:val="en-US" w:eastAsia="zh-CN"/>
        </w:rPr>
        <w:t>0.05</w:t>
      </w:r>
      <w:r>
        <w:rPr>
          <w:rFonts w:hint="eastAsia"/>
          <w:color w:val="auto"/>
          <w:kern w:val="0"/>
          <w:u w:val="single"/>
        </w:rPr>
        <w:t>%、</w:t>
      </w:r>
      <w:r>
        <w:rPr>
          <w:rFonts w:hint="eastAsia"/>
          <w:color w:val="auto"/>
          <w:kern w:val="0"/>
          <w:u w:val="single"/>
          <w:lang w:val="en-US" w:eastAsia="zh-CN"/>
        </w:rPr>
        <w:t>0.01</w:t>
      </w:r>
      <w:r>
        <w:rPr>
          <w:rFonts w:hint="eastAsia"/>
          <w:color w:val="auto"/>
          <w:kern w:val="0"/>
          <w:u w:val="single"/>
        </w:rPr>
        <w:t>%。</w:t>
      </w:r>
      <w:r>
        <w:rPr>
          <w:rFonts w:hint="eastAsia"/>
          <w:color w:val="auto"/>
          <w:u w:val="single"/>
        </w:rPr>
        <w:t>根据《环境影响评价技术导则大气环境》</w:t>
      </w:r>
      <w:r>
        <w:rPr>
          <w:color w:val="auto"/>
          <w:u w:val="single"/>
        </w:rPr>
        <w:t>(HJ2.2-2018)</w:t>
      </w:r>
      <w:r>
        <w:rPr>
          <w:rFonts w:hint="eastAsia"/>
          <w:color w:val="auto"/>
          <w:u w:val="single"/>
        </w:rPr>
        <w:t>分级判据，确定本项目大气环境影响评价工作等级为二级。</w:t>
      </w:r>
      <w:r>
        <w:rPr>
          <w:rFonts w:hint="eastAsia"/>
          <w:color w:val="auto"/>
          <w:kern w:val="0"/>
          <w:u w:val="single"/>
          <w:lang w:eastAsia="zh-CN"/>
        </w:rPr>
        <w:t>根据预测，</w:t>
      </w:r>
      <w:r>
        <w:rPr>
          <w:rFonts w:hint="eastAsia"/>
          <w:color w:val="auto"/>
          <w:kern w:val="0"/>
          <w:u w:val="single"/>
        </w:rPr>
        <w:t>项目废气正常排放时，各污染物最大落地浓度远低于相应质量标准要求</w:t>
      </w:r>
      <w:r>
        <w:rPr>
          <w:rFonts w:hint="eastAsia"/>
          <w:color w:val="auto"/>
          <w:kern w:val="0"/>
          <w:u w:val="none"/>
        </w:rPr>
        <w:t>。</w:t>
      </w:r>
    </w:p>
    <w:p>
      <w:pPr>
        <w:wordWrap w:val="0"/>
        <w:ind w:firstLine="480"/>
        <w:rPr>
          <w:color w:val="auto"/>
          <w:u w:val="none"/>
          <w:lang w:bidi="zh-CN"/>
        </w:rPr>
      </w:pPr>
      <w:r>
        <w:rPr>
          <w:rFonts w:hint="eastAsia"/>
          <w:color w:val="auto"/>
          <w:u w:val="none"/>
          <w:lang w:bidi="zh-CN"/>
        </w:rPr>
        <w:t>NH</w:t>
      </w:r>
      <w:r>
        <w:rPr>
          <w:rFonts w:hint="eastAsia"/>
          <w:color w:val="auto"/>
          <w:u w:val="none"/>
          <w:vertAlign w:val="subscript"/>
          <w:lang w:bidi="zh-CN"/>
        </w:rPr>
        <w:t>3</w:t>
      </w:r>
      <w:r>
        <w:rPr>
          <w:rFonts w:hint="eastAsia"/>
          <w:color w:val="auto"/>
          <w:u w:val="none"/>
          <w:lang w:bidi="zh-CN"/>
        </w:rPr>
        <w:t>在土壤环境中沉积过多可对土壤造成碱化影响，但预测结果表明项目实施后，企业在实施了环评提出的各项环保措施后，排放的NH</w:t>
      </w:r>
      <w:r>
        <w:rPr>
          <w:rFonts w:hint="eastAsia"/>
          <w:color w:val="auto"/>
          <w:u w:val="none"/>
          <w:vertAlign w:val="subscript"/>
          <w:lang w:bidi="zh-CN"/>
        </w:rPr>
        <w:t>3</w:t>
      </w:r>
      <w:r>
        <w:rPr>
          <w:rFonts w:hint="eastAsia"/>
          <w:color w:val="auto"/>
          <w:u w:val="none"/>
          <w:lang w:bidi="zh-CN"/>
        </w:rPr>
        <w:t>落入土壤的浓度很低，且氨在土壤中极易被微生物分解形成含氮化合物被植物吸收利用，因此本项目排放的NH</w:t>
      </w:r>
      <w:r>
        <w:rPr>
          <w:rFonts w:hint="eastAsia"/>
          <w:color w:val="auto"/>
          <w:u w:val="none"/>
          <w:vertAlign w:val="subscript"/>
          <w:lang w:bidi="zh-CN"/>
        </w:rPr>
        <w:t>3</w:t>
      </w:r>
      <w:r>
        <w:rPr>
          <w:rFonts w:hint="eastAsia"/>
          <w:color w:val="auto"/>
          <w:u w:val="none"/>
          <w:lang w:bidi="zh-CN"/>
        </w:rPr>
        <w:t>对土壤环境的影响很小。</w:t>
      </w:r>
      <w:r>
        <w:rPr>
          <w:rFonts w:hint="eastAsia"/>
          <w:color w:val="auto"/>
          <w:kern w:val="0"/>
          <w:u w:val="none"/>
        </w:rPr>
        <w:t>H</w:t>
      </w:r>
      <w:r>
        <w:rPr>
          <w:rFonts w:hint="eastAsia"/>
          <w:color w:val="auto"/>
          <w:kern w:val="0"/>
          <w:u w:val="none"/>
          <w:vertAlign w:val="subscript"/>
        </w:rPr>
        <w:t>2</w:t>
      </w:r>
      <w:r>
        <w:rPr>
          <w:rFonts w:hint="eastAsia"/>
          <w:color w:val="auto"/>
          <w:kern w:val="0"/>
          <w:u w:val="none"/>
        </w:rPr>
        <w:t>S</w:t>
      </w:r>
      <w:r>
        <w:rPr>
          <w:rFonts w:hint="eastAsia"/>
          <w:color w:val="auto"/>
          <w:u w:val="none"/>
          <w:lang w:bidi="zh-CN"/>
        </w:rPr>
        <w:t>在土壤环境中部分会被微生物分解形成含硫化合物从而被植物吸收，部分会溶于土壤中的水生成H</w:t>
      </w:r>
      <w:r>
        <w:rPr>
          <w:rFonts w:hint="eastAsia"/>
          <w:color w:val="auto"/>
          <w:u w:val="none"/>
          <w:vertAlign w:val="subscript"/>
          <w:lang w:bidi="zh-CN"/>
        </w:rPr>
        <w:t>2</w:t>
      </w:r>
      <w:r>
        <w:rPr>
          <w:rFonts w:hint="eastAsia"/>
          <w:color w:val="auto"/>
          <w:u w:val="none"/>
          <w:lang w:bidi="zh-CN"/>
        </w:rPr>
        <w:t>SO</w:t>
      </w:r>
      <w:r>
        <w:rPr>
          <w:rFonts w:hint="eastAsia"/>
          <w:color w:val="auto"/>
          <w:u w:val="none"/>
          <w:vertAlign w:val="subscript"/>
          <w:lang w:bidi="zh-CN"/>
        </w:rPr>
        <w:t>4</w:t>
      </w:r>
      <w:r>
        <w:rPr>
          <w:rFonts w:hint="eastAsia"/>
          <w:color w:val="auto"/>
          <w:u w:val="none"/>
          <w:lang w:bidi="zh-CN"/>
        </w:rPr>
        <w:t>使土壤酸化，但预测结果表明项目实施后，企业在实施了环评提出的各项环保措施后，排放的</w:t>
      </w:r>
      <w:r>
        <w:rPr>
          <w:rFonts w:hint="eastAsia"/>
          <w:color w:val="auto"/>
          <w:kern w:val="0"/>
          <w:u w:val="none"/>
        </w:rPr>
        <w:t>H</w:t>
      </w:r>
      <w:r>
        <w:rPr>
          <w:rFonts w:hint="eastAsia"/>
          <w:color w:val="auto"/>
          <w:kern w:val="0"/>
          <w:u w:val="none"/>
          <w:vertAlign w:val="subscript"/>
        </w:rPr>
        <w:t>2</w:t>
      </w:r>
      <w:r>
        <w:rPr>
          <w:rFonts w:hint="eastAsia"/>
          <w:color w:val="auto"/>
          <w:kern w:val="0"/>
          <w:u w:val="none"/>
        </w:rPr>
        <w:t>S</w:t>
      </w:r>
      <w:r>
        <w:rPr>
          <w:rFonts w:hint="eastAsia"/>
          <w:color w:val="auto"/>
          <w:u w:val="none"/>
          <w:lang w:bidi="zh-CN"/>
        </w:rPr>
        <w:t>落入土壤的浓度很低，对土壤环境的影响很小。</w:t>
      </w:r>
    </w:p>
    <w:p>
      <w:pPr>
        <w:ind w:firstLine="480"/>
        <w:rPr>
          <w:rFonts w:hint="eastAsia"/>
          <w:color w:val="auto"/>
          <w:u w:val="none"/>
          <w:lang w:bidi="zh-CN"/>
        </w:rPr>
      </w:pPr>
      <w:r>
        <w:rPr>
          <w:rFonts w:hint="eastAsia"/>
          <w:color w:val="auto"/>
          <w:u w:val="none"/>
          <w:lang w:bidi="zh-CN"/>
        </w:rPr>
        <w:t>（2）废水对土壤环境的影响及评价</w:t>
      </w:r>
    </w:p>
    <w:p>
      <w:pPr>
        <w:ind w:firstLine="480"/>
        <w:jc w:val="both"/>
        <w:rPr>
          <w:rFonts w:hint="eastAsia"/>
          <w:color w:val="auto"/>
          <w:u w:val="none"/>
          <w:lang w:bidi="zh-CN"/>
        </w:rPr>
      </w:pPr>
      <w:r>
        <w:rPr>
          <w:rFonts w:hint="eastAsia"/>
          <w:color w:val="auto"/>
          <w:u w:val="none"/>
          <w:lang w:bidi="zh-CN"/>
        </w:rPr>
        <w:t>本项目产生的废水主要为处理达标后的尾水。本项目处理工艺采用“</w:t>
      </w:r>
      <w:r>
        <w:rPr>
          <w:rFonts w:hint="eastAsia"/>
          <w:color w:val="auto"/>
          <w:u w:val="none"/>
          <w:lang w:eastAsia="zh-CN"/>
        </w:rPr>
        <w:t>格栅渠</w:t>
      </w:r>
      <w:r>
        <w:rPr>
          <w:rFonts w:hint="eastAsia"/>
          <w:color w:val="auto"/>
          <w:u w:val="none"/>
        </w:rPr>
        <w:t>→沉砂池→调节池→</w:t>
      </w:r>
      <w:r>
        <w:rPr>
          <w:rFonts w:hint="eastAsia"/>
          <w:color w:val="auto"/>
          <w:u w:val="none"/>
          <w:lang w:val="en-US" w:eastAsia="zh-CN"/>
        </w:rPr>
        <w:t>MBR一体化设备</w:t>
      </w:r>
      <w:r>
        <w:rPr>
          <w:rFonts w:hint="eastAsia"/>
          <w:color w:val="auto"/>
          <w:u w:val="none"/>
        </w:rPr>
        <w:t>→紫外消毒→</w:t>
      </w:r>
      <w:r>
        <w:rPr>
          <w:rFonts w:hint="eastAsia"/>
          <w:color w:val="auto"/>
          <w:u w:val="none"/>
          <w:lang w:eastAsia="zh-CN"/>
        </w:rPr>
        <w:t>清水池</w:t>
      </w:r>
      <w:r>
        <w:rPr>
          <w:rFonts w:hint="eastAsia"/>
          <w:color w:val="auto"/>
          <w:u w:val="none"/>
          <w:lang w:bidi="zh-CN"/>
        </w:rPr>
        <w:t>”处理工艺，出水各项因子达到</w:t>
      </w:r>
      <w:r>
        <w:rPr>
          <w:rFonts w:hint="eastAsia"/>
          <w:color w:val="auto"/>
          <w:u w:val="none"/>
        </w:rPr>
        <w:t>《城镇污水处理厂污染物排放标准》（GB18918-2002）表1中一级A标准</w:t>
      </w:r>
      <w:r>
        <w:rPr>
          <w:rFonts w:hint="eastAsia"/>
          <w:color w:val="auto"/>
          <w:u w:val="none"/>
          <w:lang w:bidi="zh-CN"/>
        </w:rPr>
        <w:t>排入猛洞河。建设项目的工艺设备及厂区构筑物内部均设置地面硬化，污水处理建筑物均设有防渗层，在厂区各设备及设施均达到设计要求条件下的运行状况不会产生泄露、漫流，不会对土壤环境产生影响。</w:t>
      </w:r>
    </w:p>
    <w:p>
      <w:pPr>
        <w:ind w:firstLine="480"/>
        <w:rPr>
          <w:rFonts w:hint="eastAsia"/>
          <w:color w:val="auto"/>
          <w:u w:val="single"/>
          <w:lang w:bidi="zh-CN"/>
        </w:rPr>
      </w:pPr>
      <w:r>
        <w:rPr>
          <w:rFonts w:hint="eastAsia"/>
          <w:color w:val="auto"/>
          <w:u w:val="single"/>
          <w:lang w:bidi="zh-CN"/>
        </w:rPr>
        <w:t>（3）固废对土壤环境的影响及评价</w:t>
      </w:r>
    </w:p>
    <w:p>
      <w:pPr>
        <w:ind w:firstLine="480"/>
        <w:rPr>
          <w:rFonts w:hint="eastAsia"/>
          <w:color w:val="auto"/>
          <w:u w:val="single"/>
          <w:lang w:bidi="zh-CN"/>
        </w:rPr>
      </w:pPr>
      <w:r>
        <w:rPr>
          <w:rFonts w:hint="eastAsia"/>
          <w:color w:val="auto"/>
          <w:u w:val="single"/>
          <w:lang w:bidi="zh-CN"/>
        </w:rPr>
        <w:t>本项目产生的主要固废为沉渣、污泥、栅渣和生活垃圾，污泥干化前暂存于污泥池内，感化后污泥无法及时外运时暂存于危废暂存间，危废暂存间</w:t>
      </w:r>
      <w:r>
        <w:rPr>
          <w:rFonts w:hint="eastAsia"/>
          <w:color w:val="auto"/>
          <w:u w:val="single"/>
          <w:lang w:eastAsia="zh-CN"/>
        </w:rPr>
        <w:t>《危险废物贮存污染控</w:t>
      </w:r>
      <w:r>
        <w:rPr>
          <w:rFonts w:hint="default" w:ascii="Times New Roman" w:hAnsi="Times New Roman" w:cs="Times New Roman"/>
          <w:color w:val="auto"/>
          <w:u w:val="single"/>
          <w:lang w:eastAsia="zh-CN"/>
        </w:rPr>
        <w:t>制标准》（GB18579-2001）及2013年</w:t>
      </w:r>
      <w:r>
        <w:rPr>
          <w:rFonts w:hint="eastAsia"/>
          <w:color w:val="auto"/>
          <w:u w:val="single"/>
          <w:lang w:eastAsia="zh-CN"/>
        </w:rPr>
        <w:t>修改单中的相关要求进行设置</w:t>
      </w:r>
      <w:r>
        <w:rPr>
          <w:rFonts w:hint="eastAsia"/>
          <w:color w:val="auto"/>
          <w:u w:val="single"/>
          <w:lang w:bidi="zh-CN"/>
        </w:rPr>
        <w:t>，正常情况下不会对土壤环境产生影响。</w:t>
      </w:r>
    </w:p>
    <w:p>
      <w:pPr>
        <w:ind w:firstLine="480"/>
        <w:rPr>
          <w:rFonts w:hint="eastAsia"/>
          <w:color w:val="auto"/>
          <w:u w:val="single"/>
          <w:lang w:bidi="zh-CN"/>
        </w:rPr>
      </w:pPr>
      <w:r>
        <w:rPr>
          <w:rFonts w:hint="eastAsia"/>
          <w:color w:val="auto"/>
          <w:u w:val="single"/>
          <w:lang w:bidi="zh-CN"/>
        </w:rPr>
        <w:t>栅渣主要成分为塑料、废纸、布料、砂粒等杂质，属于一般固废，收集的栅渣暂存于各装置配套安装的渣箱内，定期清运，不会对土壤环境产生影响。</w:t>
      </w:r>
    </w:p>
    <w:p>
      <w:pPr>
        <w:ind w:firstLine="480"/>
        <w:rPr>
          <w:rFonts w:hint="eastAsia"/>
          <w:color w:val="auto"/>
          <w:u w:val="single"/>
          <w:lang w:bidi="zh-CN"/>
        </w:rPr>
      </w:pPr>
      <w:r>
        <w:rPr>
          <w:rFonts w:hint="eastAsia"/>
          <w:color w:val="auto"/>
          <w:u w:val="single"/>
          <w:lang w:bidi="zh-CN"/>
        </w:rPr>
        <w:t>废紫外线灯管、废活性炭由厂家定期更换回收处置，不在场内暂存，正常情况下不会对土壤环境产生影响。</w:t>
      </w:r>
    </w:p>
    <w:p>
      <w:pPr>
        <w:ind w:firstLine="480"/>
        <w:rPr>
          <w:color w:val="auto"/>
          <w:u w:val="single"/>
          <w:lang w:bidi="zh-CN"/>
        </w:rPr>
      </w:pPr>
      <w:r>
        <w:rPr>
          <w:rFonts w:hint="eastAsia"/>
          <w:color w:val="auto"/>
          <w:u w:val="single"/>
          <w:lang w:bidi="zh-CN"/>
        </w:rPr>
        <w:t>生活垃圾收集至厂区内垃圾桶，由当地环卫部门负责定期清运，不会对土壤环境产生影响。</w:t>
      </w:r>
    </w:p>
    <w:p>
      <w:pPr>
        <w:keepNext/>
        <w:keepLines/>
        <w:ind w:firstLine="0" w:firstLineChars="0"/>
        <w:outlineLvl w:val="3"/>
        <w:rPr>
          <w:rFonts w:hint="eastAsia"/>
          <w:b/>
          <w:color w:val="auto"/>
          <w:kern w:val="0"/>
          <w:u w:val="none"/>
          <w:lang w:bidi="zh-CN"/>
        </w:rPr>
      </w:pPr>
      <w:r>
        <w:rPr>
          <w:rFonts w:hint="eastAsia"/>
          <w:b/>
          <w:color w:val="auto"/>
          <w:kern w:val="0"/>
          <w:u w:val="none"/>
          <w:lang w:bidi="zh-CN"/>
        </w:rPr>
        <w:t>4</w:t>
      </w:r>
      <w:r>
        <w:rPr>
          <w:b/>
          <w:color w:val="auto"/>
          <w:kern w:val="0"/>
          <w:u w:val="none"/>
          <w:lang w:bidi="zh-CN"/>
        </w:rPr>
        <w:t>.2.6</w:t>
      </w:r>
      <w:r>
        <w:rPr>
          <w:rFonts w:hint="eastAsia"/>
          <w:b/>
          <w:color w:val="auto"/>
          <w:kern w:val="0"/>
          <w:u w:val="none"/>
          <w:lang w:bidi="zh-CN"/>
        </w:rPr>
        <w:t>.</w:t>
      </w:r>
      <w:r>
        <w:rPr>
          <w:b/>
          <w:color w:val="auto"/>
          <w:kern w:val="0"/>
          <w:u w:val="none"/>
          <w:lang w:bidi="zh-CN"/>
        </w:rPr>
        <w:t>6</w:t>
      </w:r>
      <w:r>
        <w:rPr>
          <w:rFonts w:hint="eastAsia"/>
          <w:b/>
          <w:color w:val="auto"/>
          <w:kern w:val="0"/>
          <w:u w:val="none"/>
          <w:lang w:bidi="zh-CN"/>
        </w:rPr>
        <w:t>土壤污染控制措施</w:t>
      </w:r>
    </w:p>
    <w:p>
      <w:pPr>
        <w:ind w:firstLine="480"/>
        <w:rPr>
          <w:rFonts w:hint="eastAsia"/>
          <w:color w:val="auto"/>
          <w:u w:val="none"/>
        </w:rPr>
      </w:pPr>
      <w:r>
        <w:rPr>
          <w:rFonts w:hint="eastAsia"/>
          <w:color w:val="auto"/>
          <w:u w:val="none"/>
        </w:rPr>
        <w:t>本环评要求采取以下土壤污染控制措施：</w:t>
      </w:r>
    </w:p>
    <w:p>
      <w:pPr>
        <w:ind w:firstLine="480"/>
        <w:rPr>
          <w:rFonts w:hint="eastAsia"/>
          <w:color w:val="auto"/>
          <w:u w:val="none"/>
        </w:rPr>
      </w:pPr>
      <w:r>
        <w:rPr>
          <w:rFonts w:hint="eastAsia"/>
          <w:color w:val="auto"/>
          <w:u w:val="none"/>
        </w:rPr>
        <w:t>（1）控制项目“三废”的排放，减少污染物质，控制污染物排放的数量和浓度，使之符合排放标准和总量要求。</w:t>
      </w:r>
    </w:p>
    <w:p>
      <w:pPr>
        <w:ind w:firstLine="480"/>
        <w:rPr>
          <w:rFonts w:hint="eastAsia"/>
          <w:color w:val="auto"/>
          <w:u w:val="none"/>
        </w:rPr>
      </w:pPr>
      <w:r>
        <w:rPr>
          <w:rFonts w:hint="eastAsia"/>
          <w:color w:val="auto"/>
          <w:u w:val="none"/>
        </w:rPr>
        <w:t>（</w:t>
      </w:r>
      <w:r>
        <w:rPr>
          <w:color w:val="auto"/>
          <w:u w:val="none"/>
        </w:rPr>
        <w:t>2</w:t>
      </w:r>
      <w:r>
        <w:rPr>
          <w:rFonts w:hint="eastAsia"/>
          <w:color w:val="auto"/>
          <w:u w:val="none"/>
        </w:rPr>
        <w:t>）防渗措施：</w:t>
      </w:r>
    </w:p>
    <w:p>
      <w:pPr>
        <w:ind w:firstLine="480"/>
        <w:rPr>
          <w:rFonts w:hint="eastAsia"/>
          <w:color w:val="auto"/>
          <w:u w:val="none"/>
        </w:rPr>
      </w:pPr>
      <w:r>
        <w:rPr>
          <w:rFonts w:hint="eastAsia"/>
          <w:color w:val="auto"/>
          <w:u w:val="none"/>
        </w:rPr>
        <w:t>①</w:t>
      </w:r>
      <w:r>
        <w:rPr>
          <w:rFonts w:hint="eastAsia"/>
          <w:color w:val="auto"/>
          <w:u w:val="none"/>
          <w:lang w:eastAsia="zh-CN"/>
        </w:rPr>
        <w:t>污泥脱水间</w:t>
      </w:r>
      <w:r>
        <w:rPr>
          <w:rFonts w:hint="eastAsia"/>
          <w:color w:val="auto"/>
          <w:u w:val="none"/>
        </w:rPr>
        <w:t>及</w:t>
      </w:r>
      <w:r>
        <w:rPr>
          <w:rFonts w:hint="eastAsia"/>
          <w:color w:val="auto"/>
          <w:u w:val="none"/>
          <w:lang w:eastAsia="zh-CN"/>
        </w:rPr>
        <w:t>污泥池</w:t>
      </w:r>
      <w:r>
        <w:rPr>
          <w:rFonts w:hint="eastAsia"/>
          <w:color w:val="auto"/>
          <w:u w:val="none"/>
        </w:rPr>
        <w:t>防渗：地面采用水泥硬化，污泥处置在室内进行，污泥暂存进行加盖及围挡，周围设置废水收集沟，收集的废水回到厂区内的污水处理设施进行处理。</w:t>
      </w:r>
    </w:p>
    <w:p>
      <w:pPr>
        <w:ind w:firstLine="480"/>
        <w:rPr>
          <w:rFonts w:hint="eastAsia"/>
          <w:color w:val="auto"/>
          <w:u w:val="none"/>
        </w:rPr>
      </w:pPr>
      <w:r>
        <w:rPr>
          <w:rFonts w:hint="eastAsia"/>
          <w:color w:val="auto"/>
          <w:u w:val="none"/>
        </w:rPr>
        <w:t>②污水管网铺设防渗：各处理构筑物为钢混结构或钢制防腐结构，污水管道采用耐腐蚀、防渗漏材料，接头全部进行防渗处理。</w:t>
      </w:r>
    </w:p>
    <w:p>
      <w:pPr>
        <w:ind w:firstLine="480"/>
        <w:rPr>
          <w:color w:val="auto"/>
          <w:u w:val="none"/>
        </w:rPr>
      </w:pPr>
      <w:r>
        <w:rPr>
          <w:rFonts w:hint="eastAsia"/>
          <w:color w:val="auto"/>
          <w:u w:val="none"/>
        </w:rPr>
        <w:t>③生产过程中做好对设备的维护、检修，切实杜绝“跑、冒、滴、漏”现象发生，同时，应加强关键部位的安全防护、报警措施，以便及时发现事故隐患，采取有效的应对措施以防事故的发生。</w:t>
      </w:r>
    </w:p>
    <w:p>
      <w:pPr>
        <w:keepNext/>
        <w:keepLines/>
        <w:ind w:firstLine="0" w:firstLineChars="0"/>
        <w:outlineLvl w:val="3"/>
        <w:rPr>
          <w:rFonts w:hint="eastAsia"/>
          <w:b/>
          <w:color w:val="auto"/>
          <w:kern w:val="0"/>
          <w:u w:val="none"/>
          <w:lang w:bidi="zh-CN"/>
        </w:rPr>
      </w:pPr>
      <w:r>
        <w:rPr>
          <w:rFonts w:hint="eastAsia"/>
          <w:b/>
          <w:color w:val="auto"/>
          <w:kern w:val="0"/>
          <w:u w:val="none"/>
          <w:lang w:bidi="zh-CN"/>
        </w:rPr>
        <w:t>4</w:t>
      </w:r>
      <w:r>
        <w:rPr>
          <w:b/>
          <w:color w:val="auto"/>
          <w:kern w:val="0"/>
          <w:u w:val="none"/>
          <w:lang w:bidi="zh-CN"/>
        </w:rPr>
        <w:t>.2.6</w:t>
      </w:r>
      <w:r>
        <w:rPr>
          <w:rFonts w:hint="eastAsia"/>
          <w:b/>
          <w:color w:val="auto"/>
          <w:kern w:val="0"/>
          <w:u w:val="none"/>
          <w:lang w:bidi="zh-CN"/>
        </w:rPr>
        <w:t>.</w:t>
      </w:r>
      <w:r>
        <w:rPr>
          <w:b/>
          <w:color w:val="auto"/>
          <w:kern w:val="0"/>
          <w:u w:val="none"/>
          <w:lang w:bidi="zh-CN"/>
        </w:rPr>
        <w:t>7</w:t>
      </w:r>
      <w:r>
        <w:rPr>
          <w:rFonts w:hint="eastAsia"/>
          <w:b/>
          <w:color w:val="auto"/>
          <w:kern w:val="0"/>
          <w:u w:val="none"/>
          <w:lang w:bidi="zh-CN"/>
        </w:rPr>
        <w:t>小结</w:t>
      </w:r>
    </w:p>
    <w:p>
      <w:pPr>
        <w:ind w:firstLine="480"/>
        <w:rPr>
          <w:color w:val="auto"/>
          <w:u w:val="none"/>
        </w:rPr>
      </w:pPr>
      <w:r>
        <w:rPr>
          <w:rFonts w:hint="eastAsia"/>
          <w:color w:val="auto"/>
          <w:u w:val="none"/>
        </w:rPr>
        <w:t>根据本项目建设特点，经采用源头控制、分区防渗、加强运营期的管理等措施，在采取以上措施后，建设项目对土壤环境的影响较小，本建设项目对土壤环境的影响可以控制。</w:t>
      </w:r>
    </w:p>
    <w:p>
      <w:pPr>
        <w:pStyle w:val="6"/>
        <w:bidi w:val="0"/>
        <w:rPr>
          <w:rFonts w:hint="default"/>
          <w:u w:val="single"/>
          <w:lang w:val="en-US" w:eastAsia="zh-CN"/>
        </w:rPr>
      </w:pPr>
      <w:bookmarkStart w:id="235" w:name="_Toc3002"/>
      <w:r>
        <w:rPr>
          <w:rFonts w:hint="eastAsia"/>
          <w:u w:val="single"/>
          <w:lang w:val="en-US" w:eastAsia="zh-CN"/>
        </w:rPr>
        <w:t>4.2.7生态环境影响分析</w:t>
      </w:r>
    </w:p>
    <w:p>
      <w:pPr>
        <w:pStyle w:val="69"/>
        <w:rPr>
          <w:rFonts w:hint="default" w:ascii="Times New Roman" w:hAnsi="Times New Roman" w:eastAsia="宋体" w:cs="Times New Roman"/>
          <w:b/>
          <w:color w:val="auto"/>
          <w:u w:val="single"/>
          <w:lang w:val="en-US" w:eastAsia="zh-CN"/>
        </w:rPr>
      </w:pPr>
      <w:r>
        <w:rPr>
          <w:rFonts w:hint="eastAsia" w:ascii="Times New Roman" w:hAnsi="Times New Roman" w:eastAsia="宋体" w:cs="Times New Roman"/>
          <w:b/>
          <w:color w:val="auto"/>
          <w:u w:val="single"/>
          <w:lang w:val="en-US" w:eastAsia="zh-CN"/>
        </w:rPr>
        <w:t>4.2.7.1评价等级及范围</w:t>
      </w:r>
    </w:p>
    <w:p>
      <w:r>
        <w:rPr>
          <w:rFonts w:hint="eastAsia"/>
          <w:u w:val="single"/>
          <w:lang w:eastAsia="zh-CN"/>
        </w:rPr>
        <w:t>根据本报告</w:t>
      </w:r>
      <w:r>
        <w:rPr>
          <w:rFonts w:hint="eastAsia"/>
          <w:u w:val="single"/>
          <w:lang w:val="en-US" w:eastAsia="zh-CN"/>
        </w:rPr>
        <w:t>1.7.5章节判定</w:t>
      </w:r>
      <w:r>
        <w:rPr>
          <w:rFonts w:hint="eastAsia"/>
          <w:color w:val="auto"/>
          <w:kern w:val="0"/>
          <w:szCs w:val="21"/>
          <w:u w:val="single"/>
          <w:lang w:eastAsia="zh-CN"/>
        </w:rPr>
        <w:t>本项目生态环境评价等级为二级。</w:t>
      </w:r>
      <w:r>
        <w:rPr>
          <w:rFonts w:hint="eastAsia"/>
          <w:color w:val="auto"/>
          <w:kern w:val="0"/>
          <w:szCs w:val="21"/>
          <w:u w:val="single"/>
        </w:rPr>
        <w:t>生态环境评价范围为污水处理厂占地区域及周围</w:t>
      </w:r>
      <w:r>
        <w:rPr>
          <w:rFonts w:hint="eastAsia"/>
          <w:color w:val="auto"/>
          <w:kern w:val="0"/>
          <w:szCs w:val="21"/>
          <w:u w:val="single"/>
          <w:lang w:val="en-US" w:eastAsia="zh-CN"/>
        </w:rPr>
        <w:t>300</w:t>
      </w:r>
      <w:r>
        <w:rPr>
          <w:rFonts w:hint="eastAsia"/>
          <w:color w:val="auto"/>
          <w:kern w:val="0"/>
          <w:szCs w:val="21"/>
          <w:u w:val="single"/>
        </w:rPr>
        <w:t>m范围</w:t>
      </w:r>
      <w:r>
        <w:rPr>
          <w:rFonts w:hint="eastAsia"/>
          <w:color w:val="auto"/>
          <w:kern w:val="0"/>
          <w:szCs w:val="21"/>
          <w:u w:val="single"/>
          <w:lang w:eastAsia="zh-CN"/>
        </w:rPr>
        <w:t>、</w:t>
      </w:r>
      <w:r>
        <w:rPr>
          <w:rFonts w:hint="eastAsia"/>
          <w:color w:val="auto"/>
          <w:kern w:val="0"/>
          <w:szCs w:val="21"/>
          <w:u w:val="single"/>
        </w:rPr>
        <w:t>污水管线</w:t>
      </w:r>
      <w:r>
        <w:rPr>
          <w:rFonts w:hint="eastAsia"/>
          <w:color w:val="auto"/>
          <w:kern w:val="0"/>
          <w:szCs w:val="21"/>
          <w:u w:val="single"/>
          <w:lang w:eastAsia="zh-CN"/>
        </w:rPr>
        <w:t>外延</w:t>
      </w:r>
      <w:r>
        <w:rPr>
          <w:rFonts w:hint="eastAsia"/>
          <w:color w:val="auto"/>
          <w:kern w:val="0"/>
          <w:szCs w:val="21"/>
          <w:u w:val="single"/>
        </w:rPr>
        <w:t>100m范围。</w:t>
      </w:r>
    </w:p>
    <w:p>
      <w:pPr>
        <w:bidi w:val="0"/>
        <w:ind w:left="0" w:leftChars="0" w:firstLine="0" w:firstLineChars="0"/>
        <w:rPr>
          <w:rFonts w:hint="default" w:ascii="Times New Roman" w:hAnsi="Times New Roman" w:eastAsia="宋体" w:cs="Times New Roman"/>
          <w:b/>
          <w:color w:val="auto"/>
          <w:kern w:val="0"/>
          <w:sz w:val="24"/>
          <w:szCs w:val="24"/>
          <w:u w:val="single"/>
          <w:lang w:val="en-US" w:eastAsia="zh-CN" w:bidi="zh-CN"/>
        </w:rPr>
      </w:pPr>
      <w:r>
        <w:rPr>
          <w:rFonts w:hint="eastAsia" w:ascii="Times New Roman" w:hAnsi="Times New Roman" w:eastAsia="宋体" w:cs="Times New Roman"/>
          <w:b/>
          <w:color w:val="auto"/>
          <w:kern w:val="0"/>
          <w:sz w:val="24"/>
          <w:szCs w:val="24"/>
          <w:u w:val="single"/>
          <w:lang w:val="en-US" w:eastAsia="zh-CN" w:bidi="zh-CN"/>
        </w:rPr>
        <w:t>4.2.7.2评价时段</w:t>
      </w:r>
    </w:p>
    <w:p>
      <w:pPr>
        <w:bidi w:val="0"/>
        <w:rPr>
          <w:rFonts w:hint="eastAsia" w:eastAsia="宋体"/>
          <w:lang w:eastAsia="zh-CN"/>
        </w:rPr>
      </w:pPr>
      <w:r>
        <w:rPr>
          <w:u w:val="single"/>
        </w:rPr>
        <w:t>评价时段为工程施工期</w:t>
      </w:r>
      <w:r>
        <w:rPr>
          <w:rFonts w:hint="eastAsia"/>
          <w:u w:val="single"/>
          <w:lang w:eastAsia="zh-CN"/>
        </w:rPr>
        <w:t>。</w:t>
      </w:r>
    </w:p>
    <w:p>
      <w:pPr>
        <w:bidi w:val="0"/>
        <w:ind w:left="0" w:leftChars="0" w:firstLine="0" w:firstLineChars="0"/>
        <w:rPr>
          <w:rFonts w:hint="default" w:ascii="Times New Roman" w:hAnsi="Times New Roman" w:eastAsia="宋体" w:cs="Times New Roman"/>
          <w:b/>
          <w:color w:val="auto"/>
          <w:kern w:val="0"/>
          <w:sz w:val="24"/>
          <w:szCs w:val="24"/>
          <w:u w:val="single"/>
          <w:lang w:val="en-US" w:eastAsia="zh-CN" w:bidi="zh-CN"/>
        </w:rPr>
      </w:pPr>
      <w:r>
        <w:rPr>
          <w:rFonts w:hint="eastAsia" w:ascii="Times New Roman" w:hAnsi="Times New Roman" w:eastAsia="宋体" w:cs="Times New Roman"/>
          <w:b/>
          <w:color w:val="auto"/>
          <w:kern w:val="0"/>
          <w:sz w:val="24"/>
          <w:szCs w:val="24"/>
          <w:u w:val="single"/>
          <w:lang w:val="en-US" w:eastAsia="zh-CN" w:bidi="zh-CN"/>
        </w:rPr>
        <w:t>4.2.7.3生态环境保护目标</w:t>
      </w:r>
    </w:p>
    <w:p>
      <w:pPr>
        <w:bidi w:val="0"/>
        <w:rPr>
          <w:rFonts w:hint="eastAsia"/>
          <w:u w:val="single"/>
        </w:rPr>
      </w:pPr>
      <w:r>
        <w:rPr>
          <w:u w:val="single"/>
          <w:lang w:val="zh-CN"/>
        </w:rPr>
        <w:t>根据</w:t>
      </w:r>
      <w:r>
        <w:rPr>
          <w:rFonts w:hint="eastAsia"/>
          <w:u w:val="single"/>
          <w:lang w:val="zh-CN"/>
        </w:rPr>
        <w:t>《湖南省生态功能区划》（湖南省环境保护局，2005年11月）</w:t>
      </w:r>
      <w:r>
        <w:rPr>
          <w:rFonts w:hint="eastAsia"/>
          <w:u w:val="single"/>
        </w:rPr>
        <w:t>，</w:t>
      </w:r>
      <w:r>
        <w:rPr>
          <w:u w:val="single"/>
        </w:rPr>
        <w:t>评价区的生态功能区划属于</w:t>
      </w:r>
      <w:r>
        <w:rPr>
          <w:rFonts w:hint="eastAsia"/>
          <w:u w:val="single"/>
          <w:lang w:eastAsia="zh-CN"/>
        </w:rPr>
        <w:t>湘西北山地生态保育与红色砂岩生态旅游生态功能区——生物多样性保育亚区</w:t>
      </w:r>
      <w:r>
        <w:rPr>
          <w:rFonts w:hint="eastAsia"/>
          <w:u w:val="single"/>
        </w:rPr>
        <w:t>，主要生态服务功能为水土保持等。根据生态功能区的保护要求与定位，本工程生态环境保护目标包括：自然生态系统、重要的水源涵养地、自然景观、珍稀濒危野生动植物保护等。</w:t>
      </w:r>
    </w:p>
    <w:p>
      <w:pPr>
        <w:pStyle w:val="6"/>
        <w:rPr>
          <w:rFonts w:hint="eastAsia" w:ascii="Times New Roman" w:hAnsi="Times New Roman" w:eastAsia="宋体" w:cs="Times New Roman"/>
          <w:b/>
          <w:bCs w:val="0"/>
          <w:color w:val="auto"/>
          <w:kern w:val="0"/>
          <w:sz w:val="24"/>
          <w:szCs w:val="24"/>
          <w:u w:val="single"/>
          <w:lang w:val="en-US" w:eastAsia="zh-CN" w:bidi="zh-CN"/>
        </w:rPr>
      </w:pPr>
      <w:r>
        <w:rPr>
          <w:rFonts w:hint="eastAsia" w:ascii="Times New Roman" w:hAnsi="Times New Roman" w:eastAsia="宋体" w:cs="Times New Roman"/>
          <w:b/>
          <w:bCs w:val="0"/>
          <w:color w:val="auto"/>
          <w:kern w:val="0"/>
          <w:sz w:val="24"/>
          <w:szCs w:val="24"/>
          <w:u w:val="single"/>
          <w:lang w:val="en-US" w:eastAsia="zh-CN" w:bidi="zh-CN"/>
        </w:rPr>
        <w:t>4.2.7.4</w:t>
      </w:r>
      <w:bookmarkStart w:id="236" w:name="_Toc3463"/>
      <w:bookmarkStart w:id="237" w:name="_Toc14454"/>
      <w:bookmarkStart w:id="238" w:name="_Toc23233345"/>
      <w:r>
        <w:rPr>
          <w:rFonts w:hint="eastAsia" w:ascii="Times New Roman" w:hAnsi="Times New Roman" w:eastAsia="宋体" w:cs="Times New Roman"/>
          <w:b/>
          <w:bCs w:val="0"/>
          <w:color w:val="auto"/>
          <w:kern w:val="0"/>
          <w:sz w:val="24"/>
          <w:szCs w:val="24"/>
          <w:u w:val="single"/>
          <w:lang w:val="en-US" w:eastAsia="zh-CN" w:bidi="zh-CN"/>
        </w:rPr>
        <w:t>生态环境敏感目标</w:t>
      </w:r>
      <w:bookmarkEnd w:id="236"/>
      <w:bookmarkEnd w:id="237"/>
      <w:bookmarkEnd w:id="238"/>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通过对工程影响区域环境敏感点的资料分析和调查，确定本工程主要环境敏感目标见表</w:t>
      </w:r>
      <w:r>
        <w:rPr>
          <w:rFonts w:hint="eastAsia" w:ascii="Times New Roman" w:hAnsi="Times New Roman"/>
          <w:sz w:val="24"/>
          <w:szCs w:val="24"/>
          <w:u w:val="single"/>
          <w:lang w:val="en-US" w:eastAsia="zh-CN"/>
        </w:rPr>
        <w:t>4.2-15</w:t>
      </w:r>
      <w:r>
        <w:rPr>
          <w:rFonts w:ascii="Times New Roman" w:hAnsi="Times New Roman"/>
          <w:sz w:val="24"/>
          <w:szCs w:val="24"/>
          <w:u w:val="single"/>
        </w:rPr>
        <w:t>。</w:t>
      </w:r>
      <w:bookmarkStart w:id="239" w:name="_Toc181591970"/>
      <w:bookmarkEnd w:id="239"/>
      <w:bookmarkStart w:id="240" w:name="_Toc181603557"/>
      <w:bookmarkEnd w:id="240"/>
      <w:bookmarkStart w:id="241" w:name="_Toc234375847"/>
      <w:bookmarkEnd w:id="241"/>
    </w:p>
    <w:p>
      <w:pPr>
        <w:pStyle w:val="124"/>
        <w:bidi w:val="0"/>
        <w:rPr>
          <w:u w:val="single"/>
        </w:rPr>
      </w:pPr>
      <w:r>
        <w:rPr>
          <w:u w:val="single"/>
        </w:rPr>
        <w:t>表</w:t>
      </w:r>
      <w:r>
        <w:rPr>
          <w:rFonts w:hint="eastAsia"/>
          <w:u w:val="single"/>
          <w:lang w:val="en-US" w:eastAsia="zh-CN"/>
        </w:rPr>
        <w:t>4.2-15</w:t>
      </w:r>
      <w:r>
        <w:rPr>
          <w:rFonts w:hint="eastAsia"/>
          <w:u w:val="single"/>
        </w:rPr>
        <w:t>：</w:t>
      </w:r>
      <w:r>
        <w:rPr>
          <w:u w:val="single"/>
        </w:rPr>
        <w:t>评价区生态环境保护目标一览表</w:t>
      </w:r>
    </w:p>
    <w:tbl>
      <w:tblPr>
        <w:tblStyle w:val="36"/>
        <w:tblW w:w="47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767"/>
        <w:gridCol w:w="2161"/>
        <w:gridCol w:w="2021"/>
        <w:gridCol w:w="1248"/>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20" w:type="pct"/>
            <w:noWrap w:val="0"/>
            <w:vAlign w:val="center"/>
          </w:tcPr>
          <w:p>
            <w:pPr>
              <w:pStyle w:val="13"/>
              <w:rPr>
                <w:rFonts w:hint="eastAsia"/>
                <w:b/>
                <w:bCs/>
                <w:sz w:val="21"/>
                <w:szCs w:val="21"/>
                <w:u w:val="single"/>
              </w:rPr>
            </w:pPr>
            <w:r>
              <w:rPr>
                <w:rFonts w:hint="eastAsia"/>
                <w:b/>
                <w:bCs/>
                <w:sz w:val="21"/>
                <w:szCs w:val="21"/>
                <w:u w:val="single"/>
              </w:rPr>
              <w:t>序号</w:t>
            </w:r>
          </w:p>
        </w:tc>
        <w:tc>
          <w:tcPr>
            <w:tcW w:w="471" w:type="pct"/>
            <w:noWrap w:val="0"/>
            <w:vAlign w:val="center"/>
          </w:tcPr>
          <w:p>
            <w:pPr>
              <w:pStyle w:val="13"/>
              <w:rPr>
                <w:rFonts w:hint="eastAsia"/>
                <w:b/>
                <w:bCs/>
                <w:sz w:val="21"/>
                <w:szCs w:val="21"/>
                <w:u w:val="single"/>
              </w:rPr>
            </w:pPr>
            <w:r>
              <w:rPr>
                <w:rFonts w:hint="eastAsia"/>
                <w:b/>
                <w:bCs/>
                <w:sz w:val="21"/>
                <w:szCs w:val="21"/>
                <w:u w:val="single"/>
              </w:rPr>
              <w:t>名称</w:t>
            </w:r>
          </w:p>
        </w:tc>
        <w:tc>
          <w:tcPr>
            <w:tcW w:w="1327" w:type="pct"/>
            <w:noWrap w:val="0"/>
            <w:vAlign w:val="center"/>
          </w:tcPr>
          <w:p>
            <w:pPr>
              <w:pStyle w:val="13"/>
              <w:rPr>
                <w:b/>
                <w:bCs/>
                <w:sz w:val="21"/>
                <w:szCs w:val="21"/>
                <w:u w:val="single"/>
              </w:rPr>
            </w:pPr>
            <w:r>
              <w:rPr>
                <w:rFonts w:hint="eastAsia"/>
                <w:b/>
                <w:bCs/>
                <w:sz w:val="21"/>
                <w:szCs w:val="21"/>
                <w:u w:val="single"/>
              </w:rPr>
              <w:t>规模及特征</w:t>
            </w:r>
          </w:p>
        </w:tc>
        <w:tc>
          <w:tcPr>
            <w:tcW w:w="1241" w:type="pct"/>
            <w:noWrap w:val="0"/>
            <w:vAlign w:val="center"/>
          </w:tcPr>
          <w:p>
            <w:pPr>
              <w:pStyle w:val="13"/>
              <w:rPr>
                <w:b/>
                <w:bCs/>
                <w:sz w:val="21"/>
                <w:szCs w:val="21"/>
                <w:u w:val="single"/>
              </w:rPr>
            </w:pPr>
            <w:r>
              <w:rPr>
                <w:rFonts w:hint="eastAsia"/>
                <w:b/>
                <w:bCs/>
                <w:sz w:val="21"/>
                <w:szCs w:val="21"/>
                <w:u w:val="single"/>
              </w:rPr>
              <w:t>与工程位置关系</w:t>
            </w:r>
          </w:p>
        </w:tc>
        <w:tc>
          <w:tcPr>
            <w:tcW w:w="766" w:type="pct"/>
            <w:noWrap w:val="0"/>
            <w:vAlign w:val="center"/>
          </w:tcPr>
          <w:p>
            <w:pPr>
              <w:pStyle w:val="13"/>
              <w:rPr>
                <w:rFonts w:hint="eastAsia"/>
                <w:b/>
                <w:bCs/>
                <w:sz w:val="21"/>
                <w:szCs w:val="21"/>
                <w:u w:val="single"/>
              </w:rPr>
            </w:pPr>
            <w:r>
              <w:rPr>
                <w:rFonts w:hint="eastAsia"/>
                <w:b/>
                <w:bCs/>
                <w:sz w:val="21"/>
                <w:szCs w:val="21"/>
                <w:u w:val="single"/>
              </w:rPr>
              <w:t>影响源和时段</w:t>
            </w:r>
          </w:p>
        </w:tc>
        <w:tc>
          <w:tcPr>
            <w:tcW w:w="871" w:type="pct"/>
            <w:noWrap w:val="0"/>
            <w:vAlign w:val="center"/>
          </w:tcPr>
          <w:p>
            <w:pPr>
              <w:pStyle w:val="13"/>
              <w:rPr>
                <w:rFonts w:hint="eastAsia"/>
                <w:b/>
                <w:bCs/>
                <w:sz w:val="21"/>
                <w:szCs w:val="21"/>
                <w:u w:val="single"/>
              </w:rPr>
            </w:pPr>
            <w:r>
              <w:rPr>
                <w:rFonts w:hint="eastAsia"/>
                <w:b/>
                <w:bCs/>
                <w:sz w:val="21"/>
                <w:szCs w:val="21"/>
                <w:u w:val="single"/>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7" w:hRule="atLeast"/>
        </w:trPr>
        <w:tc>
          <w:tcPr>
            <w:tcW w:w="320" w:type="pct"/>
            <w:noWrap w:val="0"/>
            <w:vAlign w:val="center"/>
          </w:tcPr>
          <w:p>
            <w:pPr>
              <w:pStyle w:val="13"/>
              <w:rPr>
                <w:rFonts w:hint="eastAsia"/>
                <w:sz w:val="21"/>
                <w:szCs w:val="21"/>
                <w:u w:val="single"/>
              </w:rPr>
            </w:pPr>
            <w:r>
              <w:rPr>
                <w:rFonts w:hint="eastAsia"/>
                <w:sz w:val="21"/>
                <w:szCs w:val="21"/>
                <w:u w:val="single"/>
              </w:rPr>
              <w:t>1</w:t>
            </w:r>
          </w:p>
        </w:tc>
        <w:tc>
          <w:tcPr>
            <w:tcW w:w="471" w:type="pct"/>
            <w:noWrap w:val="0"/>
            <w:vAlign w:val="center"/>
          </w:tcPr>
          <w:p>
            <w:pPr>
              <w:pStyle w:val="13"/>
              <w:rPr>
                <w:sz w:val="21"/>
                <w:szCs w:val="21"/>
                <w:u w:val="single"/>
              </w:rPr>
            </w:pPr>
            <w:r>
              <w:rPr>
                <w:sz w:val="21"/>
                <w:szCs w:val="21"/>
                <w:u w:val="single"/>
              </w:rPr>
              <w:t>野生动物</w:t>
            </w:r>
          </w:p>
        </w:tc>
        <w:tc>
          <w:tcPr>
            <w:tcW w:w="1327" w:type="pct"/>
            <w:noWrap w:val="0"/>
            <w:vAlign w:val="center"/>
          </w:tcPr>
          <w:p>
            <w:pPr>
              <w:pStyle w:val="13"/>
              <w:rPr>
                <w:sz w:val="21"/>
                <w:szCs w:val="21"/>
                <w:u w:val="single"/>
              </w:rPr>
            </w:pPr>
            <w:r>
              <w:rPr>
                <w:rFonts w:hint="eastAsia"/>
                <w:sz w:val="21"/>
                <w:szCs w:val="21"/>
                <w:u w:val="single"/>
              </w:rPr>
              <w:t>64</w:t>
            </w:r>
            <w:r>
              <w:rPr>
                <w:sz w:val="21"/>
                <w:szCs w:val="21"/>
                <w:u w:val="single"/>
              </w:rPr>
              <w:t>种：中华蟾蜍、黑斑侧褶蛙、泽陆蛙、中国石龙子、铜蜓蜥、山斑鸠、珠颈斑鸠、大杜鹃、大山雀、东方蝙蝠、华南兔、黄鼬和野猪等。</w:t>
            </w:r>
          </w:p>
        </w:tc>
        <w:tc>
          <w:tcPr>
            <w:tcW w:w="1241" w:type="pct"/>
            <w:noWrap w:val="0"/>
            <w:vAlign w:val="center"/>
          </w:tcPr>
          <w:p>
            <w:pPr>
              <w:pStyle w:val="13"/>
              <w:rPr>
                <w:sz w:val="21"/>
                <w:szCs w:val="21"/>
                <w:u w:val="single"/>
              </w:rPr>
            </w:pPr>
            <w:r>
              <w:rPr>
                <w:sz w:val="21"/>
                <w:szCs w:val="21"/>
                <w:u w:val="single"/>
              </w:rPr>
              <w:t>评价区内分布广泛</w:t>
            </w:r>
          </w:p>
        </w:tc>
        <w:tc>
          <w:tcPr>
            <w:tcW w:w="766" w:type="pct"/>
            <w:noWrap w:val="0"/>
            <w:vAlign w:val="center"/>
          </w:tcPr>
          <w:p>
            <w:pPr>
              <w:pStyle w:val="13"/>
              <w:rPr>
                <w:sz w:val="21"/>
                <w:szCs w:val="21"/>
                <w:u w:val="single"/>
              </w:rPr>
            </w:pPr>
            <w:r>
              <w:rPr>
                <w:rFonts w:hint="eastAsia"/>
                <w:sz w:val="21"/>
                <w:szCs w:val="21"/>
                <w:u w:val="single"/>
              </w:rPr>
              <w:t>施工活动、占地等</w:t>
            </w:r>
          </w:p>
        </w:tc>
        <w:tc>
          <w:tcPr>
            <w:tcW w:w="871" w:type="pct"/>
            <w:noWrap w:val="0"/>
            <w:vAlign w:val="center"/>
          </w:tcPr>
          <w:p>
            <w:pPr>
              <w:pStyle w:val="13"/>
              <w:rPr>
                <w:rFonts w:hint="eastAsia"/>
                <w:sz w:val="21"/>
                <w:szCs w:val="21"/>
                <w:u w:val="single"/>
              </w:rPr>
            </w:pPr>
            <w:r>
              <w:rPr>
                <w:rFonts w:hint="eastAsia"/>
                <w:sz w:val="21"/>
                <w:szCs w:val="21"/>
                <w:u w:val="single"/>
              </w:rPr>
              <w:t>禁止捕猎，控制施工活动范围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0" w:type="pct"/>
            <w:noWrap w:val="0"/>
            <w:vAlign w:val="center"/>
          </w:tcPr>
          <w:p>
            <w:pPr>
              <w:pStyle w:val="13"/>
              <w:rPr>
                <w:rFonts w:hint="eastAsia"/>
                <w:sz w:val="21"/>
                <w:szCs w:val="21"/>
                <w:u w:val="single"/>
              </w:rPr>
            </w:pPr>
            <w:r>
              <w:rPr>
                <w:rFonts w:hint="eastAsia"/>
                <w:sz w:val="21"/>
                <w:szCs w:val="21"/>
                <w:u w:val="single"/>
              </w:rPr>
              <w:t>2</w:t>
            </w:r>
          </w:p>
        </w:tc>
        <w:tc>
          <w:tcPr>
            <w:tcW w:w="471" w:type="pct"/>
            <w:noWrap w:val="0"/>
            <w:vAlign w:val="center"/>
          </w:tcPr>
          <w:p>
            <w:pPr>
              <w:pStyle w:val="13"/>
              <w:rPr>
                <w:sz w:val="21"/>
                <w:szCs w:val="21"/>
                <w:u w:val="single"/>
              </w:rPr>
            </w:pPr>
            <w:r>
              <w:rPr>
                <w:rFonts w:hint="eastAsia"/>
                <w:sz w:val="21"/>
                <w:szCs w:val="21"/>
                <w:u w:val="single"/>
              </w:rPr>
              <w:t>植被</w:t>
            </w:r>
          </w:p>
        </w:tc>
        <w:tc>
          <w:tcPr>
            <w:tcW w:w="1327" w:type="pct"/>
            <w:noWrap w:val="0"/>
            <w:vAlign w:val="center"/>
          </w:tcPr>
          <w:p>
            <w:pPr>
              <w:pStyle w:val="13"/>
              <w:rPr>
                <w:rFonts w:hint="eastAsia"/>
                <w:sz w:val="21"/>
                <w:szCs w:val="21"/>
                <w:u w:val="single"/>
              </w:rPr>
            </w:pPr>
            <w:r>
              <w:rPr>
                <w:rFonts w:hint="eastAsia"/>
                <w:sz w:val="21"/>
                <w:szCs w:val="21"/>
                <w:u w:val="single"/>
              </w:rPr>
              <w:t>维管植物111科300属426种</w:t>
            </w:r>
          </w:p>
        </w:tc>
        <w:tc>
          <w:tcPr>
            <w:tcW w:w="1241" w:type="pct"/>
            <w:noWrap w:val="0"/>
            <w:vAlign w:val="center"/>
          </w:tcPr>
          <w:p>
            <w:pPr>
              <w:pStyle w:val="13"/>
              <w:rPr>
                <w:rFonts w:hint="eastAsia"/>
                <w:sz w:val="21"/>
                <w:szCs w:val="21"/>
                <w:u w:val="single"/>
              </w:rPr>
            </w:pPr>
            <w:r>
              <w:rPr>
                <w:rFonts w:hint="eastAsia"/>
                <w:sz w:val="21"/>
                <w:szCs w:val="21"/>
                <w:u w:val="single"/>
              </w:rPr>
              <w:t>/</w:t>
            </w:r>
          </w:p>
        </w:tc>
        <w:tc>
          <w:tcPr>
            <w:tcW w:w="766" w:type="pct"/>
            <w:noWrap w:val="0"/>
            <w:vAlign w:val="center"/>
          </w:tcPr>
          <w:p>
            <w:pPr>
              <w:pStyle w:val="13"/>
              <w:rPr>
                <w:sz w:val="21"/>
                <w:szCs w:val="21"/>
                <w:u w:val="single"/>
              </w:rPr>
            </w:pPr>
            <w:r>
              <w:rPr>
                <w:rFonts w:hint="eastAsia"/>
                <w:sz w:val="21"/>
                <w:szCs w:val="21"/>
                <w:u w:val="single"/>
              </w:rPr>
              <w:t>工程永久占地、施工期的工程占地、道路开挖</w:t>
            </w:r>
          </w:p>
        </w:tc>
        <w:tc>
          <w:tcPr>
            <w:tcW w:w="871" w:type="pct"/>
            <w:noWrap w:val="0"/>
            <w:vAlign w:val="center"/>
          </w:tcPr>
          <w:p>
            <w:pPr>
              <w:pStyle w:val="13"/>
              <w:rPr>
                <w:rFonts w:hint="eastAsia"/>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5" w:hRule="atLeast"/>
        </w:trPr>
        <w:tc>
          <w:tcPr>
            <w:tcW w:w="320" w:type="pct"/>
            <w:noWrap w:val="0"/>
            <w:vAlign w:val="center"/>
          </w:tcPr>
          <w:p>
            <w:pPr>
              <w:pStyle w:val="13"/>
              <w:rPr>
                <w:rFonts w:hint="eastAsia"/>
                <w:sz w:val="21"/>
                <w:szCs w:val="21"/>
                <w:u w:val="single"/>
              </w:rPr>
            </w:pPr>
            <w:r>
              <w:rPr>
                <w:rFonts w:hint="eastAsia"/>
                <w:sz w:val="21"/>
                <w:szCs w:val="21"/>
                <w:u w:val="single"/>
              </w:rPr>
              <w:t>3</w:t>
            </w:r>
          </w:p>
        </w:tc>
        <w:tc>
          <w:tcPr>
            <w:tcW w:w="471" w:type="pct"/>
            <w:noWrap w:val="0"/>
            <w:vAlign w:val="center"/>
          </w:tcPr>
          <w:p>
            <w:pPr>
              <w:pStyle w:val="13"/>
              <w:rPr>
                <w:sz w:val="21"/>
                <w:szCs w:val="21"/>
                <w:u w:val="single"/>
              </w:rPr>
            </w:pPr>
            <w:r>
              <w:rPr>
                <w:rFonts w:hint="eastAsia"/>
                <w:sz w:val="21"/>
                <w:szCs w:val="21"/>
                <w:u w:val="single"/>
              </w:rPr>
              <w:t>生态敏感区</w:t>
            </w:r>
          </w:p>
        </w:tc>
        <w:tc>
          <w:tcPr>
            <w:tcW w:w="1327" w:type="pct"/>
            <w:noWrap w:val="0"/>
            <w:vAlign w:val="center"/>
          </w:tcPr>
          <w:p>
            <w:pPr>
              <w:pStyle w:val="13"/>
              <w:rPr>
                <w:rFonts w:hint="eastAsia" w:eastAsia="宋体"/>
                <w:sz w:val="21"/>
                <w:szCs w:val="21"/>
                <w:u w:val="single"/>
                <w:lang w:eastAsia="zh-CN"/>
              </w:rPr>
            </w:pPr>
            <w:r>
              <w:rPr>
                <w:rFonts w:hint="default" w:ascii="Times New Roman" w:hAnsi="Times New Roman" w:cs="Times New Roman"/>
                <w:color w:val="auto"/>
                <w:sz w:val="21"/>
                <w:szCs w:val="21"/>
                <w:u w:val="none"/>
                <w:lang w:val="en-US" w:eastAsia="zh-CN"/>
              </w:rPr>
              <w:t>湖南不二门国家级森林公园</w:t>
            </w:r>
            <w:r>
              <w:rPr>
                <w:rFonts w:hint="eastAsia" w:ascii="Times New Roman" w:hAnsi="Times New Roman"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湖南永顺猛洞河地质公园</w:t>
            </w:r>
            <w:r>
              <w:rPr>
                <w:rFonts w:hint="eastAsia" w:ascii="Times New Roman" w:hAnsi="Times New Roman" w:cs="Times New Roman"/>
                <w:color w:val="auto"/>
                <w:sz w:val="21"/>
                <w:szCs w:val="21"/>
                <w:u w:val="none"/>
                <w:lang w:val="en-US" w:eastAsia="zh-CN"/>
              </w:rPr>
              <w:t>、</w:t>
            </w:r>
            <w:r>
              <w:rPr>
                <w:rFonts w:hint="default" w:ascii="Times New Roman" w:hAnsi="Times New Roman" w:cs="Times New Roman"/>
                <w:color w:val="auto"/>
                <w:sz w:val="21"/>
                <w:szCs w:val="21"/>
                <w:u w:val="none"/>
              </w:rPr>
              <w:t>猛洞河国家级风景名胜区</w:t>
            </w:r>
            <w:r>
              <w:rPr>
                <w:rFonts w:hint="eastAsia" w:ascii="Times New Roman" w:hAnsi="Times New Roman" w:cs="Times New Roman"/>
                <w:color w:val="auto"/>
                <w:sz w:val="21"/>
                <w:szCs w:val="21"/>
                <w:u w:val="none"/>
                <w:lang w:eastAsia="zh-CN"/>
              </w:rPr>
              <w:t>、永顺县猛洞河湿地保护区</w:t>
            </w:r>
          </w:p>
        </w:tc>
        <w:tc>
          <w:tcPr>
            <w:tcW w:w="1241" w:type="pct"/>
            <w:noWrap w:val="0"/>
            <w:vAlign w:val="center"/>
          </w:tcPr>
          <w:p>
            <w:pPr>
              <w:pStyle w:val="13"/>
              <w:rPr>
                <w:sz w:val="21"/>
                <w:szCs w:val="21"/>
                <w:u w:val="single"/>
              </w:rPr>
            </w:pPr>
            <w:r>
              <w:rPr>
                <w:rFonts w:hint="eastAsia" w:ascii="Times New Roman" w:hAnsi="Times New Roman" w:cs="Times New Roman"/>
                <w:color w:val="auto"/>
                <w:sz w:val="21"/>
                <w:szCs w:val="21"/>
                <w:u w:val="none"/>
                <w:lang w:eastAsia="zh-CN"/>
              </w:rPr>
              <w:t>排水管约</w:t>
            </w:r>
            <w:r>
              <w:rPr>
                <w:rFonts w:hint="eastAsia" w:ascii="Times New Roman" w:hAnsi="Times New Roman" w:cs="Times New Roman"/>
                <w:color w:val="auto"/>
                <w:sz w:val="21"/>
                <w:szCs w:val="21"/>
                <w:u w:val="none"/>
                <w:lang w:val="en-US" w:eastAsia="zh-CN"/>
              </w:rPr>
              <w:t>150m位于</w:t>
            </w:r>
            <w:r>
              <w:rPr>
                <w:rFonts w:hint="default" w:ascii="Times New Roman" w:hAnsi="Times New Roman" w:cs="Times New Roman"/>
                <w:color w:val="auto"/>
                <w:sz w:val="21"/>
                <w:szCs w:val="21"/>
                <w:u w:val="none"/>
                <w:lang w:val="en-US" w:eastAsia="zh-CN"/>
              </w:rPr>
              <w:t>湖南不二门国家级森林公园官河保育区</w:t>
            </w:r>
            <w:r>
              <w:rPr>
                <w:rFonts w:hint="eastAsia" w:ascii="Times New Roman" w:hAnsi="Times New Roman" w:cs="Times New Roman"/>
                <w:color w:val="auto"/>
                <w:sz w:val="21"/>
                <w:szCs w:val="21"/>
                <w:u w:val="none"/>
                <w:lang w:val="en-US" w:eastAsia="zh-CN"/>
              </w:rPr>
              <w:t>、</w:t>
            </w:r>
            <w:r>
              <w:rPr>
                <w:rFonts w:hint="eastAsia" w:ascii="Times New Roman" w:hAnsi="Times New Roman" w:cs="Times New Roman"/>
                <w:color w:val="auto"/>
                <w:sz w:val="21"/>
                <w:szCs w:val="21"/>
                <w:u w:val="none"/>
                <w:lang w:eastAsia="zh-CN"/>
              </w:rPr>
              <w:t>排水管约</w:t>
            </w:r>
            <w:r>
              <w:rPr>
                <w:rFonts w:hint="eastAsia" w:ascii="Times New Roman" w:hAnsi="Times New Roman" w:cs="Times New Roman"/>
                <w:color w:val="auto"/>
                <w:sz w:val="21"/>
                <w:szCs w:val="21"/>
                <w:u w:val="none"/>
                <w:lang w:val="en-US" w:eastAsia="zh-CN"/>
              </w:rPr>
              <w:t>540m位于湖南永顺猛洞河地质公园地质遗迹三级保护区、</w:t>
            </w:r>
            <w:r>
              <w:rPr>
                <w:rFonts w:hint="eastAsia" w:ascii="Times New Roman" w:hAnsi="Times New Roman" w:cs="Times New Roman"/>
                <w:color w:val="auto"/>
                <w:sz w:val="21"/>
                <w:szCs w:val="21"/>
                <w:u w:val="none"/>
                <w:lang w:eastAsia="zh-CN"/>
              </w:rPr>
              <w:t>排水管约</w:t>
            </w:r>
            <w:r>
              <w:rPr>
                <w:rFonts w:hint="eastAsia" w:ascii="Times New Roman" w:hAnsi="Times New Roman" w:cs="Times New Roman"/>
                <w:color w:val="auto"/>
                <w:sz w:val="21"/>
                <w:szCs w:val="21"/>
                <w:u w:val="none"/>
                <w:lang w:val="en-US" w:eastAsia="zh-CN"/>
              </w:rPr>
              <w:t>300m位于猛洞河国家级风景名胜区外围保护区、</w:t>
            </w:r>
            <w:r>
              <w:rPr>
                <w:rFonts w:hint="eastAsia" w:ascii="Times New Roman" w:hAnsi="Times New Roman" w:cs="Times New Roman"/>
                <w:color w:val="auto"/>
                <w:sz w:val="21"/>
                <w:szCs w:val="21"/>
                <w:u w:val="none"/>
                <w:lang w:eastAsia="zh-CN"/>
              </w:rPr>
              <w:t>排污口位于永顺县猛洞河湿地保护区内</w:t>
            </w:r>
          </w:p>
        </w:tc>
        <w:tc>
          <w:tcPr>
            <w:tcW w:w="766" w:type="pct"/>
            <w:noWrap w:val="0"/>
            <w:vAlign w:val="center"/>
          </w:tcPr>
          <w:p>
            <w:pPr>
              <w:pStyle w:val="13"/>
              <w:rPr>
                <w:bCs/>
                <w:sz w:val="21"/>
                <w:szCs w:val="21"/>
                <w:u w:val="single"/>
              </w:rPr>
            </w:pPr>
            <w:r>
              <w:rPr>
                <w:bCs/>
                <w:sz w:val="21"/>
                <w:szCs w:val="21"/>
                <w:u w:val="single"/>
              </w:rPr>
              <w:t>施工期</w:t>
            </w:r>
          </w:p>
        </w:tc>
        <w:tc>
          <w:tcPr>
            <w:tcW w:w="871" w:type="pct"/>
            <w:noWrap w:val="0"/>
            <w:vAlign w:val="center"/>
          </w:tcPr>
          <w:p>
            <w:pPr>
              <w:pStyle w:val="13"/>
              <w:rPr>
                <w:bCs/>
                <w:sz w:val="21"/>
                <w:szCs w:val="21"/>
                <w:u w:val="single"/>
              </w:rPr>
            </w:pPr>
            <w:r>
              <w:rPr>
                <w:rFonts w:hint="eastAsia"/>
                <w:bCs/>
                <w:sz w:val="21"/>
                <w:szCs w:val="21"/>
                <w:u w:val="single"/>
                <w:lang w:eastAsia="zh-CN"/>
              </w:rPr>
              <w:t>符合相关规划管控要求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320" w:type="pct"/>
            <w:noWrap w:val="0"/>
            <w:vAlign w:val="center"/>
          </w:tcPr>
          <w:p>
            <w:pPr>
              <w:pStyle w:val="13"/>
              <w:rPr>
                <w:rFonts w:hint="eastAsia" w:eastAsia="宋体"/>
                <w:sz w:val="21"/>
                <w:szCs w:val="21"/>
                <w:u w:val="single"/>
                <w:lang w:val="en-US" w:eastAsia="zh-CN"/>
              </w:rPr>
            </w:pPr>
            <w:r>
              <w:rPr>
                <w:rFonts w:hint="eastAsia"/>
                <w:sz w:val="21"/>
                <w:szCs w:val="21"/>
                <w:u w:val="single"/>
                <w:lang w:val="en-US" w:eastAsia="zh-CN"/>
              </w:rPr>
              <w:t>4</w:t>
            </w:r>
          </w:p>
        </w:tc>
        <w:tc>
          <w:tcPr>
            <w:tcW w:w="471" w:type="pct"/>
            <w:noWrap w:val="0"/>
            <w:vAlign w:val="center"/>
          </w:tcPr>
          <w:p>
            <w:pPr>
              <w:pStyle w:val="13"/>
              <w:ind w:firstLine="0" w:firstLineChars="0"/>
              <w:rPr>
                <w:rFonts w:hint="eastAsia" w:ascii="Times New Roman" w:hAnsi="Times New Roman" w:eastAsia="宋体"/>
                <w:kern w:val="0"/>
                <w:sz w:val="21"/>
                <w:szCs w:val="21"/>
                <w:u w:val="single"/>
                <w:lang w:val="en-US" w:eastAsia="zh-CN" w:bidi="ar-SA"/>
              </w:rPr>
            </w:pPr>
            <w:r>
              <w:rPr>
                <w:rFonts w:hint="eastAsia"/>
                <w:sz w:val="21"/>
                <w:szCs w:val="21"/>
                <w:u w:val="single"/>
                <w:lang w:val="en-US" w:eastAsia="zh-CN"/>
              </w:rPr>
              <w:t>生态红线</w:t>
            </w:r>
          </w:p>
        </w:tc>
        <w:tc>
          <w:tcPr>
            <w:tcW w:w="1327" w:type="pct"/>
            <w:noWrap w:val="0"/>
            <w:vAlign w:val="center"/>
          </w:tcPr>
          <w:p>
            <w:pPr>
              <w:pStyle w:val="13"/>
              <w:ind w:firstLine="0" w:firstLineChars="0"/>
              <w:rPr>
                <w:rFonts w:hint="eastAsia" w:ascii="Times New Roman" w:hAnsi="Times New Roman" w:eastAsia="宋体"/>
                <w:kern w:val="0"/>
                <w:sz w:val="21"/>
                <w:szCs w:val="21"/>
                <w:u w:val="single"/>
                <w:lang w:val="en-US" w:eastAsia="zh-CN" w:bidi="ar-SA"/>
              </w:rPr>
            </w:pPr>
            <w:r>
              <w:rPr>
                <w:rFonts w:hint="eastAsia" w:eastAsia="宋体"/>
                <w:sz w:val="21"/>
                <w:szCs w:val="21"/>
                <w:u w:val="single"/>
                <w:lang w:val="en-US" w:eastAsia="zh-CN"/>
              </w:rPr>
              <w:t>生态红线保护类型为自然保护地</w:t>
            </w:r>
          </w:p>
        </w:tc>
        <w:tc>
          <w:tcPr>
            <w:tcW w:w="1241" w:type="pct"/>
            <w:noWrap w:val="0"/>
            <w:vAlign w:val="center"/>
          </w:tcPr>
          <w:p>
            <w:pPr>
              <w:pStyle w:val="13"/>
              <w:rPr>
                <w:rFonts w:hint="default" w:eastAsia="宋体"/>
                <w:sz w:val="21"/>
                <w:szCs w:val="21"/>
                <w:u w:val="single"/>
                <w:lang w:val="en-US" w:eastAsia="zh-CN"/>
              </w:rPr>
            </w:pPr>
            <w:r>
              <w:rPr>
                <w:rFonts w:hint="eastAsia"/>
                <w:sz w:val="21"/>
                <w:szCs w:val="21"/>
                <w:u w:val="single"/>
                <w:lang w:val="en-US" w:eastAsia="zh-CN"/>
              </w:rPr>
              <w:t>项目不占生态红线</w:t>
            </w:r>
          </w:p>
        </w:tc>
        <w:tc>
          <w:tcPr>
            <w:tcW w:w="766" w:type="pct"/>
            <w:noWrap w:val="0"/>
            <w:vAlign w:val="center"/>
          </w:tcPr>
          <w:p>
            <w:pPr>
              <w:pStyle w:val="13"/>
              <w:ind w:firstLine="0" w:firstLineChars="0"/>
              <w:rPr>
                <w:rFonts w:ascii="Times New Roman" w:hAnsi="Times New Roman" w:eastAsia="宋体"/>
                <w:kern w:val="0"/>
                <w:sz w:val="21"/>
                <w:szCs w:val="21"/>
                <w:u w:val="single"/>
                <w:lang w:val="en-US" w:eastAsia="zh-CN" w:bidi="ar-SA"/>
              </w:rPr>
            </w:pPr>
            <w:r>
              <w:rPr>
                <w:rFonts w:hint="eastAsia"/>
                <w:sz w:val="21"/>
                <w:szCs w:val="21"/>
                <w:u w:val="single"/>
              </w:rPr>
              <w:t>工程永久占地、施工期的工程占地、</w:t>
            </w:r>
          </w:p>
        </w:tc>
        <w:tc>
          <w:tcPr>
            <w:tcW w:w="871" w:type="pct"/>
            <w:noWrap w:val="0"/>
            <w:vAlign w:val="center"/>
          </w:tcPr>
          <w:p>
            <w:pPr>
              <w:pStyle w:val="13"/>
              <w:ind w:firstLine="0" w:firstLineChars="0"/>
              <w:rPr>
                <w:rFonts w:hint="default" w:ascii="Times New Roman" w:hAnsi="Times New Roman" w:eastAsia="宋体"/>
                <w:kern w:val="0"/>
                <w:sz w:val="21"/>
                <w:szCs w:val="21"/>
                <w:u w:val="single"/>
                <w:lang w:val="en-US" w:eastAsia="zh-CN" w:bidi="ar-SA"/>
              </w:rPr>
            </w:pPr>
            <w:r>
              <w:rPr>
                <w:rFonts w:hint="eastAsia" w:ascii="Times New Roman" w:hAnsi="Times New Roman"/>
                <w:kern w:val="0"/>
                <w:sz w:val="21"/>
                <w:szCs w:val="21"/>
                <w:u w:val="single"/>
                <w:lang w:val="en-US" w:eastAsia="zh-CN" w:bidi="ar-SA"/>
              </w:rPr>
              <w:t>禁止占用</w:t>
            </w:r>
          </w:p>
        </w:tc>
      </w:tr>
    </w:tbl>
    <w:p>
      <w:pPr>
        <w:pStyle w:val="5"/>
        <w:spacing w:line="360" w:lineRule="auto"/>
        <w:ind w:left="0" w:leftChars="0" w:firstLine="0" w:firstLineChars="0"/>
        <w:rPr>
          <w:rFonts w:hint="eastAsia" w:ascii="Times New Roman" w:hAnsi="Times New Roman" w:eastAsia="宋体" w:cs="Times New Roman"/>
          <w:b/>
          <w:bCs w:val="0"/>
          <w:color w:val="auto"/>
          <w:kern w:val="0"/>
          <w:sz w:val="24"/>
          <w:szCs w:val="24"/>
          <w:u w:val="single"/>
          <w:lang w:val="en-US" w:eastAsia="zh-CN" w:bidi="zh-CN"/>
        </w:rPr>
      </w:pPr>
      <w:bookmarkStart w:id="242" w:name="_Toc10862"/>
      <w:r>
        <w:rPr>
          <w:rFonts w:hint="eastAsia" w:ascii="Times New Roman" w:hAnsi="Times New Roman" w:eastAsia="宋体" w:cs="Times New Roman"/>
          <w:b/>
          <w:bCs w:val="0"/>
          <w:color w:val="auto"/>
          <w:kern w:val="0"/>
          <w:sz w:val="24"/>
          <w:szCs w:val="24"/>
          <w:u w:val="single"/>
          <w:lang w:val="en-US" w:eastAsia="zh-CN" w:bidi="zh-CN"/>
        </w:rPr>
        <w:t>4.2.7.5评价方法</w:t>
      </w:r>
      <w:bookmarkEnd w:id="242"/>
    </w:p>
    <w:p>
      <w:pPr>
        <w:bidi w:val="0"/>
        <w:jc w:val="both"/>
        <w:rPr>
          <w:rFonts w:hint="eastAsia"/>
        </w:rPr>
      </w:pPr>
      <w:r>
        <w:rPr>
          <w:rFonts w:hint="eastAsia"/>
          <w:u w:val="single"/>
        </w:rPr>
        <w:t>根据《环境影响评价技术导则-生态影响》（HJ19-2022）的说明要求，</w:t>
      </w:r>
      <w:r>
        <w:rPr>
          <w:rFonts w:hint="eastAsia" w:cs="Times New Roman"/>
          <w:b w:val="0"/>
          <w:bCs w:val="0"/>
          <w:kern w:val="2"/>
          <w:sz w:val="24"/>
          <w:szCs w:val="24"/>
          <w:u w:val="single"/>
          <w:lang w:val="en-US" w:eastAsia="zh-CN" w:bidi="ar-SA"/>
        </w:rPr>
        <w:t>生态现状评价应坚持定性和定量相结合、尽量采用定量方法的原则，参考附录C生态现状及影响评价方法，本项目</w:t>
      </w:r>
      <w:r>
        <w:rPr>
          <w:rFonts w:hint="eastAsia" w:ascii="Times New Roman" w:hAnsi="Times New Roman" w:eastAsia="宋体" w:cs="Times New Roman"/>
          <w:b w:val="0"/>
          <w:bCs w:val="0"/>
          <w:kern w:val="2"/>
          <w:sz w:val="24"/>
          <w:szCs w:val="24"/>
          <w:u w:val="single"/>
          <w:lang w:val="en-US" w:eastAsia="zh-CN" w:bidi="ar-SA"/>
        </w:rPr>
        <w:t>在评价范围内按照生态环境调查内容的要求，采用资料收集、现场</w:t>
      </w:r>
      <w:r>
        <w:rPr>
          <w:rFonts w:hint="eastAsia" w:cs="Times New Roman"/>
          <w:b w:val="0"/>
          <w:bCs w:val="0"/>
          <w:kern w:val="2"/>
          <w:sz w:val="24"/>
          <w:szCs w:val="24"/>
          <w:u w:val="single"/>
          <w:lang w:val="en-US" w:eastAsia="zh-CN" w:bidi="ar-SA"/>
        </w:rPr>
        <w:t>调查</w:t>
      </w:r>
      <w:r>
        <w:rPr>
          <w:rFonts w:hint="eastAsia" w:ascii="Times New Roman" w:hAnsi="Times New Roman" w:eastAsia="宋体" w:cs="Times New Roman"/>
          <w:b w:val="0"/>
          <w:bCs w:val="0"/>
          <w:kern w:val="2"/>
          <w:sz w:val="24"/>
          <w:szCs w:val="24"/>
          <w:u w:val="single"/>
          <w:lang w:val="en-US" w:eastAsia="zh-CN" w:bidi="ar-SA"/>
        </w:rPr>
        <w:t>、类比分析相结合的方法，当收集的资料不能够全面反映评价区生态特征时，结合现场踏勘考察和类比分析的方法补充。</w:t>
      </w:r>
    </w:p>
    <w:p>
      <w:pPr>
        <w:bidi w:val="0"/>
        <w:ind w:left="0" w:leftChars="0" w:firstLine="0" w:firstLineChars="0"/>
        <w:jc w:val="both"/>
        <w:rPr>
          <w:rFonts w:hint="default" w:ascii="Times New Roman" w:hAnsi="Times New Roman" w:eastAsia="宋体" w:cs="Times New Roman"/>
          <w:b/>
          <w:bCs w:val="0"/>
          <w:color w:val="auto"/>
          <w:kern w:val="0"/>
          <w:sz w:val="24"/>
          <w:szCs w:val="24"/>
          <w:u w:val="single"/>
          <w:lang w:val="en-US" w:eastAsia="zh-CN" w:bidi="zh-CN"/>
        </w:rPr>
      </w:pPr>
      <w:r>
        <w:rPr>
          <w:rFonts w:hint="eastAsia" w:ascii="Times New Roman" w:hAnsi="Times New Roman" w:eastAsia="宋体" w:cs="Times New Roman"/>
          <w:b/>
          <w:bCs w:val="0"/>
          <w:color w:val="auto"/>
          <w:kern w:val="0"/>
          <w:sz w:val="24"/>
          <w:szCs w:val="24"/>
          <w:u w:val="single"/>
          <w:lang w:val="en-US" w:eastAsia="zh-CN" w:bidi="zh-CN"/>
        </w:rPr>
        <w:t>4.2.7.6生态现状调查与评价</w:t>
      </w:r>
    </w:p>
    <w:p>
      <w:pPr>
        <w:bidi w:val="0"/>
        <w:ind w:left="0" w:leftChars="0" w:firstLine="0" w:firstLineChars="0"/>
        <w:jc w:val="both"/>
        <w:rPr>
          <w:rFonts w:hint="eastAsia" w:eastAsia="宋体"/>
          <w:b/>
          <w:bCs/>
          <w:lang w:eastAsia="zh-CN"/>
        </w:rPr>
      </w:pPr>
      <w:r>
        <w:rPr>
          <w:rFonts w:hint="eastAsia"/>
          <w:b/>
          <w:bCs/>
          <w:lang w:val="en-US" w:eastAsia="zh-CN"/>
        </w:rPr>
        <w:t>4.2.7.6.1调查范围</w:t>
      </w:r>
    </w:p>
    <w:p>
      <w:pPr>
        <w:bidi w:val="0"/>
        <w:jc w:val="both"/>
        <w:rPr>
          <w:rFonts w:hint="eastAsia"/>
        </w:rPr>
      </w:pPr>
      <w:r>
        <w:rPr>
          <w:rFonts w:hint="eastAsia"/>
          <w:u w:val="single"/>
          <w:lang w:val="en-US" w:eastAsia="zh-CN"/>
        </w:rPr>
        <w:t>根据《环境影响评价技术导则 生态影响》（HJ19-2022）的要求，生态现状调查范围应不小于评价范围，故确定本项目生态现状调查范围</w:t>
      </w:r>
      <w:r>
        <w:rPr>
          <w:rFonts w:hint="eastAsia"/>
          <w:color w:val="auto"/>
          <w:kern w:val="0"/>
          <w:szCs w:val="21"/>
          <w:u w:val="single"/>
        </w:rPr>
        <w:t>为污水处理厂占地区域及周围</w:t>
      </w:r>
      <w:r>
        <w:rPr>
          <w:rFonts w:hint="eastAsia"/>
          <w:color w:val="auto"/>
          <w:kern w:val="0"/>
          <w:szCs w:val="21"/>
          <w:u w:val="single"/>
          <w:lang w:val="en-US" w:eastAsia="zh-CN"/>
        </w:rPr>
        <w:t>300</w:t>
      </w:r>
      <w:r>
        <w:rPr>
          <w:rFonts w:hint="eastAsia"/>
          <w:color w:val="auto"/>
          <w:kern w:val="0"/>
          <w:szCs w:val="21"/>
          <w:u w:val="single"/>
        </w:rPr>
        <w:t>m范围</w:t>
      </w:r>
      <w:r>
        <w:rPr>
          <w:rFonts w:hint="eastAsia"/>
          <w:color w:val="auto"/>
          <w:kern w:val="0"/>
          <w:szCs w:val="21"/>
          <w:u w:val="single"/>
          <w:lang w:eastAsia="zh-CN"/>
        </w:rPr>
        <w:t>、</w:t>
      </w:r>
      <w:r>
        <w:rPr>
          <w:rFonts w:hint="eastAsia"/>
          <w:color w:val="auto"/>
          <w:kern w:val="0"/>
          <w:szCs w:val="21"/>
          <w:u w:val="single"/>
        </w:rPr>
        <w:t>污水管线</w:t>
      </w:r>
      <w:r>
        <w:rPr>
          <w:rFonts w:hint="eastAsia"/>
          <w:color w:val="auto"/>
          <w:kern w:val="0"/>
          <w:szCs w:val="21"/>
          <w:u w:val="single"/>
          <w:lang w:eastAsia="zh-CN"/>
        </w:rPr>
        <w:t>外延</w:t>
      </w:r>
      <w:r>
        <w:rPr>
          <w:rFonts w:hint="eastAsia"/>
          <w:color w:val="auto"/>
          <w:kern w:val="0"/>
          <w:szCs w:val="21"/>
          <w:u w:val="single"/>
        </w:rPr>
        <w:t>100m范围。</w:t>
      </w:r>
    </w:p>
    <w:p>
      <w:pPr>
        <w:bidi w:val="0"/>
        <w:ind w:left="0" w:leftChars="0" w:firstLine="0" w:firstLineChars="0"/>
        <w:jc w:val="both"/>
        <w:rPr>
          <w:rFonts w:hint="eastAsia"/>
          <w:b/>
          <w:bCs/>
          <w:u w:val="single"/>
        </w:rPr>
      </w:pPr>
      <w:r>
        <w:rPr>
          <w:rFonts w:hint="eastAsia"/>
          <w:b/>
          <w:bCs/>
          <w:u w:val="single"/>
          <w:lang w:val="en-US" w:eastAsia="zh-CN"/>
        </w:rPr>
        <w:t>4.2.7.6.2调查方法</w:t>
      </w:r>
    </w:p>
    <w:p>
      <w:pPr>
        <w:bidi w:val="0"/>
        <w:jc w:val="both"/>
        <w:rPr>
          <w:rFonts w:hint="eastAsia" w:eastAsia="宋体"/>
          <w:u w:val="single"/>
          <w:lang w:eastAsia="zh-CN"/>
        </w:rPr>
      </w:pPr>
      <w:r>
        <w:rPr>
          <w:rFonts w:hint="eastAsia" w:ascii="Times New Roman" w:hAnsi="Times New Roman" w:eastAsia="宋体" w:cs="Times New Roman"/>
          <w:b w:val="0"/>
          <w:bCs w:val="0"/>
          <w:kern w:val="2"/>
          <w:sz w:val="24"/>
          <w:szCs w:val="24"/>
          <w:u w:val="single"/>
          <w:lang w:val="en-US" w:eastAsia="zh-CN" w:bidi="ar-SA"/>
        </w:rPr>
        <w:t>根据《环境影响评价技术导则 生态影响》（HJ19-2022）的要求</w:t>
      </w:r>
      <w:r>
        <w:rPr>
          <w:rFonts w:hint="eastAsia" w:cs="Times New Roman"/>
          <w:b w:val="0"/>
          <w:bCs w:val="0"/>
          <w:kern w:val="2"/>
          <w:sz w:val="24"/>
          <w:szCs w:val="24"/>
          <w:u w:val="single"/>
          <w:lang w:val="en-US" w:eastAsia="zh-CN" w:bidi="ar-SA"/>
        </w:rPr>
        <w:t>，生态现状调查应在充分收集资料的基础上开展现场工作，参考附录B生态现状调查方法及结合本项目区域生态现状，本项目生态现状调查采用资料收集、现场调查法。</w:t>
      </w:r>
    </w:p>
    <w:p>
      <w:pPr>
        <w:bidi w:val="0"/>
        <w:ind w:left="0" w:leftChars="0" w:firstLine="0" w:firstLineChars="0"/>
        <w:jc w:val="both"/>
        <w:rPr>
          <w:rFonts w:hint="eastAsia" w:eastAsia="宋体"/>
          <w:b/>
          <w:bCs/>
          <w:u w:val="single"/>
          <w:lang w:eastAsia="zh-CN"/>
        </w:rPr>
      </w:pPr>
      <w:r>
        <w:rPr>
          <w:rFonts w:hint="eastAsia"/>
          <w:b/>
          <w:bCs/>
          <w:u w:val="single"/>
          <w:lang w:val="en-US" w:eastAsia="zh-CN"/>
        </w:rPr>
        <w:t>4.2.7.6.3</w:t>
      </w:r>
      <w:r>
        <w:rPr>
          <w:rFonts w:hint="eastAsia"/>
          <w:b/>
          <w:bCs/>
          <w:u w:val="single"/>
          <w:lang w:eastAsia="zh-CN"/>
        </w:rPr>
        <w:t>调查成果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u w:val="single"/>
          <w:lang w:val="en-US" w:eastAsia="zh-CN"/>
        </w:rPr>
      </w:pPr>
      <w:r>
        <w:rPr>
          <w:rFonts w:hint="eastAsia" w:hAnsi="宋体"/>
          <w:snapToGrid w:val="0"/>
          <w:kern w:val="0"/>
          <w:sz w:val="24"/>
          <w:u w:val="single"/>
          <w:lang w:val="en-US" w:eastAsia="zh-CN"/>
        </w:rPr>
        <w:t>1、</w:t>
      </w:r>
      <w:r>
        <w:rPr>
          <w:rFonts w:hint="eastAsia" w:hAnsi="宋体"/>
          <w:snapToGrid w:val="0"/>
          <w:kern w:val="0"/>
          <w:sz w:val="24"/>
          <w:u w:val="single"/>
        </w:rPr>
        <w:t>陆生植物现状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u w:val="single"/>
          <w:lang w:val="en-US" w:eastAsia="zh-CN"/>
        </w:rPr>
      </w:pPr>
      <w:r>
        <w:rPr>
          <w:rFonts w:hint="eastAsia"/>
          <w:u w:val="single"/>
          <w:lang w:val="en-US" w:eastAsia="zh-CN"/>
        </w:rPr>
        <w:t>（1）调查方法</w:t>
      </w:r>
    </w:p>
    <w:p>
      <w:pPr>
        <w:adjustRightInd w:val="0"/>
        <w:snapToGrid w:val="0"/>
        <w:spacing w:line="360" w:lineRule="auto"/>
        <w:ind w:firstLine="480" w:firstLineChars="200"/>
        <w:jc w:val="both"/>
        <w:rPr>
          <w:rFonts w:hint="eastAsia" w:hAnsi="宋体"/>
          <w:snapToGrid w:val="0"/>
          <w:kern w:val="0"/>
          <w:sz w:val="24"/>
          <w:u w:val="single"/>
        </w:rPr>
      </w:pPr>
      <w:r>
        <w:rPr>
          <w:rFonts w:hint="eastAsia" w:hAnsi="宋体"/>
          <w:snapToGrid w:val="0"/>
          <w:kern w:val="0"/>
          <w:sz w:val="24"/>
          <w:u w:val="single"/>
        </w:rPr>
        <w:t>1）植被群落调查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u w:val="single"/>
          <w:lang w:val="en-US" w:eastAsia="zh-CN"/>
        </w:rPr>
      </w:pPr>
      <w:r>
        <w:rPr>
          <w:rFonts w:hint="eastAsia"/>
          <w:u w:val="single"/>
          <w:lang w:val="en-US" w:eastAsia="zh-CN"/>
        </w:rPr>
        <w:t>本项目调查范围内植被类型简单，主要为草本群落及其他简单类型群落，</w:t>
      </w:r>
      <w:r>
        <w:rPr>
          <w:rFonts w:hint="eastAsia" w:hAnsi="宋体"/>
          <w:snapToGrid w:val="0"/>
          <w:kern w:val="0"/>
          <w:sz w:val="24"/>
          <w:u w:val="single"/>
        </w:rPr>
        <w:t>根据评价区植被生境、群落形成和分布特点，采用样方法开展植被群落调查。各调查样方面积根据不同的植被类型确定，其中乔木植被样方采用10m</w:t>
      </w:r>
      <w:r>
        <w:rPr>
          <w:snapToGrid w:val="0"/>
          <w:kern w:val="0"/>
          <w:sz w:val="24"/>
          <w:u w:val="single"/>
        </w:rPr>
        <w:t>×</w:t>
      </w:r>
      <w:r>
        <w:rPr>
          <w:rFonts w:hint="eastAsia" w:hAnsi="宋体"/>
          <w:snapToGrid w:val="0"/>
          <w:kern w:val="0"/>
          <w:sz w:val="24"/>
          <w:u w:val="single"/>
        </w:rPr>
        <w:t>10m，灌草丛样方为5m</w:t>
      </w:r>
      <w:r>
        <w:rPr>
          <w:snapToGrid w:val="0"/>
          <w:kern w:val="0"/>
          <w:sz w:val="24"/>
          <w:u w:val="single"/>
        </w:rPr>
        <w:t>×</w:t>
      </w:r>
      <w:r>
        <w:rPr>
          <w:rFonts w:hint="eastAsia" w:hAnsi="宋体"/>
          <w:snapToGrid w:val="0"/>
          <w:kern w:val="0"/>
          <w:sz w:val="24"/>
          <w:u w:val="single"/>
        </w:rPr>
        <w:t>5m，草本样方采用1m</w:t>
      </w:r>
      <w:r>
        <w:rPr>
          <w:snapToGrid w:val="0"/>
          <w:kern w:val="0"/>
          <w:sz w:val="24"/>
          <w:u w:val="single"/>
        </w:rPr>
        <w:t>×</w:t>
      </w:r>
      <w:r>
        <w:rPr>
          <w:rFonts w:hint="eastAsia" w:hAnsi="宋体"/>
          <w:snapToGrid w:val="0"/>
          <w:kern w:val="0"/>
          <w:sz w:val="24"/>
          <w:u w:val="single"/>
        </w:rPr>
        <w:t>1m。植物样方调查内容包括植物种名、高度、盖度、多度等，并拍照。</w:t>
      </w:r>
    </w:p>
    <w:p>
      <w:pPr>
        <w:adjustRightInd w:val="0"/>
        <w:snapToGrid w:val="0"/>
        <w:spacing w:line="360" w:lineRule="auto"/>
        <w:ind w:firstLine="480" w:firstLineChars="200"/>
        <w:jc w:val="both"/>
        <w:rPr>
          <w:rFonts w:hint="eastAsia" w:hAnsi="宋体"/>
          <w:snapToGrid w:val="0"/>
          <w:kern w:val="0"/>
          <w:sz w:val="24"/>
          <w:u w:val="single"/>
        </w:rPr>
      </w:pPr>
      <w:r>
        <w:rPr>
          <w:rFonts w:hint="eastAsia" w:hAnsi="宋体"/>
          <w:snapToGrid w:val="0"/>
          <w:kern w:val="0"/>
          <w:sz w:val="24"/>
          <w:u w:val="single"/>
        </w:rPr>
        <w:t>2）植物种类调查</w:t>
      </w:r>
    </w:p>
    <w:p>
      <w:pPr>
        <w:adjustRightInd w:val="0"/>
        <w:snapToGrid w:val="0"/>
        <w:spacing w:line="360" w:lineRule="auto"/>
        <w:ind w:firstLine="480" w:firstLineChars="200"/>
        <w:jc w:val="both"/>
        <w:rPr>
          <w:rFonts w:hint="eastAsia" w:hAnsi="宋体"/>
          <w:snapToGrid w:val="0"/>
          <w:kern w:val="0"/>
          <w:sz w:val="24"/>
          <w:u w:val="single"/>
        </w:rPr>
      </w:pPr>
      <w:r>
        <w:rPr>
          <w:rFonts w:hint="eastAsia" w:hAnsi="宋体"/>
          <w:snapToGrid w:val="0"/>
          <w:kern w:val="0"/>
          <w:sz w:val="24"/>
          <w:u w:val="single"/>
        </w:rPr>
        <w:t>在调查过程中确定评价范围区域内的植物种类及资源状况、珍稀濒危植物的种类及生存状况等。实地调查采取路线调查与重点调查相结合的方法，在施工区以及植被状况良好的区域实行重点调查，对资源植物和珍稀濒危植物采取现场调查和文献查阅相结合的方式。对有疑问的植物和珍稀濒危植物进行拍照，在允许条件下可采集凭证标本。</w:t>
      </w:r>
    </w:p>
    <w:p>
      <w:pPr>
        <w:adjustRightInd w:val="0"/>
        <w:snapToGrid w:val="0"/>
        <w:spacing w:line="360" w:lineRule="auto"/>
        <w:ind w:firstLine="480" w:firstLineChars="200"/>
        <w:jc w:val="both"/>
        <w:rPr>
          <w:rFonts w:hint="eastAsia" w:hAnsi="宋体"/>
          <w:snapToGrid w:val="0"/>
          <w:kern w:val="0"/>
          <w:sz w:val="24"/>
          <w:u w:val="single"/>
        </w:rPr>
      </w:pPr>
      <w:r>
        <w:rPr>
          <w:rFonts w:hint="eastAsia" w:hAnsi="宋体"/>
          <w:snapToGrid w:val="0"/>
          <w:kern w:val="0"/>
          <w:sz w:val="24"/>
          <w:u w:val="single"/>
        </w:rPr>
        <w:t>3）样地设置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u w:val="single"/>
          <w:lang w:val="en-US" w:eastAsia="zh-CN"/>
        </w:rPr>
      </w:pPr>
      <w:r>
        <w:rPr>
          <w:rFonts w:hint="eastAsia" w:hAnsi="宋体"/>
          <w:snapToGrid w:val="0"/>
          <w:kern w:val="0"/>
          <w:sz w:val="24"/>
          <w:u w:val="single"/>
          <w:lang w:eastAsia="zh-CN"/>
        </w:rPr>
        <w:t>本项目评价区域较小</w:t>
      </w:r>
      <w:r>
        <w:rPr>
          <w:rFonts w:hint="eastAsia" w:hAnsi="宋体"/>
          <w:snapToGrid w:val="0"/>
          <w:kern w:val="0"/>
          <w:sz w:val="24"/>
          <w:u w:val="single"/>
        </w:rPr>
        <w:t>，</w:t>
      </w:r>
      <w:r>
        <w:rPr>
          <w:rFonts w:hint="eastAsia" w:hAnsi="宋体"/>
          <w:snapToGrid w:val="0"/>
          <w:kern w:val="0"/>
          <w:sz w:val="24"/>
          <w:u w:val="single"/>
          <w:lang w:eastAsia="zh-CN"/>
        </w:rPr>
        <w:t>故</w:t>
      </w:r>
      <w:r>
        <w:rPr>
          <w:rFonts w:hint="eastAsia" w:hAnsi="宋体"/>
          <w:snapToGrid w:val="0"/>
          <w:kern w:val="0"/>
          <w:sz w:val="24"/>
          <w:u w:val="single"/>
        </w:rPr>
        <w:t>在项目</w:t>
      </w:r>
      <w:r>
        <w:rPr>
          <w:rFonts w:hint="eastAsia" w:hAnsi="宋体"/>
          <w:snapToGrid w:val="0"/>
          <w:kern w:val="0"/>
          <w:sz w:val="24"/>
          <w:u w:val="single"/>
          <w:lang w:eastAsia="zh-CN"/>
        </w:rPr>
        <w:t>评价范围内划分</w:t>
      </w:r>
      <w:r>
        <w:rPr>
          <w:rFonts w:hint="eastAsia" w:hAnsi="宋体"/>
          <w:snapToGrid w:val="0"/>
          <w:kern w:val="0"/>
          <w:sz w:val="24"/>
          <w:u w:val="single"/>
          <w:lang w:val="en-US" w:eastAsia="zh-CN"/>
        </w:rPr>
        <w:t>4条从排水管道两点向左右延伸100m</w:t>
      </w:r>
      <w:r>
        <w:rPr>
          <w:rFonts w:hint="eastAsia" w:hAnsi="宋体"/>
          <w:snapToGrid w:val="0"/>
          <w:kern w:val="0"/>
          <w:sz w:val="24"/>
          <w:u w:val="single"/>
        </w:rPr>
        <w:t>。沿样线及两侧选择合适的植物群落开展群落样方调查和植物种类调查。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lang w:val="en-US" w:eastAsia="zh-CN"/>
        </w:rPr>
        <w:drawing>
          <wp:inline distT="0" distB="0" distL="114300" distR="114300">
            <wp:extent cx="4672965" cy="2725420"/>
            <wp:effectExtent l="0" t="0" r="5715" b="2540"/>
            <wp:docPr id="60" name="图片 60" descr="E:\陈秀莉环评\永顺污水处理厂\图件\生态评价\屏幕截图.jpg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陈秀莉环评\永顺污水处理厂\图件\生态评价\屏幕截图.jpg屏幕截图"/>
                    <pic:cNvPicPr>
                      <a:picLocks noChangeAspect="1"/>
                    </pic:cNvPicPr>
                  </pic:nvPicPr>
                  <pic:blipFill>
                    <a:blip r:embed="rId73"/>
                    <a:srcRect/>
                    <a:stretch>
                      <a:fillRect/>
                    </a:stretch>
                  </pic:blipFill>
                  <pic:spPr>
                    <a:xfrm>
                      <a:off x="0" y="0"/>
                      <a:ext cx="4672965" cy="2725420"/>
                    </a:xfrm>
                    <a:prstGeom prst="rect">
                      <a:avLst/>
                    </a:prstGeom>
                  </pic:spPr>
                </pic:pic>
              </a:graphicData>
            </a:graphic>
          </wp:inline>
        </w:drawing>
      </w:r>
    </w:p>
    <w:p>
      <w:pPr>
        <w:bidi w:val="0"/>
        <w:rPr>
          <w:u w:val="single"/>
        </w:rPr>
      </w:pPr>
      <w:r>
        <w:rPr>
          <w:rFonts w:hint="eastAsia" w:hAnsi="宋体"/>
          <w:snapToGrid w:val="0"/>
          <w:kern w:val="0"/>
          <w:sz w:val="24"/>
          <w:u w:val="single"/>
        </w:rPr>
        <w:t>（2）</w:t>
      </w:r>
      <w:bookmarkStart w:id="243" w:name="_Toc23233368"/>
      <w:bookmarkStart w:id="244" w:name="_Toc29177"/>
      <w:bookmarkStart w:id="245" w:name="_Toc14544"/>
      <w:r>
        <w:rPr>
          <w:rFonts w:hint="eastAsia"/>
          <w:u w:val="single"/>
        </w:rPr>
        <w:t>生态现状调查与评价</w:t>
      </w:r>
      <w:bookmarkEnd w:id="243"/>
      <w:bookmarkEnd w:id="244"/>
      <w:bookmarkEnd w:id="245"/>
    </w:p>
    <w:p>
      <w:pPr>
        <w:bidi w:val="0"/>
        <w:jc w:val="both"/>
        <w:rPr>
          <w:rFonts w:hint="eastAsia" w:eastAsia="宋体"/>
          <w:u w:val="single"/>
          <w:lang w:val="en-US" w:eastAsia="zh-CN"/>
        </w:rPr>
      </w:pPr>
      <w:r>
        <w:rPr>
          <w:rFonts w:hint="eastAsia"/>
          <w:u w:val="single"/>
          <w:lang w:val="en-US" w:eastAsia="zh-CN"/>
        </w:rPr>
        <w:t>1）植被类型统计</w:t>
      </w:r>
    </w:p>
    <w:p>
      <w:pPr>
        <w:bidi w:val="0"/>
        <w:jc w:val="both"/>
        <w:rPr>
          <w:rFonts w:hint="eastAsia"/>
        </w:rPr>
      </w:pPr>
      <w:r>
        <w:rPr>
          <w:rFonts w:hint="eastAsia"/>
          <w:u w:val="single"/>
        </w:rPr>
        <w:t>根据调查，评价范围以</w:t>
      </w:r>
      <w:r>
        <w:rPr>
          <w:rFonts w:hint="eastAsia"/>
          <w:u w:val="single"/>
          <w:lang w:val="en-US" w:eastAsia="zh-CN"/>
        </w:rPr>
        <w:t>针阔混交林、</w:t>
      </w:r>
      <w:r>
        <w:rPr>
          <w:rFonts w:hint="eastAsia"/>
          <w:u w:val="single"/>
        </w:rPr>
        <w:t>稀疏灌木为主，本次调查参照《1:1000000 中国植被图》植被分类体系将评价范围内植被类型分为</w:t>
      </w:r>
      <w:r>
        <w:rPr>
          <w:rFonts w:hint="eastAsia"/>
          <w:u w:val="single"/>
          <w:lang w:val="en-US" w:eastAsia="zh-CN"/>
        </w:rPr>
        <w:t>针叶林、阔叶林、灌木林3</w:t>
      </w:r>
      <w:r>
        <w:rPr>
          <w:rFonts w:hint="eastAsia"/>
          <w:u w:val="single"/>
        </w:rPr>
        <w:t>个植被型组，结合区域调查数据，并将植被型组细分为4个植被型（植被亚型）、4个植被群系。根据</w:t>
      </w:r>
      <w:r>
        <w:rPr>
          <w:rFonts w:hint="eastAsia"/>
          <w:u w:val="single"/>
          <w:lang w:eastAsia="zh-CN"/>
        </w:rPr>
        <w:t>实地调查结果</w:t>
      </w:r>
      <w:r>
        <w:rPr>
          <w:rFonts w:hint="eastAsia"/>
          <w:u w:val="single"/>
        </w:rPr>
        <w:t>，统计评价范围内的植被类型及面积</w:t>
      </w:r>
      <w:r>
        <w:rPr>
          <w:rFonts w:hint="eastAsia"/>
          <w:u w:val="single"/>
          <w:lang w:val="en-US" w:eastAsia="zh-CN"/>
        </w:rPr>
        <w:t>详见下表</w:t>
      </w:r>
      <w:r>
        <w:rPr>
          <w:rFonts w:hint="eastAsia"/>
          <w:u w:val="single"/>
        </w:rPr>
        <w:t>。</w:t>
      </w:r>
    </w:p>
    <w:p>
      <w:pPr>
        <w:pStyle w:val="126"/>
        <w:bidi w:val="0"/>
        <w:rPr>
          <w:rFonts w:hint="eastAsia"/>
          <w:u w:val="single"/>
        </w:rPr>
      </w:pPr>
      <w:r>
        <w:rPr>
          <w:rFonts w:hint="eastAsia"/>
          <w:u w:val="single"/>
        </w:rPr>
        <w:t>表</w:t>
      </w:r>
      <w:r>
        <w:rPr>
          <w:rFonts w:hint="eastAsia"/>
          <w:u w:val="single"/>
          <w:lang w:val="en-US" w:eastAsia="zh-CN"/>
        </w:rPr>
        <w:t>4.2-16：</w:t>
      </w:r>
      <w:r>
        <w:rPr>
          <w:rFonts w:hint="eastAsia"/>
          <w:u w:val="single"/>
        </w:rPr>
        <w:t>评价范围植被类型面积统计表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600"/>
        <w:gridCol w:w="2093"/>
        <w:gridCol w:w="1304"/>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Align w:val="center"/>
          </w:tcPr>
          <w:p>
            <w:pPr>
              <w:pStyle w:val="13"/>
              <w:bidi w:val="0"/>
              <w:jc w:val="center"/>
              <w:rPr>
                <w:rFonts w:hint="default" w:eastAsia="宋体"/>
                <w:b/>
                <w:bCs/>
                <w:u w:val="single"/>
                <w:lang w:val="en-US" w:eastAsia="zh-CN"/>
              </w:rPr>
            </w:pPr>
            <w:r>
              <w:rPr>
                <w:rFonts w:hint="eastAsia"/>
                <w:b/>
                <w:bCs/>
                <w:u w:val="single"/>
                <w:lang w:val="en-US" w:eastAsia="zh-CN"/>
              </w:rPr>
              <w:t>植被型组</w:t>
            </w:r>
          </w:p>
        </w:tc>
        <w:tc>
          <w:tcPr>
            <w:tcW w:w="2600" w:type="dxa"/>
            <w:vAlign w:val="center"/>
          </w:tcPr>
          <w:p>
            <w:pPr>
              <w:pStyle w:val="13"/>
              <w:bidi w:val="0"/>
              <w:jc w:val="center"/>
              <w:rPr>
                <w:rFonts w:hint="default" w:eastAsia="宋体"/>
                <w:b/>
                <w:bCs/>
                <w:u w:val="single"/>
                <w:lang w:val="en-US" w:eastAsia="zh-CN"/>
              </w:rPr>
            </w:pPr>
            <w:r>
              <w:rPr>
                <w:rFonts w:hint="eastAsia"/>
                <w:b/>
                <w:bCs/>
                <w:u w:val="single"/>
                <w:lang w:val="en-US" w:eastAsia="zh-CN"/>
              </w:rPr>
              <w:t>植被型（植被亚型）</w:t>
            </w:r>
          </w:p>
        </w:tc>
        <w:tc>
          <w:tcPr>
            <w:tcW w:w="2093" w:type="dxa"/>
            <w:vAlign w:val="center"/>
          </w:tcPr>
          <w:p>
            <w:pPr>
              <w:pStyle w:val="13"/>
              <w:bidi w:val="0"/>
              <w:jc w:val="center"/>
              <w:rPr>
                <w:rFonts w:hint="eastAsia" w:eastAsia="宋体"/>
                <w:b/>
                <w:bCs/>
                <w:u w:val="single"/>
                <w:lang w:val="en-US" w:eastAsia="zh-CN"/>
              </w:rPr>
            </w:pPr>
            <w:r>
              <w:rPr>
                <w:rFonts w:hint="eastAsia"/>
                <w:b/>
                <w:bCs/>
                <w:u w:val="single"/>
                <w:lang w:val="en-US" w:eastAsia="zh-CN"/>
              </w:rPr>
              <w:t>群系</w:t>
            </w:r>
          </w:p>
        </w:tc>
        <w:tc>
          <w:tcPr>
            <w:tcW w:w="1304" w:type="dxa"/>
            <w:vAlign w:val="center"/>
          </w:tcPr>
          <w:p>
            <w:pPr>
              <w:pStyle w:val="13"/>
              <w:bidi w:val="0"/>
              <w:jc w:val="center"/>
              <w:rPr>
                <w:rFonts w:hint="eastAsia" w:eastAsia="宋体"/>
                <w:b/>
                <w:bCs/>
                <w:u w:val="single"/>
                <w:lang w:val="en-US" w:eastAsia="zh-CN"/>
              </w:rPr>
            </w:pPr>
            <w:r>
              <w:rPr>
                <w:rFonts w:hint="eastAsia"/>
                <w:b/>
                <w:bCs/>
                <w:u w:val="single"/>
                <w:lang w:val="en-US" w:eastAsia="zh-CN"/>
              </w:rPr>
              <w:t>面积（hm</w:t>
            </w:r>
            <w:r>
              <w:rPr>
                <w:rFonts w:hint="eastAsia"/>
                <w:b/>
                <w:bCs/>
                <w:u w:val="single"/>
                <w:vertAlign w:val="superscript"/>
                <w:lang w:val="en-US" w:eastAsia="zh-CN"/>
              </w:rPr>
              <w:t>2</w:t>
            </w:r>
            <w:r>
              <w:rPr>
                <w:rFonts w:hint="eastAsia"/>
                <w:b/>
                <w:bCs/>
                <w:u w:val="single"/>
                <w:lang w:val="en-US" w:eastAsia="zh-CN"/>
              </w:rPr>
              <w:t>）</w:t>
            </w:r>
          </w:p>
        </w:tc>
        <w:tc>
          <w:tcPr>
            <w:tcW w:w="1186" w:type="dxa"/>
            <w:vAlign w:val="center"/>
          </w:tcPr>
          <w:p>
            <w:pPr>
              <w:pStyle w:val="13"/>
              <w:bidi w:val="0"/>
              <w:jc w:val="center"/>
              <w:rPr>
                <w:rFonts w:hint="eastAsia" w:eastAsia="宋体"/>
                <w:b/>
                <w:bCs/>
                <w:u w:val="single"/>
                <w:lang w:val="en-US" w:eastAsia="zh-CN"/>
              </w:rPr>
            </w:pPr>
            <w:r>
              <w:rPr>
                <w:rFonts w:hint="eastAsia"/>
                <w:b/>
                <w:bCs/>
                <w:u w:val="single"/>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Align w:val="center"/>
          </w:tcPr>
          <w:p>
            <w:pPr>
              <w:pStyle w:val="13"/>
              <w:ind w:firstLine="0" w:firstLineChars="0"/>
              <w:jc w:val="center"/>
              <w:rPr>
                <w:rFonts w:hint="default" w:eastAsia="宋体"/>
                <w:u w:val="single"/>
                <w:lang w:val="en-US" w:eastAsia="zh-CN"/>
              </w:rPr>
            </w:pPr>
            <w:r>
              <w:rPr>
                <w:rFonts w:hint="eastAsia"/>
                <w:u w:val="single"/>
              </w:rPr>
              <w:t>针叶林</w:t>
            </w:r>
          </w:p>
        </w:tc>
        <w:tc>
          <w:tcPr>
            <w:tcW w:w="2600" w:type="dxa"/>
            <w:vAlign w:val="center"/>
          </w:tcPr>
          <w:p>
            <w:pPr>
              <w:pStyle w:val="13"/>
              <w:ind w:firstLine="0" w:firstLineChars="0"/>
              <w:jc w:val="center"/>
              <w:rPr>
                <w:rFonts w:hint="eastAsia"/>
                <w:u w:val="single"/>
              </w:rPr>
            </w:pPr>
            <w:r>
              <w:rPr>
                <w:rFonts w:hint="eastAsia"/>
                <w:u w:val="single"/>
              </w:rPr>
              <w:t>低山</w:t>
            </w:r>
            <w:r>
              <w:rPr>
                <w:rFonts w:hint="eastAsia"/>
                <w:u w:val="single"/>
                <w:lang w:val="en-US" w:eastAsia="zh-CN"/>
              </w:rPr>
              <w:t>常绿</w:t>
            </w:r>
            <w:r>
              <w:rPr>
                <w:u w:val="single"/>
              </w:rPr>
              <w:t>针叶林</w:t>
            </w:r>
          </w:p>
        </w:tc>
        <w:tc>
          <w:tcPr>
            <w:tcW w:w="2093" w:type="dxa"/>
            <w:vAlign w:val="center"/>
          </w:tcPr>
          <w:p>
            <w:pPr>
              <w:pStyle w:val="13"/>
              <w:bidi w:val="0"/>
              <w:jc w:val="center"/>
              <w:rPr>
                <w:rFonts w:hint="default" w:eastAsia="宋体"/>
                <w:u w:val="single"/>
                <w:lang w:val="en-US" w:eastAsia="zh-CN"/>
              </w:rPr>
            </w:pPr>
            <w:r>
              <w:rPr>
                <w:rFonts w:hint="eastAsia"/>
                <w:u w:val="single"/>
                <w:lang w:val="en-US" w:eastAsia="zh-CN"/>
              </w:rPr>
              <w:t>松树、杉树、樟树等</w:t>
            </w:r>
          </w:p>
        </w:tc>
        <w:tc>
          <w:tcPr>
            <w:tcW w:w="1304" w:type="dxa"/>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u w:val="single"/>
                <w:lang w:val="en-US" w:eastAsia="zh-CN"/>
              </w:rPr>
              <w:t>22.7409</w:t>
            </w:r>
          </w:p>
        </w:tc>
        <w:tc>
          <w:tcPr>
            <w:tcW w:w="1186" w:type="dxa"/>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u w:val="single"/>
                <w:lang w:val="en-US" w:eastAsia="zh-CN"/>
              </w:rPr>
              <w:t>34.02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Align w:val="center"/>
          </w:tcPr>
          <w:p>
            <w:pPr>
              <w:pStyle w:val="13"/>
              <w:ind w:firstLine="0" w:firstLineChars="0"/>
              <w:jc w:val="center"/>
              <w:rPr>
                <w:rFonts w:hint="default" w:eastAsia="宋体"/>
                <w:u w:val="single"/>
                <w:lang w:val="en-US" w:eastAsia="zh-CN"/>
              </w:rPr>
            </w:pPr>
            <w:r>
              <w:rPr>
                <w:rFonts w:hint="eastAsia" w:ascii="Times New Roman" w:hAnsi="Times New Roman" w:eastAsia="宋体" w:cs="Times New Roman"/>
                <w:u w:val="single"/>
              </w:rPr>
              <w:t>阔叶林</w:t>
            </w:r>
          </w:p>
        </w:tc>
        <w:tc>
          <w:tcPr>
            <w:tcW w:w="2600" w:type="dxa"/>
            <w:vAlign w:val="center"/>
          </w:tcPr>
          <w:p>
            <w:pPr>
              <w:pStyle w:val="13"/>
              <w:ind w:firstLine="0" w:firstLineChars="0"/>
              <w:jc w:val="center"/>
              <w:rPr>
                <w:rFonts w:hint="default" w:eastAsia="宋体"/>
                <w:u w:val="single"/>
                <w:lang w:val="en-US" w:eastAsia="zh-CN"/>
              </w:rPr>
            </w:pPr>
            <w:r>
              <w:rPr>
                <w:rFonts w:hint="eastAsia" w:ascii="Times New Roman" w:hAnsi="Times New Roman" w:eastAsia="宋体" w:cs="Times New Roman"/>
                <w:u w:val="single"/>
              </w:rPr>
              <w:t>低山丘陵常绿阔叶林</w:t>
            </w:r>
          </w:p>
        </w:tc>
        <w:tc>
          <w:tcPr>
            <w:tcW w:w="2093" w:type="dxa"/>
            <w:vAlign w:val="center"/>
          </w:tcPr>
          <w:p>
            <w:pPr>
              <w:pStyle w:val="13"/>
              <w:bidi w:val="0"/>
              <w:jc w:val="center"/>
              <w:rPr>
                <w:rFonts w:hint="default" w:eastAsia="宋体"/>
                <w:u w:val="single"/>
                <w:lang w:val="en-US" w:eastAsia="zh-CN"/>
              </w:rPr>
            </w:pPr>
            <w:r>
              <w:rPr>
                <w:rFonts w:hint="eastAsia"/>
                <w:u w:val="single"/>
                <w:lang w:val="en-US" w:eastAsia="zh-CN"/>
              </w:rPr>
              <w:t>毛竹等</w:t>
            </w:r>
          </w:p>
        </w:tc>
        <w:tc>
          <w:tcPr>
            <w:tcW w:w="1304" w:type="dxa"/>
            <w:vMerge w:val="restart"/>
            <w:vAlign w:val="center"/>
          </w:tcPr>
          <w:p>
            <w:pPr>
              <w:pStyle w:val="13"/>
              <w:bidi w:val="0"/>
              <w:ind w:firstLine="0" w:firstLineChars="0"/>
              <w:jc w:val="center"/>
              <w:rPr>
                <w:rFonts w:hint="eastAsia" w:ascii="Times New Roman" w:hAnsi="Times New Roman" w:eastAsia="宋体" w:cs="Times New Roman"/>
                <w:kern w:val="0"/>
                <w:sz w:val="21"/>
                <w:u w:val="single"/>
              </w:rPr>
            </w:pPr>
            <w:r>
              <w:rPr>
                <w:rFonts w:hint="eastAsia"/>
                <w:u w:val="single"/>
                <w:lang w:val="en-US" w:eastAsia="zh-CN"/>
              </w:rPr>
              <w:t>15.3645</w:t>
            </w:r>
            <w:r>
              <w:rPr>
                <w:rFonts w:hint="default"/>
                <w:u w:val="single"/>
                <w:lang w:val="en-US" w:eastAsia="zh-CN"/>
              </w:rPr>
              <w:t xml:space="preserve"> </w:t>
            </w:r>
          </w:p>
        </w:tc>
        <w:tc>
          <w:tcPr>
            <w:tcW w:w="1186" w:type="dxa"/>
            <w:vMerge w:val="restart"/>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cs="Times New Roman"/>
                <w:kern w:val="0"/>
                <w:sz w:val="21"/>
                <w:u w:val="single"/>
                <w:lang w:val="en-US" w:eastAsia="zh-CN"/>
              </w:rPr>
              <w:t>22.98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Align w:val="center"/>
          </w:tcPr>
          <w:p>
            <w:pPr>
              <w:pStyle w:val="13"/>
              <w:ind w:firstLine="0" w:firstLineChars="0"/>
              <w:jc w:val="center"/>
              <w:rPr>
                <w:rFonts w:hint="default" w:ascii="Times New Roman" w:hAnsi="Times New Roman" w:eastAsia="宋体" w:cs="Times New Roman"/>
                <w:u w:val="single"/>
                <w:lang w:val="en-US" w:eastAsia="zh-CN"/>
              </w:rPr>
            </w:pPr>
            <w:r>
              <w:rPr>
                <w:rFonts w:hint="eastAsia" w:cs="Times New Roman"/>
                <w:u w:val="single"/>
                <w:lang w:val="en-US" w:eastAsia="zh-CN"/>
              </w:rPr>
              <w:t>灌木林</w:t>
            </w:r>
          </w:p>
        </w:tc>
        <w:tc>
          <w:tcPr>
            <w:tcW w:w="2600" w:type="dxa"/>
            <w:vAlign w:val="center"/>
          </w:tcPr>
          <w:p>
            <w:pPr>
              <w:pStyle w:val="13"/>
              <w:ind w:firstLine="0" w:firstLineChars="0"/>
              <w:jc w:val="center"/>
              <w:rPr>
                <w:rFonts w:hint="eastAsia" w:ascii="Times New Roman" w:hAnsi="Times New Roman" w:eastAsia="宋体" w:cs="Times New Roman"/>
                <w:u w:val="single"/>
              </w:rPr>
            </w:pPr>
            <w:r>
              <w:rPr>
                <w:rFonts w:hint="eastAsia" w:cs="Times New Roman"/>
                <w:u w:val="single"/>
                <w:lang w:val="en-US" w:eastAsia="zh-CN"/>
              </w:rPr>
              <w:t>灌木林</w:t>
            </w:r>
          </w:p>
        </w:tc>
        <w:tc>
          <w:tcPr>
            <w:tcW w:w="2093" w:type="dxa"/>
            <w:vAlign w:val="center"/>
          </w:tcPr>
          <w:p>
            <w:pPr>
              <w:pStyle w:val="13"/>
              <w:bidi w:val="0"/>
              <w:jc w:val="center"/>
              <w:rPr>
                <w:rFonts w:hint="default"/>
                <w:u w:val="single"/>
                <w:lang w:val="en-US" w:eastAsia="zh-CN"/>
              </w:rPr>
            </w:pPr>
            <w:r>
              <w:rPr>
                <w:rFonts w:hint="eastAsia"/>
                <w:u w:val="single"/>
                <w:lang w:val="en-US" w:eastAsia="zh-CN"/>
              </w:rPr>
              <w:t>檵木、盐肤木等</w:t>
            </w:r>
          </w:p>
        </w:tc>
        <w:tc>
          <w:tcPr>
            <w:tcW w:w="1304" w:type="dxa"/>
            <w:vMerge w:val="continue"/>
            <w:vAlign w:val="center"/>
          </w:tcPr>
          <w:p>
            <w:pPr>
              <w:pStyle w:val="13"/>
              <w:bidi w:val="0"/>
              <w:ind w:firstLine="0" w:firstLineChars="0"/>
              <w:jc w:val="center"/>
              <w:rPr>
                <w:rFonts w:hint="eastAsia"/>
                <w:u w:val="single"/>
              </w:rPr>
            </w:pPr>
          </w:p>
        </w:tc>
        <w:tc>
          <w:tcPr>
            <w:tcW w:w="1186" w:type="dxa"/>
            <w:vMerge w:val="continue"/>
            <w:vAlign w:val="center"/>
          </w:tcPr>
          <w:p>
            <w:pPr>
              <w:pStyle w:val="13"/>
              <w:bidi w:val="0"/>
              <w:ind w:firstLine="0" w:firstLineChars="0"/>
              <w:jc w:val="center"/>
              <w:rPr>
                <w:rFonts w:hint="eastAsia"/>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Align w:val="center"/>
          </w:tcPr>
          <w:p>
            <w:pPr>
              <w:pStyle w:val="13"/>
              <w:ind w:firstLine="0" w:firstLineChars="0"/>
              <w:jc w:val="center"/>
              <w:rPr>
                <w:rFonts w:hint="default"/>
                <w:sz w:val="21"/>
                <w:szCs w:val="21"/>
                <w:u w:val="single"/>
                <w:lang w:val="en-US" w:eastAsia="zh-CN"/>
              </w:rPr>
            </w:pPr>
            <w:r>
              <w:rPr>
                <w:rFonts w:hint="eastAsia"/>
                <w:sz w:val="21"/>
                <w:szCs w:val="21"/>
                <w:u w:val="single"/>
                <w:lang w:val="en-US" w:eastAsia="zh-CN"/>
              </w:rPr>
              <w:t>无植被地段</w:t>
            </w:r>
          </w:p>
        </w:tc>
        <w:tc>
          <w:tcPr>
            <w:tcW w:w="4693" w:type="dxa"/>
            <w:gridSpan w:val="2"/>
            <w:vAlign w:val="center"/>
          </w:tcPr>
          <w:p>
            <w:pPr>
              <w:pStyle w:val="13"/>
              <w:bidi w:val="0"/>
              <w:jc w:val="center"/>
              <w:rPr>
                <w:rFonts w:hint="eastAsia"/>
                <w:u w:val="single"/>
              </w:rPr>
            </w:pPr>
            <w:r>
              <w:rPr>
                <w:rFonts w:hint="eastAsia"/>
                <w:u w:val="single"/>
                <w:lang w:val="en-US" w:eastAsia="zh-CN"/>
              </w:rPr>
              <w:t>水域、道路、建设用地</w:t>
            </w:r>
          </w:p>
        </w:tc>
        <w:tc>
          <w:tcPr>
            <w:tcW w:w="1304" w:type="dxa"/>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u w:val="single"/>
                <w:lang w:val="en-US" w:eastAsia="zh-CN"/>
              </w:rPr>
              <w:t>28.7515</w:t>
            </w:r>
          </w:p>
        </w:tc>
        <w:tc>
          <w:tcPr>
            <w:tcW w:w="1186" w:type="dxa"/>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cs="Times New Roman"/>
                <w:kern w:val="0"/>
                <w:sz w:val="21"/>
                <w:u w:val="singl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2" w:type="dxa"/>
            <w:gridSpan w:val="3"/>
            <w:vAlign w:val="center"/>
          </w:tcPr>
          <w:p>
            <w:pPr>
              <w:pStyle w:val="13"/>
              <w:bidi w:val="0"/>
              <w:jc w:val="center"/>
              <w:rPr>
                <w:rFonts w:hint="default"/>
                <w:u w:val="single"/>
                <w:lang w:val="en-US" w:eastAsia="zh-CN"/>
              </w:rPr>
            </w:pPr>
            <w:r>
              <w:rPr>
                <w:rFonts w:hint="eastAsia"/>
                <w:u w:val="single"/>
                <w:lang w:val="en-US" w:eastAsia="zh-CN"/>
              </w:rPr>
              <w:t>合计</w:t>
            </w:r>
          </w:p>
        </w:tc>
        <w:tc>
          <w:tcPr>
            <w:tcW w:w="1304" w:type="dxa"/>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u w:val="single"/>
                <w:lang w:val="en-US" w:eastAsia="zh-CN"/>
              </w:rPr>
              <w:t>66.8569</w:t>
            </w:r>
          </w:p>
        </w:tc>
        <w:tc>
          <w:tcPr>
            <w:tcW w:w="1186" w:type="dxa"/>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cs="Times New Roman"/>
                <w:kern w:val="0"/>
                <w:sz w:val="21"/>
                <w:u w:val="single"/>
                <w:lang w:val="en-US" w:eastAsia="zh-CN"/>
              </w:rPr>
              <w:t>100</w:t>
            </w:r>
          </w:p>
        </w:tc>
      </w:tr>
    </w:tbl>
    <w:p>
      <w:pPr>
        <w:adjustRightInd w:val="0"/>
        <w:snapToGrid w:val="0"/>
        <w:spacing w:line="360" w:lineRule="auto"/>
        <w:ind w:firstLine="480" w:firstLineChars="200"/>
        <w:rPr>
          <w:rFonts w:hint="eastAsia" w:hAnsi="宋体" w:eastAsia="宋体"/>
          <w:snapToGrid w:val="0"/>
          <w:kern w:val="0"/>
          <w:sz w:val="24"/>
          <w:u w:val="single"/>
          <w:lang w:val="en-US" w:eastAsia="zh-CN"/>
        </w:rPr>
      </w:pPr>
      <w:r>
        <w:rPr>
          <w:rFonts w:hint="eastAsia" w:hAnsi="宋体"/>
          <w:snapToGrid w:val="0"/>
          <w:kern w:val="0"/>
          <w:sz w:val="24"/>
          <w:u w:val="single"/>
          <w:lang w:val="en-US" w:eastAsia="zh-CN"/>
        </w:rPr>
        <w:t>2）生态系统统计</w:t>
      </w:r>
    </w:p>
    <w:p>
      <w:pPr>
        <w:bidi w:val="0"/>
        <w:jc w:val="both"/>
        <w:rPr>
          <w:u w:val="single"/>
        </w:rPr>
      </w:pPr>
      <w:r>
        <w:rPr>
          <w:rFonts w:hint="eastAsia"/>
          <w:u w:val="single"/>
        </w:rPr>
        <w:t>按照《全国生态状况调查评估技术规范—生态系统遥感解译与野外核查》（HJ1166</w:t>
      </w:r>
      <w:r>
        <w:rPr>
          <w:rFonts w:hint="eastAsia"/>
          <w:u w:val="single"/>
          <w:lang w:val="en-US" w:eastAsia="zh-CN"/>
        </w:rPr>
        <w:t>-</w:t>
      </w:r>
      <w:r>
        <w:rPr>
          <w:rFonts w:hint="eastAsia"/>
          <w:u w:val="single"/>
        </w:rPr>
        <w:t>2021）要求，对评价区域生态系统开展遥感解译与调查，结合区域土地利用现状、植被类型等解译和调查结果，将评价范围内生态系统分为森林生态系统、灌丛生态系统、湿地生态系统及城镇生态系统，</w:t>
      </w:r>
      <w:r>
        <w:rPr>
          <w:u w:val="single"/>
        </w:rPr>
        <w:t>评价区各生态系统类型及面积见</w:t>
      </w:r>
      <w:r>
        <w:rPr>
          <w:rFonts w:hint="eastAsia"/>
          <w:u w:val="single"/>
        </w:rPr>
        <w:t>表</w:t>
      </w:r>
      <w:r>
        <w:rPr>
          <w:rFonts w:hint="eastAsia"/>
          <w:u w:val="single"/>
          <w:lang w:val="en-US" w:eastAsia="zh-CN"/>
        </w:rPr>
        <w:t>4.2-17</w:t>
      </w:r>
      <w:r>
        <w:rPr>
          <w:u w:val="single"/>
        </w:rPr>
        <w:t>。</w:t>
      </w:r>
    </w:p>
    <w:p>
      <w:pPr>
        <w:pStyle w:val="126"/>
        <w:bidi w:val="0"/>
        <w:rPr>
          <w:rFonts w:hint="eastAsia"/>
          <w:u w:val="single"/>
          <w:lang w:val="zh-CN"/>
        </w:rPr>
      </w:pPr>
      <w:bookmarkStart w:id="246" w:name="_Ref439777963"/>
      <w:r>
        <w:rPr>
          <w:rFonts w:hint="eastAsia"/>
          <w:u w:val="single"/>
          <w:lang w:val="zh-CN"/>
        </w:rPr>
        <w:t>表</w:t>
      </w:r>
      <w:bookmarkEnd w:id="246"/>
      <w:r>
        <w:rPr>
          <w:rFonts w:hint="eastAsia"/>
          <w:u w:val="single"/>
          <w:lang w:val="en-US" w:eastAsia="zh-CN"/>
        </w:rPr>
        <w:t>4.2-171：</w:t>
      </w:r>
      <w:r>
        <w:rPr>
          <w:rFonts w:hint="eastAsia"/>
          <w:u w:val="single"/>
          <w:lang w:val="zh-CN"/>
        </w:rPr>
        <w:t>评价区各生态系统面积及比例</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3"/>
        <w:gridCol w:w="2426"/>
        <w:gridCol w:w="1726"/>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11" w:type="pct"/>
            <w:gridSpan w:val="2"/>
            <w:tcBorders>
              <w:top w:val="single" w:color="auto" w:sz="4" w:space="0"/>
              <w:left w:val="single" w:color="auto" w:sz="4" w:space="0"/>
              <w:bottom w:val="single" w:color="auto" w:sz="4" w:space="0"/>
              <w:right w:val="single" w:color="auto" w:sz="4" w:space="0"/>
            </w:tcBorders>
            <w:vAlign w:val="center"/>
          </w:tcPr>
          <w:p>
            <w:pPr>
              <w:pStyle w:val="13"/>
              <w:bidi w:val="0"/>
              <w:rPr>
                <w:rFonts w:hint="default" w:eastAsia="宋体"/>
                <w:b/>
                <w:bCs/>
                <w:u w:val="single"/>
                <w:lang w:val="en-US" w:eastAsia="zh-CN"/>
              </w:rPr>
            </w:pPr>
            <w:r>
              <w:rPr>
                <w:rFonts w:hint="eastAsia"/>
                <w:b/>
                <w:bCs/>
                <w:u w:val="single"/>
                <w:lang w:val="en-US" w:eastAsia="zh-CN"/>
              </w:rPr>
              <w:t>生态系统分类</w:t>
            </w:r>
          </w:p>
        </w:tc>
        <w:tc>
          <w:tcPr>
            <w:tcW w:w="1013" w:type="pct"/>
            <w:vMerge w:val="restart"/>
            <w:tcBorders>
              <w:top w:val="single" w:color="auto" w:sz="4" w:space="0"/>
              <w:left w:val="single" w:color="auto" w:sz="4" w:space="0"/>
              <w:right w:val="single" w:color="auto" w:sz="4" w:space="0"/>
            </w:tcBorders>
            <w:vAlign w:val="center"/>
          </w:tcPr>
          <w:p>
            <w:pPr>
              <w:pStyle w:val="13"/>
              <w:bidi w:val="0"/>
              <w:rPr>
                <w:b/>
                <w:bCs/>
                <w:u w:val="single"/>
              </w:rPr>
            </w:pPr>
            <w:r>
              <w:rPr>
                <w:b/>
                <w:bCs/>
                <w:u w:val="single"/>
              </w:rPr>
              <w:t>面积（hm</w:t>
            </w:r>
            <w:r>
              <w:rPr>
                <w:b/>
                <w:bCs/>
                <w:u w:val="single"/>
                <w:vertAlign w:val="superscript"/>
              </w:rPr>
              <w:t>2</w:t>
            </w:r>
            <w:r>
              <w:rPr>
                <w:b/>
                <w:bCs/>
                <w:u w:val="single"/>
              </w:rPr>
              <w:t>）</w:t>
            </w:r>
          </w:p>
        </w:tc>
        <w:tc>
          <w:tcPr>
            <w:tcW w:w="1175" w:type="pct"/>
            <w:vMerge w:val="restart"/>
            <w:tcBorders>
              <w:top w:val="single" w:color="auto" w:sz="4" w:space="0"/>
              <w:left w:val="single" w:color="auto" w:sz="4" w:space="0"/>
              <w:right w:val="single" w:color="auto" w:sz="4" w:space="0"/>
            </w:tcBorders>
            <w:vAlign w:val="center"/>
          </w:tcPr>
          <w:p>
            <w:pPr>
              <w:pStyle w:val="13"/>
              <w:bidi w:val="0"/>
              <w:rPr>
                <w:b/>
                <w:bCs/>
                <w:u w:val="single"/>
              </w:rPr>
            </w:pPr>
            <w:r>
              <w:rPr>
                <w:b/>
                <w:bCs/>
                <w:u w:val="single"/>
              </w:rPr>
              <w:t>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87" w:type="pct"/>
            <w:tcBorders>
              <w:top w:val="single" w:color="auto" w:sz="4" w:space="0"/>
              <w:left w:val="single" w:color="auto" w:sz="4" w:space="0"/>
              <w:bottom w:val="single" w:color="auto" w:sz="4" w:space="0"/>
              <w:right w:val="single" w:color="auto" w:sz="4" w:space="0"/>
            </w:tcBorders>
            <w:vAlign w:val="center"/>
          </w:tcPr>
          <w:p>
            <w:pPr>
              <w:pStyle w:val="13"/>
              <w:bidi w:val="0"/>
              <w:rPr>
                <w:rFonts w:hint="default"/>
                <w:b/>
                <w:bCs/>
                <w:u w:val="single"/>
                <w:lang w:val="en-US" w:eastAsia="zh-CN"/>
              </w:rPr>
            </w:pPr>
            <w:r>
              <w:rPr>
                <w:rFonts w:hint="eastAsia"/>
                <w:b/>
                <w:bCs/>
                <w:u w:val="single"/>
                <w:lang w:val="en-US" w:eastAsia="zh-CN"/>
              </w:rPr>
              <w:t>一级类</w:t>
            </w:r>
          </w:p>
        </w:tc>
        <w:tc>
          <w:tcPr>
            <w:tcW w:w="1424" w:type="pct"/>
            <w:tcBorders>
              <w:top w:val="single" w:color="auto" w:sz="4" w:space="0"/>
              <w:left w:val="single" w:color="auto" w:sz="4" w:space="0"/>
              <w:bottom w:val="single" w:color="auto" w:sz="4" w:space="0"/>
              <w:right w:val="single" w:color="auto" w:sz="4" w:space="0"/>
            </w:tcBorders>
            <w:vAlign w:val="center"/>
          </w:tcPr>
          <w:p>
            <w:pPr>
              <w:pStyle w:val="13"/>
              <w:bidi w:val="0"/>
              <w:rPr>
                <w:rFonts w:hint="default"/>
                <w:b/>
                <w:bCs/>
                <w:u w:val="single"/>
                <w:lang w:val="en-US" w:eastAsia="zh-CN"/>
              </w:rPr>
            </w:pPr>
            <w:r>
              <w:rPr>
                <w:rFonts w:hint="eastAsia"/>
                <w:b/>
                <w:bCs/>
                <w:u w:val="single"/>
                <w:lang w:val="en-US" w:eastAsia="zh-CN"/>
              </w:rPr>
              <w:t>二级类</w:t>
            </w:r>
          </w:p>
        </w:tc>
        <w:tc>
          <w:tcPr>
            <w:tcW w:w="1013" w:type="pct"/>
            <w:vMerge w:val="continue"/>
            <w:tcBorders>
              <w:left w:val="single" w:color="auto" w:sz="4" w:space="0"/>
              <w:bottom w:val="single" w:color="auto" w:sz="4" w:space="0"/>
              <w:right w:val="single" w:color="auto" w:sz="4" w:space="0"/>
            </w:tcBorders>
            <w:vAlign w:val="center"/>
          </w:tcPr>
          <w:p>
            <w:pPr>
              <w:pStyle w:val="13"/>
              <w:bidi w:val="0"/>
              <w:rPr>
                <w:b/>
                <w:bCs/>
                <w:u w:val="single"/>
              </w:rPr>
            </w:pPr>
          </w:p>
        </w:tc>
        <w:tc>
          <w:tcPr>
            <w:tcW w:w="1175" w:type="pct"/>
            <w:vMerge w:val="continue"/>
            <w:tcBorders>
              <w:left w:val="single" w:color="auto" w:sz="4" w:space="0"/>
              <w:bottom w:val="single" w:color="auto" w:sz="4" w:space="0"/>
              <w:right w:val="single" w:color="auto" w:sz="4" w:space="0"/>
            </w:tcBorders>
            <w:vAlign w:val="center"/>
          </w:tcPr>
          <w:p>
            <w:pPr>
              <w:pStyle w:val="13"/>
              <w:bidi w:val="0"/>
              <w:rPr>
                <w:b/>
                <w:bCs/>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87" w:type="pct"/>
            <w:tcBorders>
              <w:top w:val="single" w:color="auto" w:sz="4" w:space="0"/>
              <w:left w:val="single" w:color="auto" w:sz="4" w:space="0"/>
              <w:bottom w:val="single" w:color="auto" w:sz="4" w:space="0"/>
              <w:right w:val="single" w:color="auto" w:sz="4" w:space="0"/>
            </w:tcBorders>
            <w:vAlign w:val="center"/>
          </w:tcPr>
          <w:p>
            <w:pPr>
              <w:pStyle w:val="13"/>
              <w:bidi w:val="0"/>
              <w:ind w:firstLine="0" w:firstLineChars="0"/>
              <w:rPr>
                <w:rFonts w:hint="default" w:ascii="Times New Roman" w:hAnsi="Times New Roman" w:eastAsia="宋体" w:cs="Times New Roman"/>
                <w:kern w:val="0"/>
                <w:sz w:val="21"/>
                <w:u w:val="single"/>
                <w:lang w:val="en-US" w:eastAsia="zh-CN"/>
              </w:rPr>
            </w:pPr>
            <w:r>
              <w:rPr>
                <w:rFonts w:hint="eastAsia" w:cs="Times New Roman"/>
                <w:kern w:val="0"/>
                <w:sz w:val="21"/>
                <w:u w:val="single"/>
                <w:lang w:val="en-US" w:eastAsia="zh-CN"/>
              </w:rPr>
              <w:t>1森林生态系统</w:t>
            </w:r>
          </w:p>
        </w:tc>
        <w:tc>
          <w:tcPr>
            <w:tcW w:w="1424" w:type="pct"/>
            <w:tcBorders>
              <w:top w:val="single" w:color="auto" w:sz="4" w:space="0"/>
              <w:left w:val="single" w:color="auto" w:sz="4" w:space="0"/>
              <w:bottom w:val="single" w:color="auto" w:sz="4" w:space="0"/>
              <w:right w:val="single" w:color="auto" w:sz="4" w:space="0"/>
            </w:tcBorders>
            <w:vAlign w:val="center"/>
          </w:tcPr>
          <w:p>
            <w:pPr>
              <w:pStyle w:val="13"/>
              <w:bidi w:val="0"/>
              <w:ind w:firstLine="0" w:firstLineChars="0"/>
              <w:rPr>
                <w:rFonts w:hint="default" w:ascii="Times New Roman" w:hAnsi="Times New Roman" w:eastAsia="宋体" w:cs="Times New Roman"/>
                <w:kern w:val="0"/>
                <w:sz w:val="21"/>
                <w:u w:val="single"/>
                <w:lang w:val="en-US" w:eastAsia="zh-CN"/>
              </w:rPr>
            </w:pPr>
            <w:r>
              <w:rPr>
                <w:rFonts w:hint="eastAsia"/>
                <w:u w:val="single"/>
                <w:lang w:val="en-US" w:eastAsia="zh-CN"/>
              </w:rPr>
              <w:t>13针阔混交林</w:t>
            </w:r>
          </w:p>
        </w:tc>
        <w:tc>
          <w:tcPr>
            <w:tcW w:w="1013" w:type="pct"/>
            <w:tcBorders>
              <w:left w:val="single" w:color="auto" w:sz="4" w:space="0"/>
              <w:bottom w:val="single" w:color="auto" w:sz="4" w:space="0"/>
              <w:right w:val="single" w:color="auto" w:sz="4" w:space="0"/>
            </w:tcBorders>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u w:val="single"/>
                <w:lang w:val="en-US" w:eastAsia="zh-CN"/>
              </w:rPr>
              <w:t>30.8867</w:t>
            </w:r>
          </w:p>
        </w:tc>
        <w:tc>
          <w:tcPr>
            <w:tcW w:w="1175" w:type="pct"/>
            <w:tcBorders>
              <w:left w:val="single" w:color="auto" w:sz="4" w:space="0"/>
              <w:bottom w:val="single" w:color="auto" w:sz="4" w:space="0"/>
              <w:right w:val="single" w:color="auto" w:sz="4" w:space="0"/>
            </w:tcBorders>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u w:val="single"/>
                <w:lang w:val="en-US" w:eastAsia="zh-CN"/>
              </w:rPr>
              <w:t>46.20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87" w:type="pct"/>
            <w:tcBorders>
              <w:top w:val="single" w:color="auto" w:sz="4" w:space="0"/>
              <w:left w:val="single" w:color="auto" w:sz="4" w:space="0"/>
              <w:right w:val="single" w:color="auto" w:sz="4" w:space="0"/>
            </w:tcBorders>
            <w:vAlign w:val="center"/>
          </w:tcPr>
          <w:p>
            <w:pPr>
              <w:pStyle w:val="13"/>
              <w:bidi w:val="0"/>
              <w:rPr>
                <w:rFonts w:hint="default"/>
                <w:u w:val="single"/>
                <w:lang w:val="en-US" w:eastAsia="zh-CN"/>
              </w:rPr>
            </w:pPr>
            <w:r>
              <w:rPr>
                <w:rFonts w:hint="eastAsia"/>
                <w:u w:val="single"/>
                <w:lang w:val="en-US" w:eastAsia="zh-CN"/>
              </w:rPr>
              <w:t>2灌丛生态系统</w:t>
            </w:r>
          </w:p>
        </w:tc>
        <w:tc>
          <w:tcPr>
            <w:tcW w:w="1424" w:type="pct"/>
            <w:tcBorders>
              <w:top w:val="single" w:color="auto" w:sz="4" w:space="0"/>
              <w:left w:val="single" w:color="auto" w:sz="4" w:space="0"/>
              <w:bottom w:val="single" w:color="auto" w:sz="4" w:space="0"/>
              <w:right w:val="single" w:color="auto" w:sz="4" w:space="0"/>
            </w:tcBorders>
            <w:vAlign w:val="center"/>
          </w:tcPr>
          <w:p>
            <w:pPr>
              <w:pStyle w:val="13"/>
              <w:bidi w:val="0"/>
              <w:rPr>
                <w:rFonts w:hint="default"/>
                <w:u w:val="single"/>
                <w:lang w:val="en-US"/>
              </w:rPr>
            </w:pPr>
            <w:r>
              <w:rPr>
                <w:rFonts w:hint="eastAsia"/>
                <w:u w:val="single"/>
                <w:lang w:val="en-US" w:eastAsia="zh-CN"/>
              </w:rPr>
              <w:t>23稀疏灌丛</w:t>
            </w:r>
          </w:p>
        </w:tc>
        <w:tc>
          <w:tcPr>
            <w:tcW w:w="1013" w:type="pct"/>
            <w:tcBorders>
              <w:top w:val="single" w:color="auto" w:sz="4" w:space="0"/>
              <w:left w:val="single" w:color="auto" w:sz="4" w:space="0"/>
              <w:bottom w:val="single" w:color="auto" w:sz="4" w:space="0"/>
              <w:right w:val="single" w:color="auto" w:sz="4" w:space="0"/>
            </w:tcBorders>
            <w:vAlign w:val="center"/>
          </w:tcPr>
          <w:p>
            <w:pPr>
              <w:pStyle w:val="13"/>
              <w:bidi w:val="0"/>
              <w:ind w:firstLine="0" w:firstLineChars="0"/>
              <w:jc w:val="center"/>
              <w:rPr>
                <w:rFonts w:hint="default"/>
                <w:u w:val="single"/>
                <w:lang w:val="en-US"/>
              </w:rPr>
            </w:pPr>
            <w:r>
              <w:rPr>
                <w:rFonts w:hint="eastAsia"/>
                <w:u w:val="single"/>
                <w:lang w:val="en-US" w:eastAsia="zh-CN"/>
              </w:rPr>
              <w:t>7.2187</w:t>
            </w:r>
          </w:p>
        </w:tc>
        <w:tc>
          <w:tcPr>
            <w:tcW w:w="1175" w:type="pct"/>
            <w:tcBorders>
              <w:top w:val="single" w:color="auto" w:sz="4" w:space="0"/>
              <w:left w:val="single" w:color="auto" w:sz="4" w:space="0"/>
              <w:bottom w:val="single" w:color="auto" w:sz="4" w:space="0"/>
              <w:right w:val="single" w:color="auto" w:sz="4" w:space="0"/>
            </w:tcBorders>
            <w:vAlign w:val="center"/>
          </w:tcPr>
          <w:p>
            <w:pPr>
              <w:pStyle w:val="13"/>
              <w:bidi w:val="0"/>
              <w:ind w:firstLine="0" w:firstLineChars="0"/>
              <w:jc w:val="center"/>
              <w:rPr>
                <w:rFonts w:hint="default"/>
                <w:u w:val="single"/>
                <w:lang w:val="en-US" w:eastAsia="zh-CN"/>
              </w:rPr>
            </w:pPr>
            <w:r>
              <w:rPr>
                <w:rFonts w:hint="eastAsia" w:cs="Times New Roman"/>
                <w:kern w:val="0"/>
                <w:sz w:val="21"/>
                <w:u w:val="single"/>
                <w:lang w:val="en-US" w:eastAsia="zh-CN"/>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387" w:type="pct"/>
            <w:tcBorders>
              <w:top w:val="single" w:color="auto" w:sz="4" w:space="0"/>
              <w:left w:val="single" w:color="auto" w:sz="4" w:space="0"/>
              <w:bottom w:val="single" w:color="auto" w:sz="4" w:space="0"/>
              <w:right w:val="single" w:color="auto" w:sz="4" w:space="0"/>
            </w:tcBorders>
            <w:vAlign w:val="center"/>
          </w:tcPr>
          <w:p>
            <w:pPr>
              <w:pStyle w:val="13"/>
              <w:bidi w:val="0"/>
              <w:rPr>
                <w:rFonts w:hint="default"/>
                <w:u w:val="single"/>
                <w:lang w:val="en-US" w:eastAsia="zh-CN"/>
              </w:rPr>
            </w:pPr>
            <w:r>
              <w:rPr>
                <w:rFonts w:hint="eastAsia"/>
                <w:u w:val="single"/>
                <w:lang w:val="en-US" w:eastAsia="zh-CN"/>
              </w:rPr>
              <w:t>3湿地生态系统</w:t>
            </w:r>
          </w:p>
        </w:tc>
        <w:tc>
          <w:tcPr>
            <w:tcW w:w="1424" w:type="pct"/>
            <w:tcBorders>
              <w:top w:val="single" w:color="auto" w:sz="4" w:space="0"/>
              <w:left w:val="single" w:color="auto" w:sz="4" w:space="0"/>
              <w:bottom w:val="single" w:color="auto" w:sz="4" w:space="0"/>
              <w:right w:val="single" w:color="auto" w:sz="4" w:space="0"/>
            </w:tcBorders>
            <w:vAlign w:val="center"/>
          </w:tcPr>
          <w:p>
            <w:pPr>
              <w:pStyle w:val="13"/>
              <w:bidi w:val="0"/>
              <w:rPr>
                <w:rFonts w:hint="default"/>
                <w:u w:val="single"/>
                <w:lang w:val="en-US" w:eastAsia="zh-CN"/>
              </w:rPr>
            </w:pPr>
            <w:r>
              <w:rPr>
                <w:rFonts w:hint="eastAsia"/>
                <w:u w:val="single"/>
                <w:lang w:val="en-US" w:eastAsia="zh-CN"/>
              </w:rPr>
              <w:t>42湖泊</w:t>
            </w:r>
          </w:p>
        </w:tc>
        <w:tc>
          <w:tcPr>
            <w:tcW w:w="1013" w:type="pct"/>
            <w:tcBorders>
              <w:top w:val="single" w:color="auto" w:sz="4" w:space="0"/>
              <w:left w:val="single" w:color="auto" w:sz="4" w:space="0"/>
              <w:bottom w:val="single" w:color="auto" w:sz="4" w:space="0"/>
              <w:right w:val="single" w:color="auto" w:sz="4" w:space="0"/>
            </w:tcBorders>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u w:val="single"/>
                <w:lang w:val="en-US" w:eastAsia="zh-CN"/>
              </w:rPr>
              <w:t>0.9098</w:t>
            </w:r>
          </w:p>
        </w:tc>
        <w:tc>
          <w:tcPr>
            <w:tcW w:w="1175" w:type="pct"/>
            <w:tcBorders>
              <w:top w:val="single" w:color="auto" w:sz="4" w:space="0"/>
              <w:left w:val="single" w:color="auto" w:sz="4" w:space="0"/>
              <w:bottom w:val="single" w:color="auto" w:sz="4" w:space="0"/>
              <w:right w:val="single" w:color="auto" w:sz="4" w:space="0"/>
            </w:tcBorders>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cs="Times New Roman"/>
                <w:kern w:val="0"/>
                <w:sz w:val="21"/>
                <w:u w:val="single"/>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7" w:type="pct"/>
            <w:tcBorders>
              <w:top w:val="single" w:color="auto" w:sz="4" w:space="0"/>
              <w:left w:val="single" w:color="auto" w:sz="4" w:space="0"/>
              <w:right w:val="single" w:color="auto" w:sz="4" w:space="0"/>
            </w:tcBorders>
            <w:vAlign w:val="center"/>
          </w:tcPr>
          <w:p>
            <w:pPr>
              <w:pStyle w:val="13"/>
              <w:bidi w:val="0"/>
              <w:rPr>
                <w:rFonts w:hint="default"/>
                <w:u w:val="single"/>
                <w:lang w:val="en-US" w:eastAsia="zh-CN"/>
              </w:rPr>
            </w:pPr>
            <w:r>
              <w:rPr>
                <w:rFonts w:hint="eastAsia"/>
                <w:u w:val="single"/>
                <w:lang w:val="en-US" w:eastAsia="zh-CN"/>
              </w:rPr>
              <w:t>4城镇生态系统</w:t>
            </w:r>
          </w:p>
        </w:tc>
        <w:tc>
          <w:tcPr>
            <w:tcW w:w="1424" w:type="pct"/>
            <w:tcBorders>
              <w:top w:val="single" w:color="auto" w:sz="4" w:space="0"/>
              <w:left w:val="single" w:color="auto" w:sz="4" w:space="0"/>
              <w:bottom w:val="single" w:color="auto" w:sz="4" w:space="0"/>
              <w:right w:val="single" w:color="auto" w:sz="4" w:space="0"/>
            </w:tcBorders>
            <w:vAlign w:val="center"/>
          </w:tcPr>
          <w:p>
            <w:pPr>
              <w:pStyle w:val="13"/>
              <w:bidi w:val="0"/>
              <w:rPr>
                <w:rFonts w:hint="default"/>
                <w:u w:val="single"/>
                <w:lang w:val="en-US" w:eastAsia="zh-CN"/>
              </w:rPr>
            </w:pPr>
            <w:r>
              <w:rPr>
                <w:rFonts w:hint="eastAsia"/>
                <w:u w:val="single"/>
                <w:lang w:val="en-US" w:eastAsia="zh-CN"/>
              </w:rPr>
              <w:t>61居住地</w:t>
            </w:r>
          </w:p>
        </w:tc>
        <w:tc>
          <w:tcPr>
            <w:tcW w:w="1013" w:type="pct"/>
            <w:tcBorders>
              <w:top w:val="single" w:color="auto" w:sz="4" w:space="0"/>
              <w:left w:val="single" w:color="auto" w:sz="4" w:space="0"/>
              <w:bottom w:val="single" w:color="auto" w:sz="4" w:space="0"/>
              <w:right w:val="single" w:color="auto" w:sz="4" w:space="0"/>
            </w:tcBorders>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u w:val="single"/>
                <w:lang w:val="en-US" w:eastAsia="zh-CN"/>
              </w:rPr>
              <w:t>27.8417</w:t>
            </w:r>
          </w:p>
        </w:tc>
        <w:tc>
          <w:tcPr>
            <w:tcW w:w="1175" w:type="pct"/>
            <w:tcBorders>
              <w:top w:val="single" w:color="auto" w:sz="4" w:space="0"/>
              <w:left w:val="single" w:color="auto" w:sz="4" w:space="0"/>
              <w:bottom w:val="single" w:color="auto" w:sz="4" w:space="0"/>
              <w:right w:val="single" w:color="auto" w:sz="4" w:space="0"/>
            </w:tcBorders>
            <w:vAlign w:val="center"/>
          </w:tcPr>
          <w:p>
            <w:pPr>
              <w:pStyle w:val="13"/>
              <w:bidi w:val="0"/>
              <w:ind w:firstLine="0" w:firstLineChars="0"/>
              <w:jc w:val="center"/>
              <w:rPr>
                <w:rFonts w:hint="default" w:ascii="Times New Roman" w:hAnsi="Times New Roman" w:eastAsia="宋体" w:cs="Times New Roman"/>
                <w:kern w:val="0"/>
                <w:sz w:val="21"/>
                <w:u w:val="single"/>
                <w:lang w:val="en-US" w:eastAsia="zh-CN"/>
              </w:rPr>
            </w:pPr>
            <w:r>
              <w:rPr>
                <w:rFonts w:hint="eastAsia" w:cs="Times New Roman"/>
                <w:kern w:val="0"/>
                <w:sz w:val="21"/>
                <w:u w:val="single"/>
                <w:lang w:val="en-US" w:eastAsia="zh-CN"/>
              </w:rPr>
              <w:t>41.64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11" w:type="pct"/>
            <w:gridSpan w:val="2"/>
            <w:tcBorders>
              <w:top w:val="single" w:color="auto" w:sz="4" w:space="0"/>
              <w:left w:val="single" w:color="auto" w:sz="4" w:space="0"/>
              <w:bottom w:val="single" w:color="auto" w:sz="4" w:space="0"/>
              <w:right w:val="single" w:color="auto" w:sz="4" w:space="0"/>
            </w:tcBorders>
            <w:vAlign w:val="center"/>
          </w:tcPr>
          <w:p>
            <w:pPr>
              <w:pStyle w:val="13"/>
              <w:bidi w:val="0"/>
              <w:rPr>
                <w:u w:val="single"/>
              </w:rPr>
            </w:pPr>
            <w:r>
              <w:rPr>
                <w:u w:val="single"/>
              </w:rPr>
              <w:t>总计</w:t>
            </w:r>
          </w:p>
        </w:tc>
        <w:tc>
          <w:tcPr>
            <w:tcW w:w="1013" w:type="pct"/>
            <w:tcBorders>
              <w:top w:val="single" w:color="auto" w:sz="4" w:space="0"/>
              <w:left w:val="single" w:color="auto" w:sz="4" w:space="0"/>
              <w:bottom w:val="single" w:color="auto" w:sz="4" w:space="0"/>
              <w:right w:val="single" w:color="auto" w:sz="4" w:space="0"/>
            </w:tcBorders>
            <w:vAlign w:val="center"/>
          </w:tcPr>
          <w:p>
            <w:pPr>
              <w:pStyle w:val="13"/>
              <w:bidi w:val="0"/>
              <w:ind w:firstLine="0" w:firstLineChars="0"/>
              <w:jc w:val="center"/>
              <w:rPr>
                <w:rFonts w:hint="eastAsia"/>
                <w:u w:val="single"/>
                <w:lang w:val="en-US" w:eastAsia="zh-CN"/>
              </w:rPr>
            </w:pPr>
            <w:r>
              <w:rPr>
                <w:rFonts w:hint="eastAsia"/>
                <w:u w:val="single"/>
                <w:lang w:val="en-US" w:eastAsia="zh-CN"/>
              </w:rPr>
              <w:t>66.8569</w:t>
            </w:r>
          </w:p>
        </w:tc>
        <w:tc>
          <w:tcPr>
            <w:tcW w:w="1175" w:type="pct"/>
            <w:tcBorders>
              <w:top w:val="single" w:color="auto" w:sz="4" w:space="0"/>
              <w:left w:val="single" w:color="auto" w:sz="4" w:space="0"/>
              <w:bottom w:val="single" w:color="auto" w:sz="4" w:space="0"/>
              <w:right w:val="single" w:color="auto" w:sz="4" w:space="0"/>
            </w:tcBorders>
            <w:vAlign w:val="center"/>
          </w:tcPr>
          <w:p>
            <w:pPr>
              <w:pStyle w:val="13"/>
              <w:bidi w:val="0"/>
              <w:ind w:firstLine="0" w:firstLineChars="0"/>
              <w:jc w:val="center"/>
              <w:rPr>
                <w:u w:val="single"/>
              </w:rPr>
            </w:pPr>
            <w:r>
              <w:rPr>
                <w:rFonts w:hint="eastAsia" w:cs="Times New Roman"/>
                <w:kern w:val="0"/>
                <w:sz w:val="21"/>
                <w:u w:val="single"/>
                <w:lang w:val="en-US" w:eastAsia="zh-CN"/>
              </w:rPr>
              <w:t>100</w:t>
            </w:r>
          </w:p>
        </w:tc>
      </w:tr>
    </w:tbl>
    <w:p>
      <w:pPr>
        <w:spacing w:line="360" w:lineRule="auto"/>
        <w:ind w:firstLine="480" w:firstLineChars="200"/>
        <w:jc w:val="both"/>
        <w:rPr>
          <w:rFonts w:hint="eastAsia" w:ascii="Times New Roman" w:hAnsi="Times New Roman"/>
          <w:sz w:val="24"/>
          <w:szCs w:val="24"/>
          <w:u w:val="single"/>
        </w:rPr>
      </w:pPr>
      <w:r>
        <w:rPr>
          <w:rFonts w:ascii="Times New Roman" w:hAnsi="Times New Roman"/>
          <w:sz w:val="24"/>
          <w:szCs w:val="24"/>
          <w:u w:val="single"/>
        </w:rPr>
        <w:t>由上表可知，评价区生态系统以</w:t>
      </w:r>
      <w:r>
        <w:rPr>
          <w:rFonts w:hint="eastAsia"/>
          <w:sz w:val="24"/>
          <w:szCs w:val="24"/>
          <w:u w:val="single"/>
          <w:lang w:val="en-US" w:eastAsia="zh-CN"/>
        </w:rPr>
        <w:t>森林生态系统及</w:t>
      </w:r>
      <w:r>
        <w:rPr>
          <w:rFonts w:hint="eastAsia"/>
          <w:u w:val="single"/>
          <w:lang w:val="en-US" w:eastAsia="zh-CN"/>
        </w:rPr>
        <w:t>城镇生态系统</w:t>
      </w:r>
      <w:r>
        <w:rPr>
          <w:rFonts w:ascii="Times New Roman" w:hAnsi="Times New Roman"/>
          <w:sz w:val="24"/>
          <w:szCs w:val="24"/>
          <w:u w:val="single"/>
        </w:rPr>
        <w:t>为主，面积</w:t>
      </w:r>
      <w:r>
        <w:rPr>
          <w:rFonts w:hint="eastAsia" w:ascii="Times New Roman" w:hAnsi="Times New Roman"/>
          <w:sz w:val="24"/>
          <w:szCs w:val="24"/>
          <w:u w:val="single"/>
          <w:lang w:eastAsia="zh-CN"/>
        </w:rPr>
        <w:t>分别</w:t>
      </w:r>
      <w:r>
        <w:rPr>
          <w:rFonts w:ascii="Times New Roman" w:hAnsi="Times New Roman"/>
          <w:sz w:val="24"/>
          <w:szCs w:val="24"/>
          <w:u w:val="single"/>
        </w:rPr>
        <w:t>为</w:t>
      </w:r>
      <w:r>
        <w:rPr>
          <w:rFonts w:hint="eastAsia"/>
          <w:sz w:val="24"/>
          <w:szCs w:val="24"/>
          <w:u w:val="single"/>
          <w:lang w:val="en-US" w:eastAsia="zh-CN"/>
        </w:rPr>
        <w:t>30.8867</w:t>
      </w:r>
      <w:r>
        <w:rPr>
          <w:rFonts w:ascii="Times New Roman" w:hAnsi="Times New Roman"/>
          <w:sz w:val="24"/>
          <w:szCs w:val="24"/>
          <w:u w:val="single"/>
        </w:rPr>
        <w:t>hm</w:t>
      </w:r>
      <w:r>
        <w:rPr>
          <w:rFonts w:ascii="Times New Roman" w:hAnsi="Times New Roman"/>
          <w:sz w:val="24"/>
          <w:szCs w:val="24"/>
          <w:u w:val="single"/>
          <w:vertAlign w:val="superscript"/>
        </w:rPr>
        <w:t>2</w:t>
      </w:r>
      <w:r>
        <w:rPr>
          <w:rFonts w:hint="eastAsia" w:ascii="Times New Roman" w:hAnsi="Times New Roman"/>
          <w:sz w:val="24"/>
          <w:szCs w:val="24"/>
          <w:u w:val="single"/>
          <w:vertAlign w:val="baseline"/>
          <w:lang w:eastAsia="zh-CN"/>
        </w:rPr>
        <w:t>、</w:t>
      </w:r>
      <w:r>
        <w:rPr>
          <w:rFonts w:hint="eastAsia"/>
          <w:sz w:val="24"/>
          <w:szCs w:val="24"/>
          <w:u w:val="single"/>
          <w:lang w:val="en-US" w:eastAsia="zh-CN"/>
        </w:rPr>
        <w:t>27.8417</w:t>
      </w:r>
      <w:r>
        <w:rPr>
          <w:rFonts w:ascii="Times New Roman" w:hAnsi="Times New Roman"/>
          <w:sz w:val="24"/>
          <w:szCs w:val="24"/>
          <w:u w:val="single"/>
        </w:rPr>
        <w:t>hm</w:t>
      </w:r>
      <w:r>
        <w:rPr>
          <w:rFonts w:ascii="Times New Roman" w:hAnsi="Times New Roman"/>
          <w:sz w:val="24"/>
          <w:szCs w:val="24"/>
          <w:u w:val="single"/>
          <w:vertAlign w:val="superscript"/>
        </w:rPr>
        <w:t>2</w:t>
      </w:r>
      <w:r>
        <w:rPr>
          <w:rFonts w:ascii="Times New Roman" w:hAnsi="Times New Roman"/>
          <w:sz w:val="24"/>
          <w:szCs w:val="24"/>
          <w:u w:val="single"/>
        </w:rPr>
        <w:t>，</w:t>
      </w:r>
      <w:r>
        <w:rPr>
          <w:rFonts w:hint="eastAsia" w:ascii="Times New Roman" w:hAnsi="Times New Roman"/>
          <w:sz w:val="24"/>
          <w:szCs w:val="24"/>
          <w:u w:val="single"/>
          <w:lang w:eastAsia="zh-CN"/>
        </w:rPr>
        <w:t>分别</w:t>
      </w:r>
      <w:r>
        <w:rPr>
          <w:rFonts w:ascii="Times New Roman" w:hAnsi="Times New Roman"/>
          <w:sz w:val="24"/>
          <w:szCs w:val="24"/>
          <w:u w:val="single"/>
        </w:rPr>
        <w:t>占评价区总面积的</w:t>
      </w:r>
      <w:r>
        <w:rPr>
          <w:rFonts w:hint="eastAsia"/>
          <w:sz w:val="24"/>
          <w:szCs w:val="24"/>
          <w:u w:val="single"/>
          <w:lang w:val="en-US" w:eastAsia="zh-CN"/>
        </w:rPr>
        <w:t>46.20</w:t>
      </w:r>
      <w:r>
        <w:rPr>
          <w:rFonts w:ascii="Times New Roman" w:hAnsi="Times New Roman"/>
          <w:sz w:val="24"/>
          <w:szCs w:val="24"/>
          <w:u w:val="single"/>
        </w:rPr>
        <w:t>%</w:t>
      </w:r>
      <w:r>
        <w:rPr>
          <w:rFonts w:hint="eastAsia" w:ascii="Times New Roman" w:hAnsi="Times New Roman"/>
          <w:sz w:val="24"/>
          <w:szCs w:val="24"/>
          <w:u w:val="single"/>
          <w:lang w:eastAsia="zh-CN"/>
        </w:rPr>
        <w:t>、</w:t>
      </w:r>
      <w:r>
        <w:rPr>
          <w:rFonts w:hint="eastAsia" w:ascii="Times New Roman" w:hAnsi="Times New Roman"/>
          <w:sz w:val="24"/>
          <w:szCs w:val="24"/>
          <w:u w:val="single"/>
          <w:lang w:val="en-US" w:eastAsia="zh-CN"/>
        </w:rPr>
        <w:t>41.64%</w:t>
      </w:r>
      <w:r>
        <w:rPr>
          <w:rFonts w:ascii="Times New Roman" w:hAnsi="Times New Roman"/>
          <w:sz w:val="24"/>
          <w:szCs w:val="24"/>
          <w:u w:val="single"/>
        </w:rPr>
        <w:t>；其次为</w:t>
      </w:r>
      <w:r>
        <w:rPr>
          <w:rFonts w:hint="eastAsia"/>
          <w:sz w:val="24"/>
          <w:szCs w:val="24"/>
          <w:u w:val="single"/>
          <w:lang w:val="en-US" w:eastAsia="zh-CN"/>
        </w:rPr>
        <w:t>灌丛</w:t>
      </w:r>
      <w:r>
        <w:rPr>
          <w:rFonts w:ascii="Times New Roman" w:hAnsi="Times New Roman"/>
          <w:sz w:val="24"/>
          <w:szCs w:val="24"/>
          <w:u w:val="single"/>
        </w:rPr>
        <w:t>生态系统，面积</w:t>
      </w:r>
      <w:r>
        <w:rPr>
          <w:rFonts w:hint="eastAsia"/>
          <w:sz w:val="24"/>
          <w:szCs w:val="24"/>
          <w:u w:val="single"/>
          <w:lang w:val="en-US" w:eastAsia="zh-CN"/>
        </w:rPr>
        <w:t>7.2187</w:t>
      </w:r>
      <w:r>
        <w:rPr>
          <w:rFonts w:ascii="Times New Roman" w:hAnsi="Times New Roman"/>
          <w:sz w:val="24"/>
          <w:szCs w:val="24"/>
          <w:u w:val="single"/>
        </w:rPr>
        <w:t>hm</w:t>
      </w:r>
      <w:r>
        <w:rPr>
          <w:rFonts w:ascii="Times New Roman" w:hAnsi="Times New Roman"/>
          <w:sz w:val="24"/>
          <w:szCs w:val="24"/>
          <w:u w:val="single"/>
          <w:vertAlign w:val="superscript"/>
        </w:rPr>
        <w:t>2</w:t>
      </w:r>
      <w:r>
        <w:rPr>
          <w:rFonts w:ascii="Times New Roman" w:hAnsi="Times New Roman"/>
          <w:sz w:val="24"/>
          <w:szCs w:val="24"/>
          <w:u w:val="single"/>
        </w:rPr>
        <w:t>，占评价区总面积的</w:t>
      </w:r>
      <w:r>
        <w:rPr>
          <w:rFonts w:hint="eastAsia"/>
          <w:sz w:val="24"/>
          <w:szCs w:val="24"/>
          <w:u w:val="single"/>
          <w:lang w:val="en-US" w:eastAsia="zh-CN"/>
        </w:rPr>
        <w:t>10.80</w:t>
      </w:r>
      <w:r>
        <w:rPr>
          <w:rFonts w:ascii="Times New Roman" w:hAnsi="Times New Roman"/>
          <w:sz w:val="24"/>
          <w:szCs w:val="24"/>
          <w:u w:val="single"/>
        </w:rPr>
        <w:t>%；评价区</w:t>
      </w:r>
      <w:r>
        <w:rPr>
          <w:rFonts w:hint="eastAsia"/>
          <w:sz w:val="24"/>
          <w:szCs w:val="24"/>
          <w:u w:val="single"/>
          <w:lang w:val="en-US" w:eastAsia="zh-CN"/>
        </w:rPr>
        <w:t>湿地生态系统</w:t>
      </w:r>
      <w:r>
        <w:rPr>
          <w:rFonts w:ascii="Times New Roman" w:hAnsi="Times New Roman"/>
          <w:sz w:val="24"/>
          <w:szCs w:val="24"/>
          <w:u w:val="single"/>
        </w:rPr>
        <w:t>面积相对较小</w:t>
      </w:r>
      <w:r>
        <w:rPr>
          <w:rFonts w:hint="eastAsia" w:ascii="Times New Roman" w:hAnsi="Times New Roman"/>
          <w:sz w:val="24"/>
          <w:szCs w:val="24"/>
          <w:u w:val="single"/>
        </w:rPr>
        <w:t>。</w:t>
      </w:r>
    </w:p>
    <w:p>
      <w:pPr>
        <w:adjustRightInd w:val="0"/>
        <w:snapToGrid w:val="0"/>
        <w:spacing w:line="360" w:lineRule="auto"/>
        <w:ind w:firstLine="480" w:firstLineChars="200"/>
        <w:rPr>
          <w:rFonts w:hint="eastAsia" w:hAnsi="宋体"/>
          <w:snapToGrid w:val="0"/>
          <w:kern w:val="0"/>
          <w:sz w:val="24"/>
          <w:u w:val="single"/>
        </w:rPr>
      </w:pPr>
      <w:r>
        <w:rPr>
          <w:rFonts w:ascii="Times New Roman" w:hAnsi="Times New Roman"/>
          <w:sz w:val="24"/>
          <w:szCs w:val="24"/>
          <w:u w:val="single"/>
        </w:rPr>
        <w:t>根据现场调查，评价区森林生态系统多成片状分布于山</w:t>
      </w:r>
      <w:r>
        <w:rPr>
          <w:rFonts w:hint="eastAsia" w:ascii="Times New Roman" w:hAnsi="Times New Roman"/>
          <w:sz w:val="24"/>
          <w:szCs w:val="24"/>
          <w:u w:val="single"/>
          <w:lang w:eastAsia="zh-CN"/>
        </w:rPr>
        <w:t>沟两侧</w:t>
      </w:r>
      <w:r>
        <w:rPr>
          <w:rFonts w:ascii="Times New Roman" w:hAnsi="Times New Roman"/>
          <w:sz w:val="24"/>
          <w:szCs w:val="24"/>
          <w:u w:val="single"/>
        </w:rPr>
        <w:t>，</w:t>
      </w:r>
      <w:r>
        <w:rPr>
          <w:rFonts w:hint="eastAsia"/>
          <w:sz w:val="24"/>
          <w:szCs w:val="24"/>
          <w:u w:val="single"/>
          <w:lang w:val="en-US" w:eastAsia="zh-CN"/>
        </w:rPr>
        <w:t>灌丛</w:t>
      </w:r>
      <w:r>
        <w:rPr>
          <w:rFonts w:ascii="Times New Roman" w:hAnsi="Times New Roman"/>
          <w:sz w:val="24"/>
          <w:szCs w:val="24"/>
          <w:u w:val="single"/>
        </w:rPr>
        <w:t>生态</w:t>
      </w:r>
      <w:r>
        <w:rPr>
          <w:rFonts w:hint="eastAsia" w:ascii="Times New Roman" w:hAnsi="Times New Roman"/>
          <w:sz w:val="24"/>
          <w:szCs w:val="24"/>
          <w:u w:val="single"/>
        </w:rPr>
        <w:t>系统</w:t>
      </w:r>
      <w:r>
        <w:rPr>
          <w:rFonts w:ascii="Times New Roman" w:hAnsi="Times New Roman"/>
          <w:sz w:val="24"/>
          <w:szCs w:val="24"/>
          <w:u w:val="single"/>
        </w:rPr>
        <w:t>多呈条带状或斑块状分布于</w:t>
      </w:r>
      <w:r>
        <w:rPr>
          <w:rFonts w:hint="eastAsia" w:ascii="Times New Roman" w:hAnsi="Times New Roman"/>
          <w:sz w:val="24"/>
          <w:szCs w:val="24"/>
          <w:u w:val="single"/>
          <w:lang w:eastAsia="zh-CN"/>
        </w:rPr>
        <w:t>项目周边</w:t>
      </w:r>
      <w:r>
        <w:rPr>
          <w:rFonts w:ascii="Times New Roman" w:hAnsi="Times New Roman"/>
          <w:sz w:val="24"/>
          <w:szCs w:val="24"/>
          <w:u w:val="single"/>
        </w:rPr>
        <w:t>，</w:t>
      </w:r>
      <w:r>
        <w:rPr>
          <w:rFonts w:hint="eastAsia"/>
          <w:sz w:val="24"/>
          <w:szCs w:val="24"/>
          <w:u w:val="single"/>
          <w:lang w:val="en-US" w:eastAsia="zh-CN"/>
        </w:rPr>
        <w:t>城镇</w:t>
      </w:r>
      <w:r>
        <w:rPr>
          <w:rFonts w:ascii="Times New Roman" w:hAnsi="Times New Roman"/>
          <w:sz w:val="24"/>
          <w:szCs w:val="24"/>
          <w:u w:val="single"/>
        </w:rPr>
        <w:t>生态系统</w:t>
      </w:r>
      <w:r>
        <w:rPr>
          <w:rFonts w:hint="eastAsia" w:ascii="Times New Roman" w:hAnsi="Times New Roman"/>
          <w:sz w:val="24"/>
          <w:szCs w:val="24"/>
          <w:u w:val="single"/>
          <w:lang w:eastAsia="zh-CN"/>
        </w:rPr>
        <w:t>主要为建设区</w:t>
      </w:r>
      <w:r>
        <w:rPr>
          <w:rFonts w:ascii="Times New Roman" w:hAnsi="Times New Roman"/>
          <w:sz w:val="24"/>
          <w:szCs w:val="24"/>
          <w:u w:val="single"/>
        </w:rPr>
        <w:t>。</w:t>
      </w:r>
    </w:p>
    <w:p>
      <w:pPr>
        <w:bidi w:val="0"/>
        <w:rPr>
          <w:u w:val="single"/>
        </w:rPr>
      </w:pPr>
      <w:bookmarkStart w:id="247" w:name="_Toc9423"/>
      <w:bookmarkStart w:id="248" w:name="_Toc23233371"/>
      <w:r>
        <w:rPr>
          <w:rFonts w:hint="eastAsia"/>
          <w:u w:val="single"/>
          <w:lang w:val="en-US" w:eastAsia="zh-CN"/>
        </w:rPr>
        <w:t>①</w:t>
      </w:r>
      <w:r>
        <w:rPr>
          <w:rFonts w:hint="eastAsia"/>
          <w:u w:val="single"/>
        </w:rPr>
        <w:t>森林生态系统</w:t>
      </w:r>
      <w:bookmarkEnd w:id="247"/>
      <w:bookmarkEnd w:id="248"/>
    </w:p>
    <w:p>
      <w:pPr>
        <w:spacing w:line="360" w:lineRule="auto"/>
        <w:ind w:firstLine="480" w:firstLineChars="200"/>
        <w:jc w:val="both"/>
        <w:rPr>
          <w:rFonts w:ascii="Times New Roman" w:hAnsi="Times New Roman"/>
          <w:color w:val="000000"/>
          <w:sz w:val="24"/>
          <w:szCs w:val="24"/>
          <w:u w:val="single"/>
        </w:rPr>
      </w:pPr>
      <w:r>
        <w:rPr>
          <w:rFonts w:ascii="Times New Roman" w:hAnsi="Times New Roman"/>
          <w:color w:val="000000"/>
          <w:sz w:val="24"/>
          <w:szCs w:val="24"/>
          <w:u w:val="single"/>
        </w:rPr>
        <w:t>评价区位于湖南省</w:t>
      </w:r>
      <w:r>
        <w:rPr>
          <w:rFonts w:hint="eastAsia" w:ascii="Times New Roman" w:hAnsi="Times New Roman"/>
          <w:color w:val="000000"/>
          <w:sz w:val="24"/>
          <w:szCs w:val="24"/>
          <w:u w:val="single"/>
          <w:lang w:eastAsia="zh-CN"/>
        </w:rPr>
        <w:t>永顺县经济开发区猛洞河产业园</w:t>
      </w:r>
      <w:r>
        <w:rPr>
          <w:rFonts w:ascii="Times New Roman" w:hAnsi="Times New Roman"/>
          <w:color w:val="000000"/>
          <w:sz w:val="24"/>
          <w:szCs w:val="24"/>
          <w:u w:val="single"/>
        </w:rPr>
        <w:t>，</w:t>
      </w:r>
      <w:r>
        <w:rPr>
          <w:rFonts w:hint="eastAsia" w:ascii="Times New Roman" w:hAnsi="Times New Roman"/>
          <w:color w:val="000000"/>
          <w:sz w:val="24"/>
          <w:szCs w:val="24"/>
          <w:u w:val="single"/>
          <w:lang w:eastAsia="zh-CN"/>
        </w:rPr>
        <w:t>占地区域周边正在进行工业开发，</w:t>
      </w:r>
      <w:r>
        <w:rPr>
          <w:rFonts w:ascii="Times New Roman" w:hAnsi="Times New Roman"/>
          <w:color w:val="000000"/>
          <w:sz w:val="24"/>
          <w:szCs w:val="24"/>
          <w:u w:val="single"/>
        </w:rPr>
        <w:t>森林生态系统主要分布于山体中</w:t>
      </w:r>
      <w:r>
        <w:rPr>
          <w:rFonts w:hint="eastAsia" w:ascii="Times New Roman" w:hAnsi="Times New Roman"/>
          <w:color w:val="000000"/>
          <w:sz w:val="24"/>
          <w:szCs w:val="24"/>
          <w:u w:val="single"/>
        </w:rPr>
        <w:t>上</w:t>
      </w:r>
      <w:r>
        <w:rPr>
          <w:rFonts w:ascii="Times New Roman" w:hAnsi="Times New Roman"/>
          <w:color w:val="000000"/>
          <w:sz w:val="24"/>
          <w:szCs w:val="24"/>
          <w:u w:val="single"/>
        </w:rPr>
        <w:t>部。根据卫片解译，评价区森林生态系统面积为</w:t>
      </w:r>
      <w:r>
        <w:rPr>
          <w:rFonts w:hint="eastAsia"/>
          <w:color w:val="000000"/>
          <w:sz w:val="24"/>
          <w:szCs w:val="24"/>
          <w:u w:val="single"/>
          <w:lang w:val="en-US" w:eastAsia="zh-CN"/>
        </w:rPr>
        <w:t>30.8867</w:t>
      </w:r>
      <w:r>
        <w:rPr>
          <w:rFonts w:ascii="Times New Roman" w:hAnsi="Times New Roman"/>
          <w:color w:val="000000"/>
          <w:sz w:val="24"/>
          <w:szCs w:val="24"/>
          <w:u w:val="single"/>
        </w:rPr>
        <w:t>hm</w:t>
      </w:r>
      <w:r>
        <w:rPr>
          <w:rFonts w:ascii="Times New Roman" w:hAnsi="Times New Roman"/>
          <w:color w:val="000000"/>
          <w:sz w:val="24"/>
          <w:szCs w:val="24"/>
          <w:u w:val="single"/>
          <w:vertAlign w:val="superscript"/>
        </w:rPr>
        <w:t>2</w:t>
      </w:r>
      <w:r>
        <w:rPr>
          <w:rFonts w:ascii="Times New Roman" w:hAnsi="Times New Roman"/>
          <w:color w:val="000000"/>
          <w:sz w:val="24"/>
          <w:szCs w:val="24"/>
          <w:u w:val="single"/>
        </w:rPr>
        <w:t>，占总面积的</w:t>
      </w:r>
      <w:r>
        <w:rPr>
          <w:rFonts w:hint="eastAsia"/>
          <w:color w:val="000000"/>
          <w:sz w:val="24"/>
          <w:szCs w:val="24"/>
          <w:u w:val="single"/>
          <w:lang w:val="en-US" w:eastAsia="zh-CN"/>
        </w:rPr>
        <w:t>46.20</w:t>
      </w:r>
      <w:r>
        <w:rPr>
          <w:rFonts w:ascii="Times New Roman" w:hAnsi="Times New Roman"/>
          <w:color w:val="000000"/>
          <w:sz w:val="24"/>
          <w:szCs w:val="24"/>
          <w:u w:val="single"/>
        </w:rPr>
        <w:t>%</w:t>
      </w:r>
      <w:r>
        <w:rPr>
          <w:rFonts w:hint="eastAsia" w:ascii="Times New Roman" w:hAnsi="Times New Roman"/>
          <w:color w:val="000000"/>
          <w:sz w:val="24"/>
          <w:szCs w:val="24"/>
          <w:u w:val="single"/>
          <w:lang w:eastAsia="zh-CN"/>
        </w:rPr>
        <w:t>，</w:t>
      </w:r>
      <w:r>
        <w:rPr>
          <w:rFonts w:ascii="Times New Roman" w:hAnsi="Times New Roman"/>
          <w:color w:val="000000"/>
          <w:sz w:val="24"/>
          <w:szCs w:val="24"/>
          <w:u w:val="single"/>
        </w:rPr>
        <w:t>根据现场调查，森林生态系统内现状植被以次生林和人工林为主，植被类型简单，且多为幼龄林和中龄林，成熟林和过熟林较少。</w:t>
      </w:r>
    </w:p>
    <w:p>
      <w:pPr>
        <w:spacing w:line="360" w:lineRule="auto"/>
        <w:ind w:firstLine="482" w:firstLineChars="200"/>
        <w:jc w:val="both"/>
        <w:rPr>
          <w:rFonts w:ascii="Times New Roman" w:hAnsi="Times New Roman"/>
          <w:b/>
          <w:color w:val="000000"/>
          <w:sz w:val="24"/>
          <w:szCs w:val="24"/>
          <w:u w:val="single"/>
        </w:rPr>
      </w:pPr>
      <w:r>
        <w:rPr>
          <w:rFonts w:ascii="Times New Roman" w:hAnsi="Times New Roman"/>
          <w:b/>
          <w:color w:val="000000"/>
          <w:sz w:val="24"/>
          <w:szCs w:val="24"/>
          <w:u w:val="single"/>
        </w:rPr>
        <w:t>1.植被现状</w:t>
      </w:r>
    </w:p>
    <w:p>
      <w:pPr>
        <w:spacing w:line="360" w:lineRule="auto"/>
        <w:ind w:firstLine="480" w:firstLineChars="200"/>
        <w:jc w:val="both"/>
        <w:rPr>
          <w:rFonts w:ascii="Times New Roman" w:hAnsi="Times New Roman"/>
          <w:sz w:val="24"/>
          <w:szCs w:val="24"/>
          <w:u w:val="single"/>
        </w:rPr>
      </w:pPr>
      <w:r>
        <w:rPr>
          <w:rFonts w:ascii="Times New Roman" w:hAnsi="Times New Roman"/>
          <w:sz w:val="24"/>
          <w:szCs w:val="24"/>
          <w:u w:val="single"/>
        </w:rPr>
        <w:t>评价区人为干扰频繁，森林生态系统内植被以次生林和人工林为主，其中针叶林主要为低山</w:t>
      </w:r>
      <w:r>
        <w:rPr>
          <w:rFonts w:hint="eastAsia" w:ascii="Times New Roman" w:hAnsi="Times New Roman"/>
          <w:sz w:val="24"/>
          <w:szCs w:val="24"/>
          <w:u w:val="single"/>
          <w:lang w:val="en-US" w:eastAsia="zh-CN"/>
        </w:rPr>
        <w:t>常绿</w:t>
      </w:r>
      <w:r>
        <w:rPr>
          <w:rFonts w:ascii="Times New Roman" w:hAnsi="Times New Roman"/>
          <w:sz w:val="24"/>
          <w:szCs w:val="24"/>
          <w:u w:val="single"/>
        </w:rPr>
        <w:t xml:space="preserve">针叶林，常见的群系有马尾松林（Form. </w:t>
      </w:r>
      <w:r>
        <w:rPr>
          <w:rFonts w:ascii="Times New Roman" w:hAnsi="Times New Roman"/>
          <w:i/>
          <w:iCs/>
          <w:sz w:val="24"/>
          <w:szCs w:val="24"/>
          <w:u w:val="single"/>
        </w:rPr>
        <w:t>Pinus massoniana</w:t>
      </w:r>
      <w:r>
        <w:rPr>
          <w:rFonts w:ascii="Times New Roman" w:hAnsi="Times New Roman"/>
          <w:sz w:val="24"/>
          <w:szCs w:val="24"/>
          <w:u w:val="single"/>
        </w:rPr>
        <w:t xml:space="preserve">）、杉木林（Form. </w:t>
      </w:r>
      <w:r>
        <w:rPr>
          <w:rFonts w:ascii="Times New Roman" w:hAnsi="Times New Roman"/>
          <w:i/>
          <w:sz w:val="24"/>
          <w:szCs w:val="24"/>
          <w:u w:val="single"/>
        </w:rPr>
        <w:t>Cunninghamia</w:t>
      </w:r>
      <w:r>
        <w:rPr>
          <w:rFonts w:ascii="Times New Roman" w:hAnsi="Times New Roman"/>
          <w:sz w:val="24"/>
          <w:szCs w:val="24"/>
          <w:u w:val="single"/>
        </w:rPr>
        <w:t xml:space="preserve"> </w:t>
      </w:r>
      <w:r>
        <w:rPr>
          <w:rFonts w:ascii="Times New Roman" w:hAnsi="Times New Roman"/>
          <w:i/>
          <w:sz w:val="24"/>
          <w:szCs w:val="24"/>
          <w:u w:val="single"/>
        </w:rPr>
        <w:t>lanceolata</w:t>
      </w:r>
      <w:r>
        <w:rPr>
          <w:rFonts w:ascii="Times New Roman" w:hAnsi="Times New Roman"/>
          <w:sz w:val="24"/>
          <w:szCs w:val="24"/>
          <w:u w:val="single"/>
        </w:rPr>
        <w:t>）等，在评价区内主要分布于山脚，道路附近；阔叶林</w:t>
      </w:r>
      <w:r>
        <w:rPr>
          <w:rFonts w:hint="eastAsia" w:ascii="Times New Roman" w:hAnsi="Times New Roman"/>
          <w:sz w:val="24"/>
          <w:szCs w:val="24"/>
          <w:u w:val="single"/>
        </w:rPr>
        <w:t>主要为</w:t>
      </w:r>
      <w:r>
        <w:rPr>
          <w:rFonts w:ascii="Times New Roman" w:hAnsi="Times New Roman"/>
          <w:sz w:val="24"/>
          <w:szCs w:val="24"/>
          <w:u w:val="single"/>
        </w:rPr>
        <w:t xml:space="preserve">落叶阔叶林，常见的落叶阔叶林有枫香树林（Form. </w:t>
      </w:r>
      <w:r>
        <w:rPr>
          <w:rFonts w:ascii="Times New Roman" w:hAnsi="Times New Roman"/>
          <w:i/>
          <w:sz w:val="24"/>
          <w:szCs w:val="24"/>
          <w:u w:val="single"/>
        </w:rPr>
        <w:t>Liquidambar</w:t>
      </w:r>
      <w:r>
        <w:rPr>
          <w:rFonts w:ascii="Times New Roman" w:hAnsi="Times New Roman"/>
          <w:sz w:val="24"/>
          <w:szCs w:val="24"/>
          <w:u w:val="single"/>
        </w:rPr>
        <w:t xml:space="preserve"> </w:t>
      </w:r>
      <w:r>
        <w:rPr>
          <w:rFonts w:ascii="Times New Roman" w:hAnsi="Times New Roman"/>
          <w:i/>
          <w:sz w:val="24"/>
          <w:szCs w:val="24"/>
          <w:u w:val="single"/>
        </w:rPr>
        <w:t>formosana</w:t>
      </w:r>
      <w:r>
        <w:rPr>
          <w:rFonts w:ascii="Times New Roman" w:hAnsi="Times New Roman"/>
          <w:sz w:val="24"/>
          <w:szCs w:val="24"/>
          <w:u w:val="single"/>
        </w:rPr>
        <w:t xml:space="preserve">）。此外，评价区还有竹林分布，常见的群系有水竹林（Form. </w:t>
      </w:r>
      <w:r>
        <w:rPr>
          <w:rFonts w:ascii="Times New Roman" w:hAnsi="Times New Roman"/>
          <w:i/>
          <w:sz w:val="24"/>
          <w:szCs w:val="24"/>
          <w:u w:val="single"/>
        </w:rPr>
        <w:t>Phyllostachys</w:t>
      </w:r>
      <w:r>
        <w:rPr>
          <w:rFonts w:ascii="Times New Roman" w:hAnsi="Times New Roman"/>
          <w:sz w:val="24"/>
          <w:szCs w:val="24"/>
          <w:u w:val="single"/>
        </w:rPr>
        <w:t xml:space="preserve"> </w:t>
      </w:r>
      <w:r>
        <w:rPr>
          <w:rFonts w:ascii="Times New Roman" w:hAnsi="Times New Roman"/>
          <w:i/>
          <w:sz w:val="24"/>
          <w:szCs w:val="24"/>
          <w:u w:val="single"/>
        </w:rPr>
        <w:t>heteroclada</w:t>
      </w:r>
      <w:r>
        <w:rPr>
          <w:rFonts w:ascii="Times New Roman" w:hAnsi="Times New Roman"/>
          <w:sz w:val="24"/>
          <w:szCs w:val="24"/>
          <w:u w:val="single"/>
        </w:rPr>
        <w:t>）</w:t>
      </w:r>
      <w:r>
        <w:rPr>
          <w:rFonts w:hint="eastAsia" w:ascii="Times New Roman" w:hAnsi="Times New Roman"/>
          <w:sz w:val="24"/>
          <w:szCs w:val="24"/>
          <w:u w:val="single"/>
          <w:lang w:eastAsia="zh-CN"/>
        </w:rPr>
        <w:t>、榆树林（</w:t>
      </w:r>
      <w:r>
        <w:rPr>
          <w:rFonts w:hint="eastAsia" w:ascii="Times New Roman" w:hAnsi="Times New Roman"/>
          <w:i/>
          <w:iCs/>
          <w:sz w:val="24"/>
          <w:szCs w:val="24"/>
          <w:u w:val="single"/>
          <w:lang w:eastAsia="zh-CN"/>
        </w:rPr>
        <w:t>Ulmus pumila L.</w:t>
      </w:r>
      <w:r>
        <w:rPr>
          <w:rFonts w:hint="eastAsia" w:ascii="Times New Roman" w:hAnsi="Times New Roman"/>
          <w:sz w:val="24"/>
          <w:szCs w:val="24"/>
          <w:u w:val="single"/>
          <w:lang w:eastAsia="zh-CN"/>
        </w:rPr>
        <w:t>）</w:t>
      </w:r>
      <w:r>
        <w:rPr>
          <w:rFonts w:ascii="Times New Roman" w:hAnsi="Times New Roman"/>
          <w:sz w:val="24"/>
          <w:szCs w:val="24"/>
          <w:u w:val="single"/>
        </w:rPr>
        <w:t>在评价区内分布较多。</w:t>
      </w:r>
    </w:p>
    <w:p>
      <w:pPr>
        <w:spacing w:line="360" w:lineRule="auto"/>
        <w:ind w:firstLine="482" w:firstLineChars="200"/>
        <w:rPr>
          <w:rFonts w:ascii="Times New Roman" w:hAnsi="Times New Roman"/>
          <w:b/>
          <w:sz w:val="24"/>
          <w:szCs w:val="24"/>
          <w:u w:val="single"/>
          <w:lang w:val="sv-SE"/>
        </w:rPr>
      </w:pPr>
      <w:r>
        <w:rPr>
          <w:rFonts w:ascii="Times New Roman" w:hAnsi="Times New Roman"/>
          <w:b/>
          <w:sz w:val="24"/>
          <w:szCs w:val="24"/>
          <w:u w:val="single"/>
          <w:lang w:val="sv-SE"/>
        </w:rPr>
        <w:t>2.</w:t>
      </w:r>
      <w:r>
        <w:rPr>
          <w:rFonts w:ascii="Times New Roman" w:hAnsi="Times New Roman"/>
          <w:b/>
          <w:sz w:val="24"/>
          <w:szCs w:val="24"/>
          <w:u w:val="single"/>
        </w:rPr>
        <w:t>动物现状</w:t>
      </w:r>
    </w:p>
    <w:p>
      <w:pPr>
        <w:tabs>
          <w:tab w:val="left" w:pos="0"/>
          <w:tab w:val="left" w:pos="432"/>
        </w:tabs>
        <w:spacing w:line="360" w:lineRule="auto"/>
        <w:ind w:firstLine="480" w:firstLineChars="200"/>
        <w:jc w:val="both"/>
        <w:rPr>
          <w:rFonts w:ascii="Times New Roman" w:hAnsi="Times New Roman"/>
          <w:snapToGrid w:val="0"/>
          <w:color w:val="000000" w:themeColor="text1"/>
          <w:sz w:val="24"/>
          <w:szCs w:val="24"/>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森林生态系统不但为动物提供了大量食物，也是防御天敌的良好避难所，</w:t>
      </w:r>
      <w:r>
        <w:rPr>
          <w:rFonts w:hint="eastAsia" w:ascii="Times New Roman" w:hAnsi="Times New Roman"/>
          <w:color w:val="000000" w:themeColor="text1"/>
          <w:sz w:val="24"/>
          <w:szCs w:val="24"/>
          <w:u w:val="single"/>
          <w:lang w:eastAsia="zh-CN"/>
          <w14:textFill>
            <w14:solidFill>
              <w14:schemeClr w14:val="tx1"/>
            </w14:solidFill>
          </w14:textFill>
        </w:rPr>
        <w:t>但是由于评价区域位于工业园区，故因为工业生产影响，评价区域内野生动物较少，</w:t>
      </w:r>
      <w:r>
        <w:rPr>
          <w:rFonts w:ascii="Times New Roman" w:hAnsi="Times New Roman"/>
          <w:bCs/>
          <w:color w:val="000000" w:themeColor="text1"/>
          <w:sz w:val="24"/>
          <w:szCs w:val="24"/>
          <w:u w:val="single"/>
          <w14:textFill>
            <w14:solidFill>
              <w14:schemeClr w14:val="tx1"/>
            </w14:solidFill>
          </w14:textFill>
        </w:rPr>
        <w:t>评价区森林生态系统中</w:t>
      </w:r>
      <w:r>
        <w:rPr>
          <w:rFonts w:hint="eastAsia" w:ascii="Times New Roman" w:hAnsi="Times New Roman"/>
          <w:bCs/>
          <w:color w:val="000000" w:themeColor="text1"/>
          <w:sz w:val="24"/>
          <w:szCs w:val="24"/>
          <w:u w:val="single"/>
          <w:lang w:eastAsia="zh-CN"/>
          <w14:textFill>
            <w14:solidFill>
              <w14:schemeClr w14:val="tx1"/>
            </w14:solidFill>
          </w14:textFill>
        </w:rPr>
        <w:t>少量</w:t>
      </w:r>
      <w:r>
        <w:rPr>
          <w:rFonts w:ascii="Times New Roman" w:hAnsi="Times New Roman"/>
          <w:bCs/>
          <w:color w:val="000000" w:themeColor="text1"/>
          <w:sz w:val="24"/>
          <w:szCs w:val="24"/>
          <w:u w:val="single"/>
          <w14:textFill>
            <w14:solidFill>
              <w14:schemeClr w14:val="tx1"/>
            </w14:solidFill>
          </w14:textFill>
        </w:rPr>
        <w:t>分布的动物主要有林栖傍水型爬行类如乌梢蛇（</w:t>
      </w:r>
      <w:r>
        <w:rPr>
          <w:rFonts w:ascii="Times New Roman" w:hAnsi="Times New Roman"/>
          <w:bCs/>
          <w:i/>
          <w:color w:val="000000" w:themeColor="text1"/>
          <w:sz w:val="24"/>
          <w:szCs w:val="24"/>
          <w:u w:val="single"/>
          <w14:textFill>
            <w14:solidFill>
              <w14:schemeClr w14:val="tx1"/>
            </w14:solidFill>
          </w14:textFill>
        </w:rPr>
        <w:t>Zoacys dhumnades</w:t>
      </w:r>
      <w:r>
        <w:rPr>
          <w:rFonts w:ascii="Times New Roman" w:hAnsi="Times New Roman"/>
          <w:bCs/>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黑眉锦蛇（</w:t>
      </w:r>
      <w:r>
        <w:rPr>
          <w:rFonts w:ascii="Times New Roman" w:hAnsi="Times New Roman"/>
          <w:i/>
          <w:iCs/>
          <w:color w:val="000000" w:themeColor="text1"/>
          <w:sz w:val="24"/>
          <w:szCs w:val="24"/>
          <w:u w:val="single"/>
          <w14:textFill>
            <w14:solidFill>
              <w14:schemeClr w14:val="tx1"/>
            </w14:solidFill>
          </w14:textFill>
        </w:rPr>
        <w:t>Elaphe taeniura</w:t>
      </w:r>
      <w:r>
        <w:rPr>
          <w:rFonts w:ascii="Times New Roman" w:hAnsi="Times New Roman"/>
          <w:color w:val="000000" w:themeColor="text1"/>
          <w:sz w:val="24"/>
          <w:szCs w:val="24"/>
          <w:u w:val="single"/>
          <w14:textFill>
            <w14:solidFill>
              <w14:schemeClr w14:val="tx1"/>
            </w14:solidFill>
          </w14:textFill>
        </w:rPr>
        <w:t>）</w:t>
      </w:r>
      <w:r>
        <w:rPr>
          <w:rFonts w:ascii="Times New Roman" w:hAnsi="Times New Roman"/>
          <w:bCs/>
          <w:color w:val="000000" w:themeColor="text1"/>
          <w:sz w:val="24"/>
          <w:szCs w:val="24"/>
          <w:u w:val="single"/>
          <w14:textFill>
            <w14:solidFill>
              <w14:schemeClr w14:val="tx1"/>
            </w14:solidFill>
          </w14:textFill>
        </w:rPr>
        <w:t>等；常见的鸟类主要为攀禽如四声杜鹃（</w:t>
      </w:r>
      <w:r>
        <w:rPr>
          <w:rFonts w:ascii="Times New Roman" w:hAnsi="Times New Roman"/>
          <w:bCs/>
          <w:i/>
          <w:iCs/>
          <w:color w:val="000000" w:themeColor="text1"/>
          <w:sz w:val="24"/>
          <w:szCs w:val="24"/>
          <w:u w:val="single"/>
          <w14:textFill>
            <w14:solidFill>
              <w14:schemeClr w14:val="tx1"/>
            </w14:solidFill>
          </w14:textFill>
        </w:rPr>
        <w:t>Cuculus micropterus</w:t>
      </w:r>
      <w:r>
        <w:rPr>
          <w:rFonts w:ascii="Times New Roman" w:hAnsi="Times New Roman"/>
          <w:bCs/>
          <w:color w:val="000000" w:themeColor="text1"/>
          <w:sz w:val="24"/>
          <w:szCs w:val="24"/>
          <w:u w:val="single"/>
          <w14:textFill>
            <w14:solidFill>
              <w14:schemeClr w14:val="tx1"/>
            </w14:solidFill>
          </w14:textFill>
        </w:rPr>
        <w:t>）、大斑啄木鸟(</w:t>
      </w:r>
      <w:r>
        <w:rPr>
          <w:rFonts w:ascii="Times New Roman" w:hAnsi="Times New Roman"/>
          <w:bCs/>
          <w:i/>
          <w:color w:val="000000" w:themeColor="text1"/>
          <w:sz w:val="24"/>
          <w:szCs w:val="24"/>
          <w:u w:val="single"/>
          <w14:textFill>
            <w14:solidFill>
              <w14:schemeClr w14:val="tx1"/>
            </w14:solidFill>
          </w14:textFill>
        </w:rPr>
        <w:t>Dendrocopos major</w:t>
      </w:r>
      <w:r>
        <w:rPr>
          <w:rFonts w:ascii="Times New Roman" w:hAnsi="Times New Roman"/>
          <w:bCs/>
          <w:color w:val="000000" w:themeColor="text1"/>
          <w:sz w:val="24"/>
          <w:szCs w:val="24"/>
          <w:u w:val="single"/>
          <w14:textFill>
            <w14:solidFill>
              <w14:schemeClr w14:val="tx1"/>
            </w14:solidFill>
          </w14:textFill>
        </w:rPr>
        <w:t>)等，鸣禽如白头鹎（</w:t>
      </w:r>
      <w:r>
        <w:rPr>
          <w:rFonts w:ascii="Times New Roman" w:hAnsi="Times New Roman"/>
          <w:bCs/>
          <w:i/>
          <w:color w:val="000000" w:themeColor="text1"/>
          <w:sz w:val="24"/>
          <w:szCs w:val="24"/>
          <w:u w:val="single"/>
          <w14:textFill>
            <w14:solidFill>
              <w14:schemeClr w14:val="tx1"/>
            </w14:solidFill>
          </w14:textFill>
        </w:rPr>
        <w:t>Pycnonotus sinensis</w:t>
      </w:r>
      <w:r>
        <w:rPr>
          <w:rFonts w:ascii="Times New Roman" w:hAnsi="Times New Roman"/>
          <w:bCs/>
          <w:color w:val="000000" w:themeColor="text1"/>
          <w:sz w:val="24"/>
          <w:szCs w:val="24"/>
          <w:u w:val="single"/>
          <w14:textFill>
            <w14:solidFill>
              <w14:schemeClr w14:val="tx1"/>
            </w14:solidFill>
          </w14:textFill>
        </w:rPr>
        <w:t>）、白鹡鸰（</w:t>
      </w:r>
      <w:r>
        <w:rPr>
          <w:rFonts w:ascii="Times New Roman" w:hAnsi="Times New Roman"/>
          <w:bCs/>
          <w:i/>
          <w:iCs/>
          <w:color w:val="000000" w:themeColor="text1"/>
          <w:sz w:val="24"/>
          <w:szCs w:val="24"/>
          <w:u w:val="single"/>
          <w14:textFill>
            <w14:solidFill>
              <w14:schemeClr w14:val="tx1"/>
            </w14:solidFill>
          </w14:textFill>
        </w:rPr>
        <w:t>Motacilla alba</w:t>
      </w:r>
      <w:r>
        <w:rPr>
          <w:rFonts w:ascii="Times New Roman" w:hAnsi="Times New Roman"/>
          <w:bCs/>
          <w:color w:val="000000" w:themeColor="text1"/>
          <w:sz w:val="24"/>
          <w:szCs w:val="24"/>
          <w:u w:val="single"/>
          <w14:textFill>
            <w14:solidFill>
              <w14:schemeClr w14:val="tx1"/>
            </w14:solidFill>
          </w14:textFill>
        </w:rPr>
        <w:t>）、棕背伯劳（</w:t>
      </w:r>
      <w:r>
        <w:rPr>
          <w:rFonts w:ascii="Times New Roman" w:hAnsi="Times New Roman"/>
          <w:bCs/>
          <w:i/>
          <w:iCs/>
          <w:color w:val="000000" w:themeColor="text1"/>
          <w:sz w:val="24"/>
          <w:szCs w:val="24"/>
          <w:u w:val="single"/>
          <w14:textFill>
            <w14:solidFill>
              <w14:schemeClr w14:val="tx1"/>
            </w14:solidFill>
          </w14:textFill>
        </w:rPr>
        <w:t>Lanius schach</w:t>
      </w:r>
      <w:r>
        <w:rPr>
          <w:rFonts w:ascii="Times New Roman" w:hAnsi="Times New Roman"/>
          <w:bCs/>
          <w:color w:val="000000" w:themeColor="text1"/>
          <w:sz w:val="24"/>
          <w:szCs w:val="24"/>
          <w:u w:val="single"/>
          <w14:textFill>
            <w14:solidFill>
              <w14:schemeClr w14:val="tx1"/>
            </w14:solidFill>
          </w14:textFill>
        </w:rPr>
        <w:t>）、大山雀（</w:t>
      </w:r>
      <w:r>
        <w:rPr>
          <w:rFonts w:ascii="Times New Roman" w:hAnsi="Times New Roman"/>
          <w:bCs/>
          <w:i/>
          <w:iCs/>
          <w:color w:val="000000" w:themeColor="text1"/>
          <w:sz w:val="24"/>
          <w:szCs w:val="24"/>
          <w:u w:val="single"/>
          <w14:textFill>
            <w14:solidFill>
              <w14:schemeClr w14:val="tx1"/>
            </w14:solidFill>
          </w14:textFill>
        </w:rPr>
        <w:t>Parus major</w:t>
      </w:r>
      <w:r>
        <w:rPr>
          <w:rFonts w:ascii="Times New Roman" w:hAnsi="Times New Roman"/>
          <w:bCs/>
          <w:color w:val="000000" w:themeColor="text1"/>
          <w:sz w:val="24"/>
          <w:szCs w:val="24"/>
          <w:u w:val="single"/>
          <w14:textFill>
            <w14:solidFill>
              <w14:schemeClr w14:val="tx1"/>
            </w14:solidFill>
          </w14:textFill>
        </w:rPr>
        <w:t>）等</w:t>
      </w:r>
      <w:r>
        <w:rPr>
          <w:rFonts w:ascii="Times New Roman" w:hAnsi="Times New Roman"/>
          <w:snapToGrid w:val="0"/>
          <w:color w:val="000000" w:themeColor="text1"/>
          <w:sz w:val="24"/>
          <w:szCs w:val="24"/>
          <w:u w:val="single"/>
          <w14:textFill>
            <w14:solidFill>
              <w14:schemeClr w14:val="tx1"/>
            </w14:solidFill>
          </w14:textFill>
        </w:rPr>
        <w:t>。</w:t>
      </w:r>
    </w:p>
    <w:p>
      <w:pPr>
        <w:spacing w:line="360" w:lineRule="auto"/>
        <w:ind w:firstLine="482" w:firstLineChars="200"/>
        <w:rPr>
          <w:rFonts w:hint="default" w:ascii="Times New Roman" w:hAnsi="Times New Roman" w:eastAsia="宋体"/>
          <w:b/>
          <w:color w:val="000000"/>
          <w:sz w:val="24"/>
          <w:szCs w:val="24"/>
          <w:u w:val="single"/>
          <w:lang w:val="en-US" w:eastAsia="zh-CN"/>
        </w:rPr>
      </w:pPr>
      <w:r>
        <w:rPr>
          <w:rFonts w:ascii="Times New Roman" w:hAnsi="Times New Roman"/>
          <w:b/>
          <w:color w:val="000000"/>
          <w:sz w:val="24"/>
          <w:szCs w:val="24"/>
          <w:u w:val="single"/>
        </w:rPr>
        <w:t>3.</w:t>
      </w:r>
      <w:r>
        <w:rPr>
          <w:rFonts w:hint="eastAsia"/>
          <w:b/>
          <w:color w:val="000000"/>
          <w:sz w:val="24"/>
          <w:szCs w:val="24"/>
          <w:u w:val="single"/>
          <w:lang w:val="en-US" w:eastAsia="zh-CN"/>
        </w:rPr>
        <w:t>生态系统功能及特点</w:t>
      </w:r>
    </w:p>
    <w:p>
      <w:pPr>
        <w:spacing w:line="360" w:lineRule="auto"/>
        <w:ind w:firstLine="480" w:firstLineChars="200"/>
        <w:jc w:val="both"/>
        <w:rPr>
          <w:rFonts w:hint="default" w:ascii="Times New Roman" w:hAnsi="Times New Roman" w:eastAsia="宋体"/>
          <w:color w:val="000000"/>
          <w:sz w:val="24"/>
          <w:szCs w:val="24"/>
          <w:u w:val="single"/>
          <w:lang w:val="en-US" w:eastAsia="zh-CN"/>
        </w:rPr>
      </w:pPr>
      <w:r>
        <w:rPr>
          <w:rFonts w:hint="eastAsia"/>
          <w:color w:val="000000"/>
          <w:sz w:val="24"/>
          <w:szCs w:val="24"/>
          <w:u w:val="single"/>
          <w:lang w:val="en-US" w:eastAsia="zh-CN"/>
        </w:rPr>
        <w:t>评价区位于湖南省北部，处于我国中纬度亚热带地区，区域气候温和，光照充足，较有利于森林生态系统发育，但由于区域人为活动频繁，森林生态系统内现状植被多以次生林为主，植被类型和群系结构简单，物种组成贫乏，生态系统内空间结构和营养链式结构较简单，生态服务功能不强，主要体现在提供用材林、提供农副产品、涵养水源、改良土壤、保护生物物种多样性等方面。</w:t>
      </w:r>
    </w:p>
    <w:p>
      <w:pPr>
        <w:bidi w:val="0"/>
      </w:pPr>
      <w:bookmarkStart w:id="249" w:name="_Toc32377"/>
      <w:bookmarkStart w:id="250" w:name="_Toc4026"/>
      <w:bookmarkStart w:id="251" w:name="_Toc7226"/>
      <w:bookmarkStart w:id="252" w:name="_Toc23233372"/>
      <w:r>
        <w:rPr>
          <w:rFonts w:hint="eastAsia"/>
          <w:lang w:val="en-US" w:eastAsia="zh-CN"/>
        </w:rPr>
        <w:t>②</w:t>
      </w:r>
      <w:r>
        <w:rPr>
          <w:rFonts w:hint="eastAsia"/>
        </w:rPr>
        <w:t>灌丛</w:t>
      </w:r>
      <w:r>
        <w:t>生态系统</w:t>
      </w:r>
      <w:bookmarkEnd w:id="249"/>
      <w:bookmarkEnd w:id="250"/>
      <w:bookmarkEnd w:id="251"/>
      <w:bookmarkEnd w:id="252"/>
    </w:p>
    <w:p>
      <w:pPr>
        <w:spacing w:line="360" w:lineRule="auto"/>
        <w:ind w:firstLine="480" w:firstLineChars="200"/>
        <w:jc w:val="both"/>
        <w:rPr>
          <w:rFonts w:ascii="Times New Roman" w:hAnsi="Times New Roman"/>
          <w:sz w:val="24"/>
          <w:szCs w:val="24"/>
          <w:lang w:bidi="ar"/>
        </w:rPr>
      </w:pPr>
      <w:r>
        <w:rPr>
          <w:rFonts w:ascii="Times New Roman" w:hAnsi="Times New Roman"/>
          <w:sz w:val="24"/>
          <w:szCs w:val="24"/>
          <w:u w:val="single"/>
          <w:lang w:bidi="ar"/>
        </w:rPr>
        <w:t>根据卫片解译，评价区灌丛生态系统面积为</w:t>
      </w:r>
      <w:r>
        <w:rPr>
          <w:rFonts w:hint="eastAsia" w:ascii="Times New Roman" w:hAnsi="Times New Roman"/>
          <w:sz w:val="24"/>
          <w:szCs w:val="24"/>
          <w:u w:val="single"/>
          <w:lang w:bidi="ar"/>
        </w:rPr>
        <w:t>7.2187</w:t>
      </w:r>
      <w:r>
        <w:rPr>
          <w:rFonts w:ascii="Times New Roman" w:hAnsi="Times New Roman"/>
          <w:sz w:val="24"/>
          <w:szCs w:val="24"/>
          <w:u w:val="single"/>
          <w:lang w:bidi="ar"/>
        </w:rPr>
        <w:t>hm</w:t>
      </w:r>
      <w:r>
        <w:rPr>
          <w:rFonts w:ascii="Times New Roman" w:hAnsi="Times New Roman"/>
          <w:sz w:val="24"/>
          <w:szCs w:val="24"/>
          <w:u w:val="single"/>
          <w:vertAlign w:val="superscript"/>
          <w:lang w:bidi="ar"/>
        </w:rPr>
        <w:t>2</w:t>
      </w:r>
      <w:r>
        <w:rPr>
          <w:rFonts w:ascii="Times New Roman" w:hAnsi="Times New Roman"/>
          <w:sz w:val="24"/>
          <w:szCs w:val="24"/>
          <w:u w:val="single"/>
          <w:lang w:bidi="ar"/>
        </w:rPr>
        <w:t>，占总面积的</w:t>
      </w:r>
      <w:r>
        <w:rPr>
          <w:rFonts w:hint="eastAsia"/>
          <w:sz w:val="24"/>
          <w:szCs w:val="24"/>
          <w:u w:val="single"/>
          <w:lang w:val="en-US" w:eastAsia="zh-CN" w:bidi="ar"/>
        </w:rPr>
        <w:t>10.80</w:t>
      </w:r>
      <w:r>
        <w:rPr>
          <w:rFonts w:ascii="Times New Roman" w:hAnsi="Times New Roman"/>
          <w:sz w:val="24"/>
          <w:szCs w:val="24"/>
          <w:u w:val="single"/>
          <w:lang w:bidi="ar"/>
        </w:rPr>
        <w:t>%，评价区灌丛生态系统</w:t>
      </w:r>
      <w:r>
        <w:rPr>
          <w:rFonts w:hint="eastAsia" w:ascii="Times New Roman" w:hAnsi="Times New Roman"/>
          <w:sz w:val="24"/>
          <w:szCs w:val="24"/>
          <w:u w:val="single"/>
          <w:lang w:bidi="ar"/>
        </w:rPr>
        <w:t>面积较</w:t>
      </w:r>
      <w:r>
        <w:rPr>
          <w:rFonts w:hint="eastAsia" w:ascii="Times New Roman" w:hAnsi="Times New Roman"/>
          <w:sz w:val="24"/>
          <w:szCs w:val="24"/>
          <w:u w:val="single"/>
          <w:lang w:eastAsia="zh-CN" w:bidi="ar"/>
        </w:rPr>
        <w:t>小</w:t>
      </w:r>
      <w:r>
        <w:rPr>
          <w:rFonts w:ascii="Times New Roman" w:hAnsi="Times New Roman"/>
          <w:sz w:val="24"/>
          <w:szCs w:val="24"/>
          <w:u w:val="single"/>
          <w:lang w:bidi="ar"/>
        </w:rPr>
        <w:t>。</w:t>
      </w:r>
    </w:p>
    <w:p>
      <w:pPr>
        <w:spacing w:line="360" w:lineRule="auto"/>
        <w:ind w:firstLine="480" w:firstLineChars="200"/>
        <w:jc w:val="both"/>
        <w:rPr>
          <w:rFonts w:ascii="Times New Roman" w:hAnsi="Times New Roman"/>
          <w:sz w:val="24"/>
          <w:szCs w:val="24"/>
          <w:highlight w:val="yellow"/>
          <w:u w:val="single"/>
          <w:lang w:bidi="ar"/>
        </w:rPr>
      </w:pPr>
      <w:r>
        <w:rPr>
          <w:rFonts w:ascii="Times New Roman" w:hAnsi="Times New Roman"/>
          <w:sz w:val="24"/>
          <w:szCs w:val="24"/>
          <w:u w:val="single"/>
          <w:lang w:bidi="ar"/>
        </w:rPr>
        <w:t>根据现场调查，评价区灌丛生态系统主要分布</w:t>
      </w:r>
      <w:r>
        <w:rPr>
          <w:rFonts w:ascii="Times New Roman" w:hAnsi="Times New Roman"/>
          <w:sz w:val="24"/>
          <w:szCs w:val="24"/>
          <w:u w:val="single"/>
        </w:rPr>
        <w:t>多呈条带状或斑块状分布于</w:t>
      </w:r>
      <w:r>
        <w:rPr>
          <w:rFonts w:hint="eastAsia" w:ascii="Times New Roman" w:hAnsi="Times New Roman"/>
          <w:sz w:val="24"/>
          <w:szCs w:val="24"/>
          <w:u w:val="single"/>
          <w:lang w:eastAsia="zh-CN"/>
        </w:rPr>
        <w:t>项目周边</w:t>
      </w:r>
      <w:r>
        <w:rPr>
          <w:rFonts w:ascii="Times New Roman" w:hAnsi="Times New Roman"/>
          <w:sz w:val="24"/>
          <w:szCs w:val="24"/>
          <w:u w:val="single"/>
          <w:lang w:bidi="ar"/>
        </w:rPr>
        <w:t>。</w:t>
      </w:r>
      <w:r>
        <w:rPr>
          <w:rFonts w:ascii="Times New Roman" w:hAnsi="Times New Roman"/>
          <w:sz w:val="24"/>
          <w:szCs w:val="24"/>
          <w:u w:val="single"/>
        </w:rPr>
        <w:t>评价区</w:t>
      </w:r>
      <w:r>
        <w:rPr>
          <w:rFonts w:ascii="Times New Roman" w:hAnsi="Times New Roman"/>
          <w:sz w:val="24"/>
          <w:szCs w:val="24"/>
          <w:u w:val="single"/>
          <w:lang w:bidi="ar"/>
        </w:rPr>
        <w:t>灌丛</w:t>
      </w:r>
      <w:r>
        <w:rPr>
          <w:rFonts w:ascii="Times New Roman" w:hAnsi="Times New Roman"/>
          <w:sz w:val="24"/>
          <w:szCs w:val="24"/>
          <w:u w:val="single"/>
        </w:rPr>
        <w:t>生态系统区环境异质性程度较高，植被类型及群系组成较多样。</w:t>
      </w:r>
    </w:p>
    <w:p>
      <w:pPr>
        <w:spacing w:line="360" w:lineRule="auto"/>
        <w:ind w:firstLine="482" w:firstLineChars="200"/>
        <w:jc w:val="both"/>
        <w:rPr>
          <w:rFonts w:ascii="Times New Roman" w:hAnsi="Times New Roman"/>
          <w:b/>
          <w:sz w:val="24"/>
          <w:szCs w:val="24"/>
          <w:u w:val="single"/>
        </w:rPr>
      </w:pPr>
      <w:r>
        <w:rPr>
          <w:rFonts w:ascii="Times New Roman" w:hAnsi="Times New Roman"/>
          <w:b/>
          <w:sz w:val="24"/>
          <w:szCs w:val="24"/>
          <w:u w:val="single"/>
        </w:rPr>
        <w:t>1.植被现状</w:t>
      </w:r>
    </w:p>
    <w:p>
      <w:pPr>
        <w:spacing w:line="360" w:lineRule="auto"/>
        <w:ind w:firstLine="480" w:firstLineChars="200"/>
        <w:jc w:val="both"/>
        <w:rPr>
          <w:rFonts w:ascii="Times New Roman" w:hAnsi="Times New Roman"/>
          <w:sz w:val="24"/>
          <w:szCs w:val="24"/>
          <w:u w:val="single"/>
        </w:rPr>
      </w:pPr>
      <w:r>
        <w:rPr>
          <w:rFonts w:hint="eastAsia" w:ascii="Times New Roman" w:hAnsi="Times New Roman"/>
          <w:sz w:val="24"/>
          <w:szCs w:val="24"/>
          <w:u w:val="single"/>
          <w:lang w:bidi="ar"/>
        </w:rPr>
        <w:t>评价区内的灌丛/灌草丛生态系统分布面积相对较</w:t>
      </w:r>
      <w:r>
        <w:rPr>
          <w:rFonts w:hint="eastAsia" w:ascii="Times New Roman" w:hAnsi="Times New Roman"/>
          <w:sz w:val="24"/>
          <w:szCs w:val="24"/>
          <w:u w:val="single"/>
          <w:lang w:eastAsia="zh-CN" w:bidi="ar"/>
        </w:rPr>
        <w:t>小</w:t>
      </w:r>
      <w:r>
        <w:rPr>
          <w:rFonts w:hint="eastAsia" w:ascii="Times New Roman" w:hAnsi="Times New Roman"/>
          <w:sz w:val="24"/>
          <w:szCs w:val="24"/>
          <w:u w:val="single"/>
          <w:lang w:bidi="ar"/>
        </w:rPr>
        <w:t>，其广泛分布于评价区的林下</w:t>
      </w:r>
      <w:r>
        <w:rPr>
          <w:rFonts w:hint="eastAsia" w:ascii="Times New Roman" w:hAnsi="Times New Roman"/>
          <w:sz w:val="24"/>
          <w:szCs w:val="24"/>
          <w:u w:val="single"/>
          <w:lang w:eastAsia="zh-CN" w:bidi="ar"/>
        </w:rPr>
        <w:t>及项目周边</w:t>
      </w:r>
      <w:r>
        <w:rPr>
          <w:rFonts w:hint="eastAsia" w:ascii="Times New Roman" w:hAnsi="Times New Roman"/>
          <w:sz w:val="24"/>
          <w:szCs w:val="24"/>
          <w:u w:val="single"/>
          <w:lang w:bidi="ar"/>
        </w:rPr>
        <w:t>。植被主要为灌丛及灌草丛，常见的群系有盐肤木灌丛（</w:t>
      </w:r>
      <w:r>
        <w:rPr>
          <w:rFonts w:hint="eastAsia" w:ascii="Times New Roman" w:hAnsi="Times New Roman"/>
          <w:i/>
          <w:iCs/>
          <w:sz w:val="24"/>
          <w:szCs w:val="24"/>
          <w:u w:val="single"/>
          <w:lang w:bidi="ar"/>
        </w:rPr>
        <w:t>Form. Rhus chinensis</w:t>
      </w:r>
      <w:r>
        <w:rPr>
          <w:rFonts w:hint="eastAsia" w:ascii="Times New Roman" w:hAnsi="Times New Roman"/>
          <w:sz w:val="24"/>
          <w:szCs w:val="24"/>
          <w:u w:val="single"/>
          <w:lang w:bidi="ar"/>
        </w:rPr>
        <w:t>）、檵木灌丛（</w:t>
      </w:r>
      <w:r>
        <w:rPr>
          <w:rFonts w:hint="eastAsia" w:ascii="Times New Roman" w:hAnsi="Times New Roman"/>
          <w:i/>
          <w:iCs/>
          <w:sz w:val="24"/>
          <w:szCs w:val="24"/>
          <w:u w:val="single"/>
          <w:lang w:bidi="ar"/>
        </w:rPr>
        <w:t>Form. Loropetalum chinense</w:t>
      </w:r>
      <w:r>
        <w:rPr>
          <w:rFonts w:hint="eastAsia" w:ascii="Times New Roman" w:hAnsi="Times New Roman"/>
          <w:sz w:val="24"/>
          <w:szCs w:val="24"/>
          <w:u w:val="single"/>
          <w:lang w:bidi="ar"/>
        </w:rPr>
        <w:t>）、粗叶悬钩子灌丛（</w:t>
      </w:r>
      <w:r>
        <w:rPr>
          <w:rFonts w:hint="eastAsia" w:ascii="Times New Roman" w:hAnsi="Times New Roman"/>
          <w:i/>
          <w:iCs/>
          <w:sz w:val="24"/>
          <w:szCs w:val="24"/>
          <w:u w:val="single"/>
          <w:lang w:bidi="ar"/>
        </w:rPr>
        <w:t>Rubusalceaefolius</w:t>
      </w:r>
      <w:r>
        <w:rPr>
          <w:rFonts w:hint="eastAsia" w:ascii="Times New Roman" w:hAnsi="Times New Roman"/>
          <w:sz w:val="24"/>
          <w:szCs w:val="24"/>
          <w:u w:val="single"/>
          <w:lang w:bidi="ar"/>
        </w:rPr>
        <w:t>）、胡枝子灌丛（</w:t>
      </w:r>
      <w:r>
        <w:rPr>
          <w:rFonts w:hint="eastAsia" w:ascii="Times New Roman" w:hAnsi="Times New Roman"/>
          <w:i/>
          <w:iCs/>
          <w:sz w:val="24"/>
          <w:szCs w:val="24"/>
          <w:u w:val="single"/>
          <w:lang w:bidi="ar"/>
        </w:rPr>
        <w:t>Form. Lespedeza formosa</w:t>
      </w:r>
      <w:r>
        <w:rPr>
          <w:rFonts w:hint="eastAsia" w:ascii="Times New Roman" w:hAnsi="Times New Roman"/>
          <w:sz w:val="24"/>
          <w:szCs w:val="24"/>
          <w:u w:val="single"/>
          <w:lang w:bidi="ar"/>
        </w:rPr>
        <w:t>）、金樱子灌丛（</w:t>
      </w:r>
      <w:r>
        <w:rPr>
          <w:rFonts w:hint="eastAsia" w:ascii="Times New Roman" w:hAnsi="Times New Roman"/>
          <w:i/>
          <w:iCs/>
          <w:sz w:val="24"/>
          <w:szCs w:val="24"/>
          <w:u w:val="single"/>
          <w:lang w:bidi="ar"/>
        </w:rPr>
        <w:t>Form. Rosa laevigata</w:t>
      </w:r>
      <w:r>
        <w:rPr>
          <w:rFonts w:hint="eastAsia" w:ascii="Times New Roman" w:hAnsi="Times New Roman"/>
          <w:sz w:val="24"/>
          <w:szCs w:val="24"/>
          <w:u w:val="single"/>
          <w:lang w:bidi="ar"/>
        </w:rPr>
        <w:t>）、牡荆灌丛（</w:t>
      </w:r>
      <w:r>
        <w:rPr>
          <w:rFonts w:hint="eastAsia" w:ascii="Times New Roman" w:hAnsi="Times New Roman"/>
          <w:i/>
          <w:iCs/>
          <w:sz w:val="24"/>
          <w:szCs w:val="24"/>
          <w:u w:val="single"/>
          <w:lang w:bidi="ar"/>
        </w:rPr>
        <w:t>Form. Vitex negundo var. cannabifolia</w:t>
      </w:r>
      <w:r>
        <w:rPr>
          <w:rFonts w:hint="eastAsia" w:ascii="Times New Roman" w:hAnsi="Times New Roman"/>
          <w:sz w:val="24"/>
          <w:szCs w:val="24"/>
          <w:u w:val="single"/>
          <w:lang w:bidi="ar"/>
        </w:rPr>
        <w:t>）、高粱泡灌丛（</w:t>
      </w:r>
      <w:r>
        <w:rPr>
          <w:rFonts w:hint="eastAsia" w:ascii="Times New Roman" w:hAnsi="Times New Roman"/>
          <w:i/>
          <w:iCs/>
          <w:sz w:val="24"/>
          <w:szCs w:val="24"/>
          <w:u w:val="single"/>
          <w:lang w:bidi="ar"/>
        </w:rPr>
        <w:t>Rubus lambertianus Ser.</w:t>
      </w:r>
      <w:r>
        <w:rPr>
          <w:rFonts w:hint="eastAsia" w:ascii="Times New Roman" w:hAnsi="Times New Roman"/>
          <w:sz w:val="24"/>
          <w:szCs w:val="24"/>
          <w:u w:val="single"/>
          <w:lang w:bidi="ar"/>
        </w:rPr>
        <w:t>）、白茅灌草丛（</w:t>
      </w:r>
      <w:r>
        <w:rPr>
          <w:rFonts w:hint="eastAsia" w:ascii="Times New Roman" w:hAnsi="Times New Roman"/>
          <w:i/>
          <w:iCs/>
          <w:sz w:val="24"/>
          <w:szCs w:val="24"/>
          <w:u w:val="single"/>
          <w:lang w:bidi="ar"/>
        </w:rPr>
        <w:t>Form. Imperata cylindrica</w:t>
      </w:r>
      <w:r>
        <w:rPr>
          <w:rFonts w:hint="eastAsia" w:ascii="Times New Roman" w:hAnsi="Times New Roman"/>
          <w:sz w:val="24"/>
          <w:szCs w:val="24"/>
          <w:u w:val="single"/>
          <w:lang w:bidi="ar"/>
        </w:rPr>
        <w:t>）、五节芒灌草丛（</w:t>
      </w:r>
      <w:r>
        <w:rPr>
          <w:rFonts w:hint="eastAsia" w:ascii="Times New Roman" w:hAnsi="Times New Roman"/>
          <w:i/>
          <w:iCs/>
          <w:sz w:val="24"/>
          <w:szCs w:val="24"/>
          <w:u w:val="single"/>
          <w:lang w:bidi="ar"/>
        </w:rPr>
        <w:t>Form. Miscanthus floridulus</w:t>
      </w:r>
      <w:r>
        <w:rPr>
          <w:rFonts w:hint="eastAsia" w:ascii="Times New Roman" w:hAnsi="Times New Roman"/>
          <w:sz w:val="24"/>
          <w:szCs w:val="24"/>
          <w:u w:val="single"/>
          <w:lang w:bidi="ar"/>
        </w:rPr>
        <w:t>）等。评价区处我国中纬度亚热带地区，区域灌丛和草地生态系统多由森林生态系统退化而形成，生态系统内植被类型单一，群系结构简单，物种组成贫乏，其中灌木层常见的植物有六月雪（</w:t>
      </w:r>
      <w:r>
        <w:rPr>
          <w:rFonts w:hint="eastAsia" w:ascii="Times New Roman" w:hAnsi="Times New Roman"/>
          <w:i/>
          <w:iCs/>
          <w:sz w:val="24"/>
          <w:szCs w:val="24"/>
          <w:u w:val="single"/>
          <w:lang w:bidi="ar"/>
        </w:rPr>
        <w:t>Serissa japonica</w:t>
      </w:r>
      <w:r>
        <w:rPr>
          <w:rFonts w:hint="eastAsia" w:ascii="Times New Roman" w:hAnsi="Times New Roman"/>
          <w:sz w:val="24"/>
          <w:szCs w:val="24"/>
          <w:u w:val="single"/>
          <w:lang w:bidi="ar"/>
        </w:rPr>
        <w:t>）、大青（</w:t>
      </w:r>
      <w:r>
        <w:rPr>
          <w:rFonts w:hint="eastAsia" w:ascii="Times New Roman" w:hAnsi="Times New Roman"/>
          <w:i/>
          <w:iCs/>
          <w:sz w:val="24"/>
          <w:szCs w:val="24"/>
          <w:u w:val="single"/>
          <w:lang w:bidi="ar"/>
        </w:rPr>
        <w:t>Clerodendrum cyrtophyllum</w:t>
      </w:r>
      <w:r>
        <w:rPr>
          <w:rFonts w:hint="eastAsia" w:ascii="Times New Roman" w:hAnsi="Times New Roman"/>
          <w:sz w:val="24"/>
          <w:szCs w:val="24"/>
          <w:u w:val="single"/>
          <w:lang w:bidi="ar"/>
        </w:rPr>
        <w:t>）、扁担杆（</w:t>
      </w:r>
      <w:r>
        <w:rPr>
          <w:rFonts w:hint="eastAsia" w:ascii="Times New Roman" w:hAnsi="Times New Roman"/>
          <w:i/>
          <w:iCs/>
          <w:sz w:val="24"/>
          <w:szCs w:val="24"/>
          <w:u w:val="single"/>
          <w:lang w:bidi="ar"/>
        </w:rPr>
        <w:t>Grewia biloba</w:t>
      </w:r>
      <w:r>
        <w:rPr>
          <w:rFonts w:hint="eastAsia" w:ascii="Times New Roman" w:hAnsi="Times New Roman"/>
          <w:sz w:val="24"/>
          <w:szCs w:val="24"/>
          <w:u w:val="single"/>
          <w:lang w:bidi="ar"/>
        </w:rPr>
        <w:t>）、白背叶（</w:t>
      </w:r>
      <w:r>
        <w:rPr>
          <w:rFonts w:hint="eastAsia" w:ascii="Times New Roman" w:hAnsi="Times New Roman"/>
          <w:i/>
          <w:iCs/>
          <w:sz w:val="24"/>
          <w:szCs w:val="24"/>
          <w:u w:val="single"/>
          <w:lang w:bidi="ar"/>
        </w:rPr>
        <w:t>Mallotus apelta</w:t>
      </w:r>
      <w:r>
        <w:rPr>
          <w:rFonts w:hint="eastAsia" w:ascii="Times New Roman" w:hAnsi="Times New Roman"/>
          <w:sz w:val="24"/>
          <w:szCs w:val="24"/>
          <w:u w:val="single"/>
          <w:lang w:bidi="ar"/>
        </w:rPr>
        <w:t>）等；草本层常见的植物有博落回（</w:t>
      </w:r>
      <w:r>
        <w:rPr>
          <w:rFonts w:hint="eastAsia" w:ascii="Times New Roman" w:hAnsi="Times New Roman"/>
          <w:i/>
          <w:iCs/>
          <w:sz w:val="24"/>
          <w:szCs w:val="24"/>
          <w:u w:val="single"/>
          <w:lang w:bidi="ar"/>
        </w:rPr>
        <w:t>Macleaya cordata</w:t>
      </w:r>
      <w:r>
        <w:rPr>
          <w:rFonts w:hint="eastAsia" w:ascii="Times New Roman" w:hAnsi="Times New Roman"/>
          <w:sz w:val="24"/>
          <w:szCs w:val="24"/>
          <w:u w:val="single"/>
          <w:lang w:bidi="ar"/>
        </w:rPr>
        <w:t>）、白茅（</w:t>
      </w:r>
      <w:r>
        <w:rPr>
          <w:rFonts w:hint="eastAsia" w:ascii="Times New Roman" w:hAnsi="Times New Roman"/>
          <w:i/>
          <w:iCs/>
          <w:sz w:val="24"/>
          <w:szCs w:val="24"/>
          <w:u w:val="single"/>
          <w:lang w:bidi="ar"/>
        </w:rPr>
        <w:t>Imperata cylindrica</w:t>
      </w:r>
      <w:r>
        <w:rPr>
          <w:rFonts w:hint="eastAsia" w:ascii="Times New Roman" w:hAnsi="Times New Roman"/>
          <w:sz w:val="24"/>
          <w:szCs w:val="24"/>
          <w:u w:val="single"/>
          <w:lang w:bidi="ar"/>
        </w:rPr>
        <w:t>）、蕨（</w:t>
      </w:r>
      <w:r>
        <w:rPr>
          <w:rFonts w:hint="eastAsia" w:ascii="Times New Roman" w:hAnsi="Times New Roman"/>
          <w:i/>
          <w:iCs/>
          <w:sz w:val="24"/>
          <w:szCs w:val="24"/>
          <w:u w:val="single"/>
          <w:lang w:bidi="ar"/>
        </w:rPr>
        <w:t>Pteridium aquilinum var. latiusculum</w:t>
      </w:r>
      <w:r>
        <w:rPr>
          <w:rFonts w:hint="eastAsia" w:ascii="Times New Roman" w:hAnsi="Times New Roman"/>
          <w:sz w:val="24"/>
          <w:szCs w:val="24"/>
          <w:u w:val="single"/>
          <w:lang w:bidi="ar"/>
        </w:rPr>
        <w:t>）、芒（</w:t>
      </w:r>
      <w:r>
        <w:rPr>
          <w:rFonts w:hint="eastAsia" w:ascii="Times New Roman" w:hAnsi="Times New Roman"/>
          <w:i/>
          <w:iCs/>
          <w:sz w:val="24"/>
          <w:szCs w:val="24"/>
          <w:u w:val="single"/>
          <w:lang w:bidi="ar"/>
        </w:rPr>
        <w:t>Miscanthus sinensis</w:t>
      </w:r>
      <w:r>
        <w:rPr>
          <w:rFonts w:hint="eastAsia" w:ascii="Times New Roman" w:hAnsi="Times New Roman"/>
          <w:sz w:val="24"/>
          <w:szCs w:val="24"/>
          <w:u w:val="single"/>
          <w:lang w:bidi="ar"/>
        </w:rPr>
        <w:t>）、野艾蒿（</w:t>
      </w:r>
      <w:r>
        <w:rPr>
          <w:rFonts w:hint="eastAsia" w:ascii="Times New Roman" w:hAnsi="Times New Roman"/>
          <w:i/>
          <w:iCs/>
          <w:sz w:val="24"/>
          <w:szCs w:val="24"/>
          <w:u w:val="single"/>
          <w:lang w:bidi="ar"/>
        </w:rPr>
        <w:t>Artemisia lavandulifolia</w:t>
      </w:r>
      <w:r>
        <w:rPr>
          <w:rFonts w:hint="eastAsia" w:ascii="Times New Roman" w:hAnsi="Times New Roman"/>
          <w:sz w:val="24"/>
          <w:szCs w:val="24"/>
          <w:u w:val="single"/>
          <w:lang w:bidi="ar"/>
        </w:rPr>
        <w:t>）等</w:t>
      </w:r>
      <w:r>
        <w:rPr>
          <w:rFonts w:ascii="Times New Roman" w:hAnsi="Times New Roman"/>
          <w:sz w:val="24"/>
          <w:szCs w:val="24"/>
          <w:u w:val="single"/>
        </w:rPr>
        <w:t>。</w:t>
      </w:r>
    </w:p>
    <w:p>
      <w:pPr>
        <w:spacing w:line="360" w:lineRule="auto"/>
        <w:ind w:firstLine="482" w:firstLineChars="200"/>
        <w:jc w:val="both"/>
        <w:rPr>
          <w:rFonts w:ascii="Times New Roman" w:hAnsi="Times New Roman"/>
          <w:b/>
          <w:sz w:val="24"/>
          <w:szCs w:val="24"/>
          <w:u w:val="single"/>
        </w:rPr>
      </w:pPr>
      <w:r>
        <w:rPr>
          <w:rFonts w:ascii="Times New Roman" w:hAnsi="Times New Roman"/>
          <w:b/>
          <w:sz w:val="24"/>
          <w:szCs w:val="24"/>
          <w:u w:val="single"/>
        </w:rPr>
        <w:t>2.动物现状</w:t>
      </w:r>
    </w:p>
    <w:p>
      <w:pPr>
        <w:spacing w:line="360" w:lineRule="auto"/>
        <w:ind w:firstLine="480" w:firstLineChars="200"/>
        <w:jc w:val="both"/>
        <w:rPr>
          <w:rFonts w:hint="eastAsia" w:ascii="Times New Roman" w:hAnsi="Times New Roman" w:eastAsia="宋体"/>
          <w:bCs/>
          <w:color w:val="000000" w:themeColor="text1"/>
          <w:sz w:val="24"/>
          <w:szCs w:val="24"/>
          <w:u w:val="single"/>
          <w:lang w:val="en-US" w:eastAsia="zh-CN"/>
          <w14:textFill>
            <w14:solidFill>
              <w14:schemeClr w14:val="tx1"/>
            </w14:solidFill>
          </w14:textFill>
        </w:rPr>
      </w:pPr>
      <w:r>
        <w:rPr>
          <w:rFonts w:hint="eastAsia" w:ascii="Times New Roman" w:hAnsi="Times New Roman"/>
          <w:color w:val="000000" w:themeColor="text1"/>
          <w:sz w:val="24"/>
          <w:szCs w:val="24"/>
          <w:u w:val="single"/>
          <w:lang w:eastAsia="zh-CN"/>
          <w14:textFill>
            <w14:solidFill>
              <w14:schemeClr w14:val="tx1"/>
            </w14:solidFill>
          </w14:textFill>
        </w:rPr>
        <w:t>但是由于评价区域位于工业园区，故因为工业生产影响，该系统几乎不存在野生动物</w:t>
      </w:r>
      <w:r>
        <w:rPr>
          <w:rFonts w:ascii="Times New Roman" w:hAnsi="Times New Roman"/>
          <w:color w:val="000000" w:themeColor="text1"/>
          <w:sz w:val="24"/>
          <w:szCs w:val="24"/>
          <w:u w:val="single"/>
          <w14:textFill>
            <w14:solidFill>
              <w14:schemeClr w14:val="tx1"/>
            </w14:solidFill>
          </w14:textFill>
        </w:rPr>
        <w:t>。</w:t>
      </w:r>
      <w:r>
        <w:rPr>
          <w:rFonts w:hint="eastAsia"/>
          <w:color w:val="000000" w:themeColor="text1"/>
          <w:sz w:val="24"/>
          <w:szCs w:val="24"/>
          <w:u w:val="single"/>
          <w:lang w:val="en-US" w:eastAsia="zh-CN"/>
          <w14:textFill>
            <w14:solidFill>
              <w14:schemeClr w14:val="tx1"/>
            </w14:solidFill>
          </w14:textFill>
        </w:rPr>
        <w:t>3</w:t>
      </w:r>
    </w:p>
    <w:p>
      <w:pPr>
        <w:spacing w:line="360" w:lineRule="auto"/>
        <w:ind w:firstLine="482" w:firstLineChars="200"/>
        <w:rPr>
          <w:rFonts w:hint="default" w:ascii="Times New Roman" w:hAnsi="Times New Roman" w:eastAsia="宋体"/>
          <w:b/>
          <w:color w:val="000000"/>
          <w:sz w:val="24"/>
          <w:szCs w:val="24"/>
          <w:lang w:val="en-US" w:eastAsia="zh-CN"/>
        </w:rPr>
      </w:pPr>
      <w:r>
        <w:rPr>
          <w:rFonts w:ascii="Times New Roman" w:hAnsi="Times New Roman"/>
          <w:b/>
          <w:color w:val="000000"/>
          <w:sz w:val="24"/>
          <w:szCs w:val="24"/>
        </w:rPr>
        <w:t>3.</w:t>
      </w:r>
      <w:r>
        <w:rPr>
          <w:rFonts w:hint="eastAsia"/>
          <w:b/>
          <w:color w:val="000000"/>
          <w:sz w:val="24"/>
          <w:szCs w:val="24"/>
          <w:lang w:val="en-US" w:eastAsia="zh-CN"/>
        </w:rPr>
        <w:t>生态系统功能及特点</w:t>
      </w:r>
    </w:p>
    <w:p>
      <w:pPr>
        <w:bidi w:val="0"/>
        <w:jc w:val="both"/>
        <w:rPr>
          <w:rFonts w:hint="eastAsia" w:eastAsia="宋体"/>
          <w:lang w:val="en-US" w:eastAsia="zh-CN"/>
        </w:rPr>
      </w:pPr>
      <w:r>
        <w:rPr>
          <w:rFonts w:hint="eastAsia" w:ascii="Times New Roman" w:hAnsi="Times New Roman"/>
          <w:i w:val="0"/>
          <w:iCs w:val="0"/>
          <w:sz w:val="24"/>
          <w:szCs w:val="24"/>
          <w:u w:val="single"/>
          <w:lang w:bidi="ar"/>
        </w:rPr>
        <w:t>评价区人为活动频繁，灌丛生态系统多由森林生态系统退化而形成，区域灌丛生态系统多分布</w:t>
      </w:r>
      <w:r>
        <w:rPr>
          <w:rFonts w:ascii="Times New Roman" w:hAnsi="Times New Roman"/>
          <w:sz w:val="24"/>
          <w:szCs w:val="24"/>
          <w:u w:val="single"/>
        </w:rPr>
        <w:t>多呈条带状或斑块状分布于</w:t>
      </w:r>
      <w:r>
        <w:rPr>
          <w:rFonts w:hint="eastAsia" w:ascii="Times New Roman" w:hAnsi="Times New Roman"/>
          <w:sz w:val="24"/>
          <w:szCs w:val="24"/>
          <w:u w:val="single"/>
          <w:lang w:eastAsia="zh-CN"/>
        </w:rPr>
        <w:t>项目周边及道路旁</w:t>
      </w:r>
      <w:r>
        <w:rPr>
          <w:rFonts w:hint="eastAsia"/>
          <w:i w:val="0"/>
          <w:iCs w:val="0"/>
          <w:sz w:val="24"/>
          <w:szCs w:val="24"/>
          <w:u w:val="single"/>
          <w:lang w:eastAsia="zh-CN" w:bidi="ar"/>
        </w:rPr>
        <w:t>，</w:t>
      </w:r>
      <w:r>
        <w:rPr>
          <w:rFonts w:hint="eastAsia" w:ascii="Times New Roman" w:hAnsi="Times New Roman"/>
          <w:i w:val="0"/>
          <w:iCs w:val="0"/>
          <w:sz w:val="24"/>
          <w:szCs w:val="24"/>
          <w:u w:val="single"/>
          <w:lang w:bidi="ar"/>
        </w:rPr>
        <w:t>灌丛生态系统内群系组成简单</w:t>
      </w:r>
      <w:r>
        <w:rPr>
          <w:rFonts w:hint="eastAsia"/>
          <w:i w:val="0"/>
          <w:iCs w:val="0"/>
          <w:sz w:val="24"/>
          <w:szCs w:val="24"/>
          <w:u w:val="single"/>
          <w:lang w:eastAsia="zh-CN" w:bidi="ar"/>
        </w:rPr>
        <w:t>，</w:t>
      </w:r>
      <w:r>
        <w:rPr>
          <w:rFonts w:hint="eastAsia" w:ascii="Times New Roman" w:hAnsi="Times New Roman"/>
          <w:i w:val="0"/>
          <w:iCs w:val="0"/>
          <w:sz w:val="24"/>
          <w:szCs w:val="24"/>
          <w:u w:val="single"/>
          <w:lang w:bidi="ar"/>
        </w:rPr>
        <w:t>动植物种类贫乏，其生态服务功能不强，主要体现在机质储存、涵养水源、保持水土、固碳释氧、净化空气、美学观赏等方面。</w:t>
      </w:r>
    </w:p>
    <w:p>
      <w:pPr>
        <w:bidi w:val="0"/>
        <w:rPr>
          <w:u w:val="single"/>
        </w:rPr>
      </w:pPr>
      <w:bookmarkStart w:id="253" w:name="_Toc30213"/>
      <w:bookmarkStart w:id="254" w:name="_Toc23233374"/>
      <w:bookmarkStart w:id="255" w:name="_Toc14435"/>
      <w:bookmarkStart w:id="256" w:name="_Toc17755"/>
      <w:r>
        <w:rPr>
          <w:rFonts w:hint="eastAsia"/>
          <w:u w:val="single"/>
          <w:lang w:val="en-US" w:eastAsia="zh-CN"/>
        </w:rPr>
        <w:t>③</w:t>
      </w:r>
      <w:r>
        <w:rPr>
          <w:u w:val="single"/>
        </w:rPr>
        <w:t>湿地生态系统</w:t>
      </w:r>
      <w:bookmarkEnd w:id="253"/>
      <w:bookmarkEnd w:id="254"/>
    </w:p>
    <w:p>
      <w:pPr>
        <w:bidi w:val="0"/>
        <w:jc w:val="both"/>
        <w:rPr>
          <w:u w:val="single"/>
        </w:rPr>
      </w:pPr>
      <w:r>
        <w:rPr>
          <w:u w:val="single"/>
        </w:rPr>
        <w:t>根据卫片解译，评价区湿地生态系统面积为</w:t>
      </w:r>
      <w:r>
        <w:rPr>
          <w:rFonts w:hint="eastAsia"/>
          <w:u w:val="single"/>
          <w:lang w:val="en-US" w:eastAsia="zh-CN"/>
        </w:rPr>
        <w:t>0.9098</w:t>
      </w:r>
      <w:r>
        <w:rPr>
          <w:rFonts w:hint="eastAsia"/>
          <w:u w:val="single"/>
        </w:rPr>
        <w:t xml:space="preserve"> </w:t>
      </w:r>
      <w:r>
        <w:rPr>
          <w:u w:val="single"/>
        </w:rPr>
        <w:t>hm</w:t>
      </w:r>
      <w:r>
        <w:rPr>
          <w:u w:val="single"/>
          <w:vertAlign w:val="superscript"/>
        </w:rPr>
        <w:t>2</w:t>
      </w:r>
      <w:r>
        <w:rPr>
          <w:u w:val="single"/>
        </w:rPr>
        <w:t>，占总面积的</w:t>
      </w:r>
      <w:r>
        <w:rPr>
          <w:rFonts w:hint="eastAsia"/>
          <w:u w:val="single"/>
          <w:lang w:val="en-US" w:eastAsia="zh-CN"/>
        </w:rPr>
        <w:t>1.36</w:t>
      </w:r>
      <w:r>
        <w:rPr>
          <w:u w:val="single"/>
        </w:rPr>
        <w:t>%，评价区湿地生态系统面积较小。根据现场调查，区域湿地主要为</w:t>
      </w:r>
      <w:r>
        <w:rPr>
          <w:rFonts w:hint="eastAsia"/>
          <w:u w:val="single"/>
          <w:lang w:eastAsia="zh-CN"/>
        </w:rPr>
        <w:t>评级区域猛洞河岸浅水区</w:t>
      </w:r>
      <w:r>
        <w:rPr>
          <w:u w:val="single"/>
        </w:rPr>
        <w:t>。</w:t>
      </w:r>
    </w:p>
    <w:p>
      <w:pPr>
        <w:spacing w:line="360" w:lineRule="auto"/>
        <w:ind w:firstLine="482" w:firstLineChars="200"/>
        <w:rPr>
          <w:rFonts w:hint="eastAsia" w:ascii="Times New Roman" w:hAnsi="Times New Roman"/>
          <w:b/>
          <w:color w:val="000000"/>
          <w:sz w:val="24"/>
          <w:szCs w:val="24"/>
          <w:u w:val="single"/>
        </w:rPr>
      </w:pPr>
      <w:bookmarkStart w:id="257" w:name="_Toc481482700"/>
      <w:bookmarkStart w:id="258" w:name="_Toc475747106"/>
      <w:bookmarkStart w:id="259" w:name="_Toc480746929"/>
      <w:bookmarkStart w:id="260" w:name="_Toc478721055"/>
      <w:bookmarkStart w:id="261" w:name="_Toc475742863"/>
      <w:bookmarkStart w:id="262" w:name="_Toc475886278"/>
      <w:r>
        <w:rPr>
          <w:rFonts w:hint="eastAsia" w:ascii="Times New Roman" w:hAnsi="Times New Roman"/>
          <w:b/>
          <w:color w:val="000000"/>
          <w:sz w:val="24"/>
          <w:szCs w:val="24"/>
          <w:u w:val="single"/>
        </w:rPr>
        <w:t>1.植被现状</w:t>
      </w:r>
    </w:p>
    <w:p>
      <w:pPr>
        <w:bidi w:val="0"/>
        <w:jc w:val="both"/>
        <w:rPr>
          <w:u w:val="single"/>
        </w:rPr>
      </w:pPr>
      <w:r>
        <w:rPr>
          <w:u w:val="single"/>
        </w:rPr>
        <w:t>评价区湿地生态系统面积较小，且多为</w:t>
      </w:r>
      <w:r>
        <w:rPr>
          <w:rFonts w:hint="eastAsia"/>
          <w:u w:val="single"/>
          <w:lang w:eastAsia="zh-CN"/>
        </w:rPr>
        <w:t>河岸浅水区</w:t>
      </w:r>
      <w:r>
        <w:rPr>
          <w:u w:val="single"/>
        </w:rPr>
        <w:t>，评价区内水分分布不均，区域内人为活动频繁，湿地植物多零散分布，常见的湿生植物有</w:t>
      </w:r>
      <w:r>
        <w:rPr>
          <w:rFonts w:hint="eastAsia"/>
          <w:u w:val="single"/>
        </w:rPr>
        <w:t>灯心草（</w:t>
      </w:r>
      <w:r>
        <w:rPr>
          <w:i/>
          <w:iCs/>
          <w:u w:val="single"/>
        </w:rPr>
        <w:t>Juncus effusus</w:t>
      </w:r>
      <w:r>
        <w:rPr>
          <w:rFonts w:hint="eastAsia"/>
          <w:u w:val="single"/>
        </w:rPr>
        <w:t>）</w:t>
      </w:r>
      <w:r>
        <w:rPr>
          <w:u w:val="single"/>
        </w:rPr>
        <w:t>、水蓼</w:t>
      </w:r>
      <w:r>
        <w:rPr>
          <w:rFonts w:hint="eastAsia"/>
          <w:u w:val="single"/>
          <w:lang w:eastAsia="zh-CN"/>
        </w:rPr>
        <w:t>（</w:t>
      </w:r>
      <w:r>
        <w:rPr>
          <w:i/>
          <w:iCs/>
          <w:u w:val="single"/>
        </w:rPr>
        <w:t>Polygonum hydropiper</w:t>
      </w:r>
      <w:r>
        <w:rPr>
          <w:rFonts w:hint="eastAsia"/>
          <w:u w:val="single"/>
          <w:lang w:eastAsia="zh-CN"/>
        </w:rPr>
        <w:t>）</w:t>
      </w:r>
      <w:r>
        <w:rPr>
          <w:u w:val="single"/>
        </w:rPr>
        <w:t>等。</w:t>
      </w:r>
    </w:p>
    <w:p>
      <w:pPr>
        <w:spacing w:line="360" w:lineRule="auto"/>
        <w:ind w:firstLine="482" w:firstLineChars="200"/>
        <w:rPr>
          <w:rFonts w:hint="eastAsia" w:ascii="Times New Roman" w:hAnsi="Times New Roman"/>
          <w:b/>
          <w:color w:val="000000"/>
          <w:sz w:val="24"/>
          <w:szCs w:val="24"/>
          <w:u w:val="single"/>
        </w:rPr>
      </w:pPr>
      <w:r>
        <w:rPr>
          <w:rFonts w:hint="eastAsia" w:ascii="Times New Roman" w:hAnsi="Times New Roman"/>
          <w:b/>
          <w:color w:val="000000"/>
          <w:sz w:val="24"/>
          <w:szCs w:val="24"/>
          <w:u w:val="single"/>
        </w:rPr>
        <w:t>2.动物现状</w:t>
      </w:r>
    </w:p>
    <w:p>
      <w:pPr>
        <w:bidi w:val="0"/>
        <w:jc w:val="both"/>
        <w:rPr>
          <w:u w:val="single"/>
        </w:rPr>
      </w:pPr>
      <w:r>
        <w:rPr>
          <w:u w:val="single"/>
        </w:rPr>
        <w:t>评价区湿地生态系统分布的主要有静水型和溪流型两栖类如黑斑侧褶蛙（</w:t>
      </w:r>
      <w:r>
        <w:rPr>
          <w:i/>
          <w:iCs/>
          <w:u w:val="single"/>
        </w:rPr>
        <w:t>Pelophylax nigromaculatus</w:t>
      </w:r>
      <w:r>
        <w:rPr>
          <w:u w:val="single"/>
        </w:rPr>
        <w:t>）等。爬行类主要有乌梢蛇等。鸟类主要有白鹡鸰等。另外分布有小型啮齿类哺乳动物如褐家鼠（</w:t>
      </w:r>
      <w:r>
        <w:rPr>
          <w:i/>
          <w:iCs/>
          <w:u w:val="single"/>
        </w:rPr>
        <w:t>Rattus novegicus</w:t>
      </w:r>
      <w:r>
        <w:rPr>
          <w:u w:val="single"/>
        </w:rPr>
        <w:t>）等。</w:t>
      </w:r>
      <w:bookmarkEnd w:id="257"/>
    </w:p>
    <w:bookmarkEnd w:id="258"/>
    <w:bookmarkEnd w:id="259"/>
    <w:bookmarkEnd w:id="260"/>
    <w:bookmarkEnd w:id="261"/>
    <w:bookmarkEnd w:id="262"/>
    <w:p>
      <w:pPr>
        <w:spacing w:line="360" w:lineRule="auto"/>
        <w:ind w:firstLine="482" w:firstLineChars="200"/>
      </w:pPr>
      <w:r>
        <w:rPr>
          <w:rFonts w:ascii="Times New Roman" w:hAnsi="Times New Roman"/>
          <w:b/>
          <w:color w:val="000000"/>
          <w:sz w:val="24"/>
          <w:szCs w:val="24"/>
          <w:u w:val="single"/>
        </w:rPr>
        <w:t>3.</w:t>
      </w:r>
      <w:r>
        <w:rPr>
          <w:rFonts w:hint="eastAsia" w:ascii="Times New Roman" w:hAnsi="Times New Roman"/>
          <w:b/>
          <w:color w:val="000000"/>
          <w:sz w:val="24"/>
          <w:szCs w:val="24"/>
          <w:u w:val="single"/>
        </w:rPr>
        <w:t>生态系统功能及特点</w:t>
      </w:r>
    </w:p>
    <w:p>
      <w:pPr>
        <w:bidi w:val="0"/>
        <w:jc w:val="both"/>
        <w:rPr>
          <w:u w:val="single"/>
        </w:rPr>
      </w:pPr>
      <w:r>
        <w:rPr>
          <w:rFonts w:hint="eastAsia"/>
          <w:u w:val="single"/>
        </w:rPr>
        <w:t>评价区湿地环境受人为及自然干扰严重，水位受降雨影响较大，湿地生态系统结构简单，湿地植被类型单一，湿地动植物种类及数量较少，其生态服务功能不强，主要包括提供资源产品、控制土壤、保存动植物资源等</w:t>
      </w:r>
      <w:r>
        <w:rPr>
          <w:u w:val="single"/>
        </w:rPr>
        <w:t>。</w:t>
      </w:r>
    </w:p>
    <w:p>
      <w:pPr>
        <w:bidi w:val="0"/>
        <w:rPr>
          <w:u w:val="single"/>
        </w:rPr>
      </w:pPr>
      <w:bookmarkStart w:id="263" w:name="_Toc9701"/>
      <w:bookmarkStart w:id="264" w:name="_Toc23233375"/>
      <w:r>
        <w:rPr>
          <w:rFonts w:hint="eastAsia"/>
          <w:u w:val="single"/>
          <w:lang w:val="en-US" w:eastAsia="zh-CN"/>
        </w:rPr>
        <w:t>④</w:t>
      </w:r>
      <w:r>
        <w:rPr>
          <w:u w:val="single"/>
        </w:rPr>
        <w:t>城镇生态系统</w:t>
      </w:r>
      <w:bookmarkEnd w:id="255"/>
      <w:bookmarkEnd w:id="256"/>
      <w:bookmarkEnd w:id="263"/>
      <w:bookmarkEnd w:id="264"/>
    </w:p>
    <w:p>
      <w:pPr>
        <w:spacing w:line="360" w:lineRule="auto"/>
        <w:ind w:firstLine="480" w:firstLineChars="200"/>
        <w:rPr>
          <w:rFonts w:ascii="Times New Roman" w:hAnsi="Times New Roman"/>
          <w:sz w:val="24"/>
          <w:szCs w:val="24"/>
        </w:rPr>
      </w:pPr>
      <w:r>
        <w:rPr>
          <w:rFonts w:ascii="Times New Roman" w:hAnsi="Times New Roman"/>
          <w:sz w:val="24"/>
          <w:szCs w:val="24"/>
          <w:u w:val="single"/>
        </w:rPr>
        <w:t>根据卫片解译，评价区城镇生态系统面积为</w:t>
      </w:r>
      <w:r>
        <w:rPr>
          <w:rFonts w:hint="eastAsia"/>
          <w:u w:val="single"/>
          <w:lang w:val="en-US" w:eastAsia="zh-CN"/>
        </w:rPr>
        <w:t>27.8417</w:t>
      </w:r>
      <w:r>
        <w:rPr>
          <w:rFonts w:ascii="Times New Roman" w:hAnsi="Times New Roman"/>
          <w:sz w:val="24"/>
          <w:szCs w:val="24"/>
          <w:u w:val="single"/>
        </w:rPr>
        <w:t>hm</w:t>
      </w:r>
      <w:r>
        <w:rPr>
          <w:rFonts w:ascii="Times New Roman" w:hAnsi="Times New Roman"/>
          <w:sz w:val="24"/>
          <w:szCs w:val="24"/>
          <w:u w:val="single"/>
          <w:vertAlign w:val="superscript"/>
        </w:rPr>
        <w:t>2</w:t>
      </w:r>
      <w:r>
        <w:rPr>
          <w:rFonts w:ascii="Times New Roman" w:hAnsi="Times New Roman"/>
          <w:sz w:val="24"/>
          <w:szCs w:val="24"/>
          <w:u w:val="single"/>
        </w:rPr>
        <w:t>，占总面积的</w:t>
      </w:r>
      <w:r>
        <w:rPr>
          <w:rFonts w:hint="eastAsia"/>
          <w:sz w:val="24"/>
          <w:szCs w:val="24"/>
          <w:u w:val="single"/>
          <w:lang w:val="en-US" w:eastAsia="zh-CN"/>
        </w:rPr>
        <w:t>41.64</w:t>
      </w:r>
      <w:r>
        <w:rPr>
          <w:rFonts w:ascii="Times New Roman" w:hAnsi="Times New Roman"/>
          <w:sz w:val="24"/>
          <w:szCs w:val="24"/>
          <w:u w:val="single"/>
        </w:rPr>
        <w:t>%，面积较</w:t>
      </w:r>
      <w:r>
        <w:rPr>
          <w:rFonts w:hint="eastAsia" w:ascii="Times New Roman" w:hAnsi="Times New Roman"/>
          <w:sz w:val="24"/>
          <w:szCs w:val="24"/>
          <w:u w:val="single"/>
          <w:lang w:eastAsia="zh-CN"/>
        </w:rPr>
        <w:t>大</w:t>
      </w:r>
      <w:r>
        <w:rPr>
          <w:rFonts w:ascii="Times New Roman" w:hAnsi="Times New Roman"/>
          <w:sz w:val="24"/>
          <w:szCs w:val="24"/>
          <w:u w:val="single"/>
        </w:rPr>
        <w:t>。结合评价区土地利用</w:t>
      </w:r>
      <w:r>
        <w:rPr>
          <w:rFonts w:hint="eastAsia"/>
          <w:sz w:val="24"/>
          <w:szCs w:val="24"/>
          <w:u w:val="single"/>
          <w:lang w:val="en-US" w:eastAsia="zh-CN"/>
        </w:rPr>
        <w:t>现状</w:t>
      </w:r>
      <w:r>
        <w:rPr>
          <w:rFonts w:ascii="Times New Roman" w:hAnsi="Times New Roman"/>
          <w:sz w:val="24"/>
          <w:szCs w:val="24"/>
          <w:u w:val="single"/>
        </w:rPr>
        <w:t>图，根据现场调查，城镇生态系统多分布于</w:t>
      </w:r>
      <w:r>
        <w:rPr>
          <w:rFonts w:hint="eastAsia" w:ascii="Times New Roman" w:hAnsi="Times New Roman"/>
          <w:sz w:val="24"/>
          <w:szCs w:val="24"/>
          <w:u w:val="single"/>
          <w:lang w:eastAsia="zh-CN"/>
        </w:rPr>
        <w:t>调查区域中部生产建设区</w:t>
      </w:r>
      <w:r>
        <w:rPr>
          <w:rFonts w:ascii="Times New Roman" w:hAnsi="Times New Roman"/>
          <w:sz w:val="24"/>
          <w:szCs w:val="24"/>
          <w:u w:val="single"/>
        </w:rPr>
        <w:t>。城镇生态系统内人口密度较</w:t>
      </w:r>
      <w:r>
        <w:rPr>
          <w:rFonts w:hint="eastAsia" w:ascii="Times New Roman" w:hAnsi="Times New Roman"/>
          <w:sz w:val="24"/>
          <w:szCs w:val="24"/>
          <w:u w:val="single"/>
          <w:lang w:eastAsia="zh-CN"/>
        </w:rPr>
        <w:t>大</w:t>
      </w:r>
      <w:r>
        <w:rPr>
          <w:rFonts w:ascii="Times New Roman" w:hAnsi="Times New Roman"/>
          <w:sz w:val="24"/>
          <w:szCs w:val="24"/>
          <w:u w:val="single"/>
        </w:rPr>
        <w:t>，产业以</w:t>
      </w:r>
      <w:r>
        <w:rPr>
          <w:rFonts w:hint="eastAsia" w:ascii="Times New Roman" w:hAnsi="Times New Roman"/>
          <w:sz w:val="24"/>
          <w:szCs w:val="24"/>
          <w:u w:val="single"/>
          <w:lang w:eastAsia="zh-CN"/>
        </w:rPr>
        <w:t>工业</w:t>
      </w:r>
      <w:r>
        <w:rPr>
          <w:rFonts w:ascii="Times New Roman" w:hAnsi="Times New Roman"/>
          <w:sz w:val="24"/>
          <w:szCs w:val="24"/>
          <w:u w:val="single"/>
        </w:rPr>
        <w:t>生产为主。</w:t>
      </w:r>
    </w:p>
    <w:p>
      <w:pPr>
        <w:spacing w:line="360" w:lineRule="auto"/>
        <w:ind w:firstLine="482" w:firstLineChars="200"/>
        <w:rPr>
          <w:rFonts w:ascii="Times New Roman" w:hAnsi="Times New Roman"/>
          <w:b/>
          <w:sz w:val="24"/>
          <w:szCs w:val="24"/>
        </w:rPr>
      </w:pPr>
      <w:r>
        <w:rPr>
          <w:rFonts w:ascii="Times New Roman" w:hAnsi="Times New Roman"/>
          <w:b/>
          <w:sz w:val="24"/>
          <w:szCs w:val="24"/>
        </w:rPr>
        <w:t>1.植被现状</w:t>
      </w:r>
    </w:p>
    <w:p>
      <w:pPr>
        <w:spacing w:line="360" w:lineRule="auto"/>
        <w:ind w:firstLine="480" w:firstLineChars="200"/>
        <w:jc w:val="both"/>
        <w:rPr>
          <w:rFonts w:ascii="Times New Roman" w:hAnsi="Times New Roman"/>
          <w:sz w:val="24"/>
          <w:szCs w:val="24"/>
          <w:u w:val="single"/>
        </w:rPr>
      </w:pPr>
      <w:r>
        <w:rPr>
          <w:rFonts w:ascii="Times New Roman" w:hAnsi="Times New Roman"/>
          <w:sz w:val="24"/>
          <w:szCs w:val="24"/>
          <w:u w:val="single"/>
        </w:rPr>
        <w:t>根据现场调查，评价区城镇生态系统内人为活动频繁，区域植物多零星分布，主要为四旁树种和行道树，常见的树种有樟（</w:t>
      </w:r>
      <w:r>
        <w:rPr>
          <w:rFonts w:ascii="Times New Roman" w:hAnsi="Times New Roman"/>
          <w:i/>
          <w:sz w:val="24"/>
          <w:szCs w:val="24"/>
          <w:u w:val="single"/>
        </w:rPr>
        <w:t>Cinnamomum camphora</w:t>
      </w:r>
      <w:r>
        <w:rPr>
          <w:rFonts w:ascii="Times New Roman" w:hAnsi="Times New Roman"/>
          <w:sz w:val="24"/>
          <w:szCs w:val="24"/>
          <w:u w:val="single"/>
        </w:rPr>
        <w:t>）、女贞（</w:t>
      </w:r>
      <w:r>
        <w:rPr>
          <w:rFonts w:ascii="Times New Roman" w:hAnsi="Times New Roman"/>
          <w:i/>
          <w:sz w:val="24"/>
          <w:szCs w:val="24"/>
          <w:u w:val="single"/>
        </w:rPr>
        <w:t>Ligustrum lucidum</w:t>
      </w:r>
      <w:r>
        <w:rPr>
          <w:rFonts w:ascii="Times New Roman" w:hAnsi="Times New Roman"/>
          <w:sz w:val="24"/>
          <w:szCs w:val="24"/>
          <w:u w:val="single"/>
        </w:rPr>
        <w:t>）、木犀（</w:t>
      </w:r>
      <w:r>
        <w:rPr>
          <w:rFonts w:ascii="Times New Roman" w:hAnsi="Times New Roman"/>
          <w:i/>
          <w:sz w:val="24"/>
          <w:szCs w:val="24"/>
          <w:u w:val="single"/>
        </w:rPr>
        <w:t>Osmanthus fragrans</w:t>
      </w:r>
      <w:r>
        <w:rPr>
          <w:rFonts w:ascii="Times New Roman" w:hAnsi="Times New Roman"/>
          <w:sz w:val="24"/>
          <w:szCs w:val="24"/>
          <w:u w:val="single"/>
        </w:rPr>
        <w:t>）、</w:t>
      </w:r>
      <w:r>
        <w:rPr>
          <w:rFonts w:ascii="Times New Roman" w:hAnsi="Times New Roman"/>
          <w:color w:val="000000"/>
          <w:sz w:val="24"/>
          <w:szCs w:val="24"/>
          <w:u w:val="single"/>
        </w:rPr>
        <w:t>白花泡桐（</w:t>
      </w:r>
      <w:r>
        <w:rPr>
          <w:rFonts w:ascii="Times New Roman" w:hAnsi="Times New Roman"/>
          <w:i/>
          <w:color w:val="000000"/>
          <w:sz w:val="24"/>
          <w:szCs w:val="24"/>
          <w:u w:val="single"/>
        </w:rPr>
        <w:t>Paulownia fortunei</w:t>
      </w:r>
      <w:r>
        <w:rPr>
          <w:rFonts w:ascii="Times New Roman" w:hAnsi="Times New Roman"/>
          <w:color w:val="000000"/>
          <w:sz w:val="24"/>
          <w:szCs w:val="24"/>
          <w:u w:val="single"/>
        </w:rPr>
        <w:t>）</w:t>
      </w:r>
      <w:r>
        <w:rPr>
          <w:rFonts w:ascii="Times New Roman" w:hAnsi="Times New Roman"/>
          <w:sz w:val="24"/>
          <w:szCs w:val="24"/>
          <w:u w:val="single"/>
        </w:rPr>
        <w:t>等。</w:t>
      </w:r>
    </w:p>
    <w:p>
      <w:pPr>
        <w:spacing w:line="360" w:lineRule="auto"/>
        <w:ind w:firstLine="482" w:firstLineChars="200"/>
        <w:jc w:val="both"/>
        <w:rPr>
          <w:rFonts w:ascii="Times New Roman" w:hAnsi="Times New Roman"/>
          <w:b/>
          <w:color w:val="000000"/>
          <w:sz w:val="24"/>
          <w:szCs w:val="24"/>
          <w:u w:val="single"/>
        </w:rPr>
      </w:pPr>
      <w:r>
        <w:rPr>
          <w:rFonts w:ascii="Times New Roman" w:hAnsi="Times New Roman"/>
          <w:b/>
          <w:color w:val="000000"/>
          <w:sz w:val="24"/>
          <w:szCs w:val="24"/>
          <w:u w:val="single"/>
        </w:rPr>
        <w:t>2.动物现状</w:t>
      </w:r>
    </w:p>
    <w:p>
      <w:pPr>
        <w:spacing w:line="360" w:lineRule="auto"/>
        <w:ind w:firstLine="480" w:firstLineChars="200"/>
        <w:jc w:val="both"/>
        <w:rPr>
          <w:rFonts w:ascii="Times New Roman" w:hAnsi="Times New Roman"/>
          <w:bCs/>
          <w:color w:val="000000" w:themeColor="text1"/>
          <w:sz w:val="24"/>
          <w:szCs w:val="24"/>
          <w:u w:val="single"/>
          <w14:textFill>
            <w14:solidFill>
              <w14:schemeClr w14:val="tx1"/>
            </w14:solidFill>
          </w14:textFill>
        </w:rPr>
      </w:pPr>
      <w:r>
        <w:rPr>
          <w:rFonts w:ascii="Times New Roman" w:hAnsi="Times New Roman"/>
          <w:bCs/>
          <w:color w:val="000000" w:themeColor="text1"/>
          <w:sz w:val="24"/>
          <w:szCs w:val="24"/>
          <w:u w:val="single"/>
          <w14:textFill>
            <w14:solidFill>
              <w14:schemeClr w14:val="tx1"/>
            </w14:solidFill>
          </w14:textFill>
        </w:rPr>
        <w:t>与人类伴居的动物多活动于此，</w:t>
      </w:r>
      <w:r>
        <w:rPr>
          <w:rFonts w:ascii="Times New Roman" w:hAnsi="Times New Roman"/>
          <w:color w:val="000000" w:themeColor="text1"/>
          <w:sz w:val="24"/>
          <w:szCs w:val="24"/>
          <w:u w:val="single"/>
          <w14:textFill>
            <w14:solidFill>
              <w14:schemeClr w14:val="tx1"/>
            </w14:solidFill>
          </w14:textFill>
        </w:rPr>
        <w:t>如爬行类的</w:t>
      </w:r>
      <w:r>
        <w:rPr>
          <w:rFonts w:ascii="Times New Roman" w:hAnsi="Times New Roman"/>
          <w:bCs/>
          <w:color w:val="000000" w:themeColor="text1"/>
          <w:sz w:val="24"/>
          <w:szCs w:val="24"/>
          <w:u w:val="single"/>
          <w14:textFill>
            <w14:solidFill>
              <w14:schemeClr w14:val="tx1"/>
            </w14:solidFill>
          </w14:textFill>
        </w:rPr>
        <w:t>中国石龙子（</w:t>
      </w:r>
      <w:r>
        <w:rPr>
          <w:rFonts w:ascii="Times New Roman" w:hAnsi="Times New Roman"/>
          <w:bCs/>
          <w:i/>
          <w:color w:val="000000" w:themeColor="text1"/>
          <w:sz w:val="24"/>
          <w:szCs w:val="24"/>
          <w:u w:val="single"/>
          <w14:textFill>
            <w14:solidFill>
              <w14:schemeClr w14:val="tx1"/>
            </w14:solidFill>
          </w14:textFill>
        </w:rPr>
        <w:t>Eumeces chinensis</w:t>
      </w:r>
      <w:r>
        <w:rPr>
          <w:rFonts w:ascii="Times New Roman" w:hAnsi="Times New Roman"/>
          <w:bCs/>
          <w:color w:val="000000" w:themeColor="text1"/>
          <w:sz w:val="24"/>
          <w:szCs w:val="24"/>
          <w:u w:val="single"/>
          <w14:textFill>
            <w14:solidFill>
              <w14:schemeClr w14:val="tx1"/>
            </w14:solidFill>
          </w14:textFill>
        </w:rPr>
        <w:t>）</w:t>
      </w:r>
      <w:r>
        <w:rPr>
          <w:rFonts w:ascii="Times New Roman" w:hAnsi="Times New Roman"/>
          <w:color w:val="000000" w:themeColor="text1"/>
          <w:sz w:val="24"/>
          <w:szCs w:val="24"/>
          <w:u w:val="single"/>
          <w14:textFill>
            <w14:solidFill>
              <w14:schemeClr w14:val="tx1"/>
            </w14:solidFill>
          </w14:textFill>
        </w:rPr>
        <w:t>、乌梢蛇等，</w:t>
      </w:r>
      <w:r>
        <w:rPr>
          <w:rFonts w:ascii="Times New Roman" w:hAnsi="Times New Roman"/>
          <w:bCs/>
          <w:color w:val="000000" w:themeColor="text1"/>
          <w:sz w:val="24"/>
          <w:szCs w:val="24"/>
          <w:u w:val="single"/>
          <w14:textFill>
            <w14:solidFill>
              <w14:schemeClr w14:val="tx1"/>
            </w14:solidFill>
          </w14:textFill>
        </w:rPr>
        <w:t>鸟类的珠颈斑鸠、家燕、白头鹎、麻雀（</w:t>
      </w:r>
      <w:r>
        <w:rPr>
          <w:rFonts w:ascii="Times New Roman" w:hAnsi="Times New Roman"/>
          <w:bCs/>
          <w:i/>
          <w:iCs/>
          <w:color w:val="000000" w:themeColor="text1"/>
          <w:sz w:val="24"/>
          <w:szCs w:val="24"/>
          <w:u w:val="single"/>
          <w14:textFill>
            <w14:solidFill>
              <w14:schemeClr w14:val="tx1"/>
            </w14:solidFill>
          </w14:textFill>
        </w:rPr>
        <w:t>Passer montanus</w:t>
      </w:r>
      <w:r>
        <w:rPr>
          <w:rFonts w:ascii="Times New Roman" w:hAnsi="Times New Roman"/>
          <w:bCs/>
          <w:color w:val="000000" w:themeColor="text1"/>
          <w:sz w:val="24"/>
          <w:szCs w:val="24"/>
          <w:u w:val="single"/>
          <w14:textFill>
            <w14:solidFill>
              <w14:schemeClr w14:val="tx1"/>
            </w14:solidFill>
          </w14:textFill>
        </w:rPr>
        <w:t>）等，</w:t>
      </w:r>
      <w:r>
        <w:rPr>
          <w:rFonts w:hint="eastAsia" w:ascii="Times New Roman" w:hAnsi="Times New Roman"/>
          <w:bCs/>
          <w:color w:val="000000" w:themeColor="text1"/>
          <w:sz w:val="24"/>
          <w:szCs w:val="24"/>
          <w:u w:val="single"/>
          <w14:textFill>
            <w14:solidFill>
              <w14:schemeClr w14:val="tx1"/>
            </w14:solidFill>
          </w14:textFill>
        </w:rPr>
        <w:t>哺乳</w:t>
      </w:r>
      <w:r>
        <w:rPr>
          <w:rFonts w:ascii="Times New Roman" w:hAnsi="Times New Roman"/>
          <w:bCs/>
          <w:color w:val="000000" w:themeColor="text1"/>
          <w:sz w:val="24"/>
          <w:szCs w:val="24"/>
          <w:u w:val="single"/>
          <w14:textFill>
            <w14:solidFill>
              <w14:schemeClr w14:val="tx1"/>
            </w14:solidFill>
          </w14:textFill>
        </w:rPr>
        <w:t>类的</w:t>
      </w:r>
      <w:r>
        <w:rPr>
          <w:rFonts w:ascii="Times New Roman" w:hAnsi="Times New Roman"/>
          <w:color w:val="000000" w:themeColor="text1"/>
          <w:sz w:val="24"/>
          <w:szCs w:val="24"/>
          <w:u w:val="single"/>
          <w14:textFill>
            <w14:solidFill>
              <w14:schemeClr w14:val="tx1"/>
            </w14:solidFill>
          </w14:textFill>
        </w:rPr>
        <w:t>华南兔</w:t>
      </w:r>
      <w:r>
        <w:rPr>
          <w:rFonts w:ascii="Times New Roman" w:hAnsi="Times New Roman"/>
          <w:bCs/>
          <w:color w:val="000000" w:themeColor="text1"/>
          <w:sz w:val="24"/>
          <w:szCs w:val="24"/>
          <w:u w:val="single"/>
          <w14:textFill>
            <w14:solidFill>
              <w14:schemeClr w14:val="tx1"/>
            </w14:solidFill>
          </w14:textFill>
        </w:rPr>
        <w:t>和几种鼠类，如小家鼠、黄胸鼠（</w:t>
      </w:r>
      <w:r>
        <w:rPr>
          <w:rFonts w:ascii="Times New Roman" w:hAnsi="Times New Roman"/>
          <w:bCs/>
          <w:i/>
          <w:color w:val="000000" w:themeColor="text1"/>
          <w:sz w:val="24"/>
          <w:szCs w:val="24"/>
          <w:u w:val="single"/>
          <w14:textFill>
            <w14:solidFill>
              <w14:schemeClr w14:val="tx1"/>
            </w14:solidFill>
          </w14:textFill>
        </w:rPr>
        <w:t>Rattus flavipectus</w:t>
      </w:r>
      <w:r>
        <w:rPr>
          <w:rFonts w:ascii="Times New Roman" w:hAnsi="Times New Roman"/>
          <w:bCs/>
          <w:color w:val="000000" w:themeColor="text1"/>
          <w:sz w:val="24"/>
          <w:szCs w:val="24"/>
          <w:u w:val="single"/>
          <w14:textFill>
            <w14:solidFill>
              <w14:schemeClr w14:val="tx1"/>
            </w14:solidFill>
          </w14:textFill>
        </w:rPr>
        <w:t>）等。</w:t>
      </w:r>
    </w:p>
    <w:p>
      <w:pPr>
        <w:spacing w:line="360" w:lineRule="auto"/>
        <w:ind w:firstLine="482" w:firstLineChars="200"/>
        <w:rPr>
          <w:rFonts w:hint="eastAsia" w:ascii="Times New Roman" w:hAnsi="Times New Roman"/>
          <w:b/>
          <w:color w:val="000000"/>
          <w:sz w:val="24"/>
          <w:szCs w:val="24"/>
          <w:u w:val="single"/>
        </w:rPr>
      </w:pPr>
      <w:r>
        <w:rPr>
          <w:rFonts w:hint="eastAsia" w:ascii="Times New Roman" w:hAnsi="Times New Roman"/>
          <w:b/>
          <w:color w:val="000000"/>
          <w:sz w:val="24"/>
          <w:szCs w:val="24"/>
          <w:u w:val="single"/>
        </w:rPr>
        <w:t>3.生态系统功能及特点</w:t>
      </w:r>
    </w:p>
    <w:p>
      <w:pPr>
        <w:bidi w:val="0"/>
        <w:rPr>
          <w:rFonts w:hint="eastAsia"/>
        </w:rPr>
      </w:pPr>
      <w:r>
        <w:rPr>
          <w:rFonts w:hint="eastAsia" w:ascii="Times New Roman" w:hAnsi="Times New Roman"/>
          <w:sz w:val="24"/>
          <w:szCs w:val="24"/>
          <w:u w:val="single"/>
        </w:rPr>
        <w:t>城镇是一个高度复合的人工化生态系统，与自然生态系统在结构和功能上都存在明显差别。评价区城镇生态系统沿线均有分布，该生态系统内人口稠密，产业以工业生产为主。其功能主要体现在提供生活和生产物质，包括食物生产、原材料生产以及满足人类精神和物质生活需求的功能</w:t>
      </w:r>
      <w:r>
        <w:rPr>
          <w:rFonts w:ascii="Times New Roman" w:hAnsi="Times New Roman"/>
          <w:bCs/>
          <w:sz w:val="24"/>
          <w:szCs w:val="24"/>
          <w:u w:val="single"/>
        </w:rPr>
        <w:t>。</w:t>
      </w:r>
    </w:p>
    <w:p>
      <w:pPr>
        <w:bidi w:val="0"/>
        <w:rPr>
          <w:rFonts w:hint="eastAsia" w:eastAsia="宋体"/>
          <w:u w:val="single"/>
          <w:lang w:eastAsia="zh-CN"/>
        </w:rPr>
      </w:pPr>
      <w:r>
        <w:rPr>
          <w:rFonts w:hint="eastAsia"/>
          <w:u w:val="single"/>
          <w:lang w:val="en-US" w:eastAsia="zh-CN"/>
        </w:rPr>
        <w:t>3</w:t>
      </w:r>
      <w:r>
        <w:rPr>
          <w:rFonts w:hint="eastAsia"/>
          <w:u w:val="single"/>
          <w:lang w:eastAsia="zh-CN"/>
        </w:rPr>
        <w:t>）</w:t>
      </w:r>
      <w:bookmarkStart w:id="265" w:name="_Toc12967"/>
      <w:r>
        <w:rPr>
          <w:rFonts w:hint="eastAsia"/>
          <w:u w:val="single"/>
        </w:rPr>
        <w:t>生态敏感区</w:t>
      </w:r>
      <w:bookmarkEnd w:id="265"/>
    </w:p>
    <w:p>
      <w:pPr>
        <w:bidi w:val="0"/>
        <w:jc w:val="both"/>
        <w:rPr>
          <w:u w:val="single"/>
        </w:rPr>
      </w:pPr>
      <w:r>
        <w:rPr>
          <w:u w:val="single"/>
        </w:rPr>
        <w:t>生态敏感区包括特殊生态敏感区和重要生态敏感区。特殊生态敏感区是指具有极重要的生态服务功能，生态系统极为脆弱或已有较为严重的生态问题，如遭到占用、损失或破坏后所造成的生态影响后果严重且难以预防、生态功能难以恢复和替代的区域，包括自然保护区和世界文化和自然遗产地等。</w:t>
      </w:r>
    </w:p>
    <w:p>
      <w:pPr>
        <w:bidi w:val="0"/>
        <w:jc w:val="both"/>
        <w:rPr>
          <w:u w:val="single"/>
        </w:rPr>
      </w:pPr>
      <w:r>
        <w:rPr>
          <w:u w:val="single"/>
        </w:rPr>
        <w:t>重要生态敏感区指具有相对重要的生态服务功能或生态系统较为脆弱，如遭占用、损失或破坏后所造成的生态影响后果较严重，但可以通过一定措施加以预防、恢复和替代的区域，包括风景名胜区、森林公园、地质公园、重要湿地、原始天然林、珍稀濒危野生动植物天然集中分布区、重要水生生物的自然产卵场及索饵场、越冬场和洄游通道、天然渔场等。</w:t>
      </w:r>
    </w:p>
    <w:p>
      <w:pPr>
        <w:bidi w:val="0"/>
        <w:jc w:val="both"/>
        <w:rPr>
          <w:rFonts w:hint="eastAsia"/>
          <w:u w:val="single"/>
          <w:lang w:val="en-US" w:eastAsia="zh-CN"/>
        </w:rPr>
      </w:pPr>
      <w:r>
        <w:rPr>
          <w:u w:val="single"/>
        </w:rPr>
        <w:t>通过对本工程所在</w:t>
      </w:r>
      <w:r>
        <w:rPr>
          <w:rFonts w:hint="eastAsia"/>
          <w:u w:val="single"/>
          <w:lang w:eastAsia="zh-CN"/>
        </w:rPr>
        <w:t>永顺</w:t>
      </w:r>
      <w:r>
        <w:rPr>
          <w:u w:val="single"/>
        </w:rPr>
        <w:t>县内各类型生态敏感区进行逐一排查，本工程周边的敏感区有</w:t>
      </w:r>
      <w:r>
        <w:rPr>
          <w:rFonts w:hint="eastAsia"/>
          <w:u w:val="single"/>
        </w:rPr>
        <w:t>湖南永顺不二门国家级森林公园</w:t>
      </w:r>
      <w:r>
        <w:rPr>
          <w:rFonts w:hint="eastAsia"/>
          <w:u w:val="single"/>
          <w:lang w:eastAsia="zh-CN"/>
        </w:rPr>
        <w:t>、</w:t>
      </w:r>
      <w:r>
        <w:rPr>
          <w:u w:val="single"/>
        </w:rPr>
        <w:t>，其与工程的位置关系见</w:t>
      </w:r>
      <w:r>
        <w:rPr>
          <w:rFonts w:hint="eastAsia"/>
          <w:u w:val="single"/>
          <w:lang w:val="en-US" w:eastAsia="zh-CN"/>
        </w:rPr>
        <w:t>环评报告</w:t>
      </w:r>
      <w:r>
        <w:rPr>
          <w:u w:val="single"/>
        </w:rPr>
        <w:t>附图。</w:t>
      </w:r>
    </w:p>
    <w:p>
      <w:pPr>
        <w:bidi w:val="0"/>
        <w:rPr>
          <w:rFonts w:hint="default" w:eastAsia="宋体"/>
          <w:u w:val="single"/>
          <w:lang w:val="en-US" w:eastAsia="zh-CN"/>
        </w:rPr>
      </w:pPr>
      <w:r>
        <w:rPr>
          <w:rFonts w:hint="eastAsia"/>
          <w:u w:val="single"/>
          <w:lang w:val="en-US" w:eastAsia="zh-CN"/>
        </w:rPr>
        <w:t>1）湖南永顺不二门国家级森林公园概况</w:t>
      </w:r>
    </w:p>
    <w:p>
      <w:pPr>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u w:val="single"/>
        </w:rPr>
      </w:pPr>
      <w:r>
        <w:rPr>
          <w:rFonts w:hint="eastAsia" w:ascii="宋体" w:hAnsi="宋体" w:eastAsia="宋体" w:cs="宋体"/>
          <w:b/>
          <w:color w:val="auto"/>
          <w:u w:val="single"/>
        </w:rPr>
        <w:t>规划</w:t>
      </w:r>
      <w:r>
        <w:rPr>
          <w:rFonts w:hint="default" w:ascii="Times New Roman" w:hAnsi="Times New Roman" w:eastAsia="宋体" w:cs="Times New Roman"/>
          <w:b/>
          <w:color w:val="auto"/>
          <w:u w:val="single"/>
        </w:rPr>
        <w:t>时段：</w:t>
      </w:r>
      <w:r>
        <w:rPr>
          <w:rFonts w:hint="default" w:ascii="Times New Roman" w:hAnsi="Times New Roman" w:eastAsia="宋体" w:cs="Times New Roman"/>
          <w:color w:val="auto"/>
          <w:u w:val="single"/>
        </w:rPr>
        <w:t>前期2014－2015年；中期 2016－2020年，后期2021－2023年。</w:t>
      </w:r>
    </w:p>
    <w:p>
      <w:pPr>
        <w:pageBreakBefore w:val="0"/>
        <w:kinsoku/>
        <w:wordWrap/>
        <w:overflowPunct/>
        <w:topLinePunct w:val="0"/>
        <w:autoSpaceDE/>
        <w:autoSpaceDN/>
        <w:bidi w:val="0"/>
        <w:snapToGrid w:val="0"/>
        <w:spacing w:line="360" w:lineRule="auto"/>
        <w:ind w:firstLine="482" w:firstLineChars="200"/>
        <w:textAlignment w:val="auto"/>
        <w:rPr>
          <w:rFonts w:hint="eastAsia" w:ascii="宋体" w:hAnsi="宋体" w:eastAsia="宋体" w:cs="宋体"/>
          <w:color w:val="auto"/>
          <w:u w:val="single"/>
        </w:rPr>
      </w:pPr>
      <w:r>
        <w:rPr>
          <w:rFonts w:hint="eastAsia" w:ascii="宋体" w:hAnsi="宋体" w:eastAsia="宋体" w:cs="宋体"/>
          <w:b/>
          <w:color w:val="auto"/>
          <w:u w:val="single"/>
        </w:rPr>
        <w:t>公园性质：</w:t>
      </w:r>
      <w:r>
        <w:rPr>
          <w:rFonts w:hint="eastAsia" w:ascii="宋体" w:hAnsi="宋体" w:eastAsia="宋体" w:cs="宋体"/>
          <w:color w:val="auto"/>
          <w:u w:val="single"/>
        </w:rPr>
        <w:t>以丰富的森林景观、奇幻的地质地貌景观、博大精深的佛教文化、独特的温泉资源为特色，以保护森林风景资源和生物多样性、普及生态文化知识、开展森林生态旅游为宗旨，充分考虑永顺县城居民文化和精神生活的需要，将公园建设成集自然资源保护、森林生态旅游、温泉疗养、休闲度假、佛教文化、生态文化建设等多功能于一体的公益性、综合性国家级森林公园。</w:t>
      </w:r>
    </w:p>
    <w:p>
      <w:pPr>
        <w:pageBreakBefore w:val="0"/>
        <w:kinsoku/>
        <w:wordWrap/>
        <w:overflowPunct/>
        <w:topLinePunct w:val="0"/>
        <w:autoSpaceDE/>
        <w:autoSpaceDN/>
        <w:bidi w:val="0"/>
        <w:snapToGrid w:val="0"/>
        <w:spacing w:line="360" w:lineRule="auto"/>
        <w:ind w:firstLine="482" w:firstLineChars="200"/>
        <w:textAlignment w:val="auto"/>
        <w:rPr>
          <w:rFonts w:hint="default" w:ascii="Times New Roman" w:hAnsi="Times New Roman" w:eastAsia="宋体" w:cs="Times New Roman"/>
          <w:color w:val="auto"/>
          <w:u w:val="single"/>
        </w:rPr>
      </w:pPr>
      <w:r>
        <w:rPr>
          <w:rFonts w:hint="eastAsia" w:ascii="宋体" w:hAnsi="宋体" w:eastAsia="宋体" w:cs="宋体"/>
          <w:b/>
          <w:color w:val="auto"/>
          <w:u w:val="single"/>
        </w:rPr>
        <w:t>公园范围：</w:t>
      </w:r>
      <w:r>
        <w:rPr>
          <w:rFonts w:hint="default" w:ascii="Times New Roman" w:hAnsi="Times New Roman" w:eastAsia="宋体" w:cs="Times New Roman"/>
          <w:color w:val="auto"/>
          <w:u w:val="single"/>
        </w:rPr>
        <w:t>分两大片，即不二门片和杉木河片，总面积5336.67公顷，其中不二门片2876.67公顷，分布在猛洞河两岸，北至不二门，南至牛路河与猛洞河的交汇处；杉木河片2460.0公顷，包括杉木河林场的全部。</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u w:val="single"/>
        </w:rPr>
      </w:pPr>
      <w:r>
        <w:rPr>
          <w:rFonts w:hint="default" w:ascii="Times New Roman" w:hAnsi="Times New Roman" w:eastAsia="宋体" w:cs="Times New Roman"/>
          <w:b/>
          <w:color w:val="auto"/>
          <w:u w:val="single"/>
        </w:rPr>
        <w:t>功能分区：</w:t>
      </w:r>
      <w:r>
        <w:rPr>
          <w:rFonts w:hint="default" w:ascii="Times New Roman" w:hAnsi="Times New Roman" w:eastAsia="宋体" w:cs="Times New Roman"/>
          <w:color w:val="auto"/>
          <w:u w:val="single"/>
        </w:rPr>
        <w:t>公园区划为核心景观区、一般游憩区、管理服务区和生态保育区 4 个功能区。详见表</w:t>
      </w:r>
      <w:r>
        <w:rPr>
          <w:rFonts w:hint="eastAsia" w:ascii="Times New Roman" w:hAnsi="Times New Roman" w:eastAsia="宋体" w:cs="Times New Roman"/>
          <w:color w:val="auto"/>
          <w:u w:val="single"/>
          <w:lang w:val="en-US" w:eastAsia="zh-CN"/>
        </w:rPr>
        <w:t>4.2-18</w:t>
      </w:r>
      <w:r>
        <w:rPr>
          <w:rFonts w:hint="default" w:ascii="Times New Roman" w:hAnsi="Times New Roman" w:eastAsia="宋体" w:cs="Times New Roman"/>
          <w:color w:val="auto"/>
          <w:u w:val="single"/>
        </w:rPr>
        <w:t>。</w:t>
      </w:r>
    </w:p>
    <w:p>
      <w:pPr>
        <w:pStyle w:val="103"/>
        <w:bidi w:val="0"/>
        <w:rPr>
          <w:rFonts w:hint="eastAsia" w:ascii="宋体" w:hAnsi="宋体" w:eastAsia="宋体" w:cs="宋体"/>
          <w:b/>
          <w:color w:val="auto"/>
          <w:u w:val="single"/>
        </w:rPr>
      </w:pPr>
      <w:r>
        <w:rPr>
          <w:rFonts w:hint="eastAsia"/>
          <w:color w:val="auto"/>
          <w:u w:val="single"/>
        </w:rPr>
        <w:t xml:space="preserve">表 </w:t>
      </w:r>
      <w:r>
        <w:rPr>
          <w:rFonts w:hint="eastAsia"/>
          <w:color w:val="auto"/>
          <w:u w:val="single"/>
          <w:lang w:val="en-US" w:eastAsia="zh-CN"/>
        </w:rPr>
        <w:t>4.2-18</w:t>
      </w:r>
      <w:r>
        <w:rPr>
          <w:rFonts w:hint="eastAsia"/>
          <w:color w:val="auto"/>
          <w:u w:val="single"/>
        </w:rPr>
        <w:t xml:space="preserve">  不二门国家级森林公园功能分区表</w:t>
      </w:r>
    </w:p>
    <w:tbl>
      <w:tblPr>
        <w:tblStyle w:val="36"/>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18"/>
        <w:gridCol w:w="2268"/>
        <w:gridCol w:w="2693"/>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noWrap w:val="0"/>
            <w:vAlign w:val="center"/>
          </w:tcPr>
          <w:p>
            <w:pPr>
              <w:pStyle w:val="120"/>
              <w:bidi w:val="0"/>
              <w:rPr>
                <w:rFonts w:hint="eastAsia"/>
                <w:color w:val="auto"/>
                <w:u w:val="single"/>
              </w:rPr>
            </w:pPr>
            <w:r>
              <w:rPr>
                <w:rFonts w:hint="eastAsia"/>
                <w:color w:val="auto"/>
                <w:u w:val="single"/>
              </w:rPr>
              <w:t>编号</w:t>
            </w:r>
          </w:p>
        </w:tc>
        <w:tc>
          <w:tcPr>
            <w:tcW w:w="1418" w:type="dxa"/>
            <w:noWrap w:val="0"/>
            <w:vAlign w:val="center"/>
          </w:tcPr>
          <w:p>
            <w:pPr>
              <w:pStyle w:val="120"/>
              <w:bidi w:val="0"/>
              <w:rPr>
                <w:rFonts w:hint="eastAsia"/>
                <w:color w:val="auto"/>
                <w:u w:val="single"/>
              </w:rPr>
            </w:pPr>
            <w:r>
              <w:rPr>
                <w:rFonts w:hint="eastAsia"/>
                <w:color w:val="auto"/>
                <w:u w:val="single"/>
              </w:rPr>
              <w:t>功能区类型</w:t>
            </w:r>
          </w:p>
        </w:tc>
        <w:tc>
          <w:tcPr>
            <w:tcW w:w="2268" w:type="dxa"/>
            <w:noWrap w:val="0"/>
            <w:vAlign w:val="center"/>
          </w:tcPr>
          <w:p>
            <w:pPr>
              <w:pStyle w:val="120"/>
              <w:bidi w:val="0"/>
              <w:rPr>
                <w:rFonts w:hint="eastAsia"/>
                <w:color w:val="auto"/>
                <w:u w:val="single"/>
              </w:rPr>
            </w:pPr>
            <w:r>
              <w:rPr>
                <w:rFonts w:hint="eastAsia"/>
                <w:color w:val="auto"/>
                <w:u w:val="single"/>
              </w:rPr>
              <w:t>功能区名称</w:t>
            </w:r>
          </w:p>
        </w:tc>
        <w:tc>
          <w:tcPr>
            <w:tcW w:w="2693" w:type="dxa"/>
            <w:noWrap w:val="0"/>
            <w:vAlign w:val="center"/>
          </w:tcPr>
          <w:p>
            <w:pPr>
              <w:pStyle w:val="120"/>
              <w:bidi w:val="0"/>
              <w:rPr>
                <w:rFonts w:hint="eastAsia"/>
                <w:color w:val="auto"/>
                <w:u w:val="single"/>
              </w:rPr>
            </w:pPr>
            <w:r>
              <w:rPr>
                <w:rFonts w:hint="eastAsia"/>
                <w:color w:val="auto"/>
                <w:u w:val="single"/>
              </w:rPr>
              <w:t>位置</w:t>
            </w:r>
          </w:p>
        </w:tc>
        <w:tc>
          <w:tcPr>
            <w:tcW w:w="1276" w:type="dxa"/>
            <w:noWrap w:val="0"/>
            <w:vAlign w:val="center"/>
          </w:tcPr>
          <w:p>
            <w:pPr>
              <w:pStyle w:val="120"/>
              <w:bidi w:val="0"/>
              <w:rPr>
                <w:rFonts w:hint="eastAsia"/>
                <w:color w:val="auto"/>
                <w:u w:val="single"/>
              </w:rPr>
            </w:pPr>
            <w:r>
              <w:rPr>
                <w:rFonts w:hint="eastAsia"/>
                <w:color w:val="auto"/>
                <w:u w:val="single"/>
              </w:rPr>
              <w:t>面积（ha）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noWrap w:val="0"/>
            <w:vAlign w:val="center"/>
          </w:tcPr>
          <w:p>
            <w:pPr>
              <w:pStyle w:val="120"/>
              <w:bidi w:val="0"/>
              <w:rPr>
                <w:rFonts w:hint="eastAsia"/>
                <w:color w:val="auto"/>
                <w:u w:val="single"/>
              </w:rPr>
            </w:pPr>
            <w:r>
              <w:rPr>
                <w:rFonts w:hint="eastAsia"/>
                <w:color w:val="auto"/>
                <w:u w:val="single"/>
              </w:rPr>
              <w:t>1</w:t>
            </w:r>
          </w:p>
        </w:tc>
        <w:tc>
          <w:tcPr>
            <w:tcW w:w="1418" w:type="dxa"/>
            <w:noWrap w:val="0"/>
            <w:vAlign w:val="center"/>
          </w:tcPr>
          <w:p>
            <w:pPr>
              <w:pStyle w:val="120"/>
              <w:bidi w:val="0"/>
              <w:rPr>
                <w:rFonts w:hint="eastAsia"/>
                <w:color w:val="auto"/>
                <w:u w:val="single"/>
              </w:rPr>
            </w:pPr>
            <w:r>
              <w:rPr>
                <w:rFonts w:hint="eastAsia"/>
                <w:color w:val="auto"/>
                <w:u w:val="single"/>
              </w:rPr>
              <w:t>核心景观区</w:t>
            </w:r>
          </w:p>
        </w:tc>
        <w:tc>
          <w:tcPr>
            <w:tcW w:w="2268" w:type="dxa"/>
            <w:noWrap w:val="0"/>
            <w:vAlign w:val="center"/>
          </w:tcPr>
          <w:p>
            <w:pPr>
              <w:pStyle w:val="120"/>
              <w:bidi w:val="0"/>
              <w:rPr>
                <w:rFonts w:hint="eastAsia"/>
                <w:color w:val="auto"/>
                <w:u w:val="single"/>
              </w:rPr>
            </w:pPr>
            <w:r>
              <w:rPr>
                <w:rFonts w:hint="eastAsia"/>
                <w:color w:val="auto"/>
                <w:u w:val="single"/>
              </w:rPr>
              <w:t>不二门市民公园</w:t>
            </w:r>
          </w:p>
        </w:tc>
        <w:tc>
          <w:tcPr>
            <w:tcW w:w="2693" w:type="dxa"/>
            <w:noWrap w:val="0"/>
            <w:vAlign w:val="center"/>
          </w:tcPr>
          <w:p>
            <w:pPr>
              <w:pStyle w:val="120"/>
              <w:bidi w:val="0"/>
              <w:rPr>
                <w:rFonts w:hint="eastAsia"/>
                <w:color w:val="auto"/>
                <w:u w:val="single"/>
              </w:rPr>
            </w:pPr>
            <w:r>
              <w:rPr>
                <w:rFonts w:hint="eastAsia"/>
                <w:color w:val="auto"/>
                <w:u w:val="single"/>
              </w:rPr>
              <w:t>北大门—净心池—不二门—观音庙—温泉</w:t>
            </w:r>
          </w:p>
        </w:tc>
        <w:tc>
          <w:tcPr>
            <w:tcW w:w="1276" w:type="dxa"/>
            <w:noWrap w:val="0"/>
            <w:vAlign w:val="center"/>
          </w:tcPr>
          <w:p>
            <w:pPr>
              <w:pStyle w:val="120"/>
              <w:bidi w:val="0"/>
              <w:rPr>
                <w:rFonts w:hint="eastAsia"/>
                <w:color w:val="auto"/>
                <w:u w:val="single"/>
              </w:rPr>
            </w:pPr>
            <w:r>
              <w:rPr>
                <w:rFonts w:hint="eastAsia"/>
                <w:color w:val="auto"/>
                <w:u w:val="single"/>
              </w:rPr>
              <w:t>60.80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noWrap w:val="0"/>
            <w:vAlign w:val="center"/>
          </w:tcPr>
          <w:p>
            <w:pPr>
              <w:pStyle w:val="120"/>
              <w:bidi w:val="0"/>
              <w:rPr>
                <w:rFonts w:hint="eastAsia"/>
                <w:color w:val="auto"/>
                <w:u w:val="single"/>
              </w:rPr>
            </w:pPr>
            <w:r>
              <w:rPr>
                <w:rFonts w:hint="eastAsia"/>
                <w:color w:val="auto"/>
                <w:u w:val="single"/>
              </w:rPr>
              <w:t>2</w:t>
            </w:r>
          </w:p>
        </w:tc>
        <w:tc>
          <w:tcPr>
            <w:tcW w:w="1418" w:type="dxa"/>
            <w:noWrap w:val="0"/>
            <w:vAlign w:val="center"/>
          </w:tcPr>
          <w:p>
            <w:pPr>
              <w:pStyle w:val="120"/>
              <w:bidi w:val="0"/>
              <w:rPr>
                <w:rFonts w:hint="eastAsia"/>
                <w:color w:val="auto"/>
                <w:u w:val="single"/>
              </w:rPr>
            </w:pPr>
            <w:r>
              <w:rPr>
                <w:rFonts w:hint="eastAsia"/>
                <w:color w:val="auto"/>
                <w:u w:val="single"/>
              </w:rPr>
              <w:t>一般游憩区</w:t>
            </w:r>
          </w:p>
        </w:tc>
        <w:tc>
          <w:tcPr>
            <w:tcW w:w="2268" w:type="dxa"/>
            <w:noWrap w:val="0"/>
            <w:vAlign w:val="center"/>
          </w:tcPr>
          <w:p>
            <w:pPr>
              <w:pStyle w:val="120"/>
              <w:bidi w:val="0"/>
              <w:rPr>
                <w:rFonts w:hint="eastAsia"/>
                <w:color w:val="auto"/>
                <w:u w:val="single"/>
              </w:rPr>
            </w:pPr>
            <w:r>
              <w:rPr>
                <w:rFonts w:hint="eastAsia"/>
                <w:color w:val="auto"/>
                <w:u w:val="single"/>
              </w:rPr>
              <w:t>杉木河森林游览区</w:t>
            </w:r>
          </w:p>
        </w:tc>
        <w:tc>
          <w:tcPr>
            <w:tcW w:w="2693" w:type="dxa"/>
            <w:noWrap w:val="0"/>
            <w:vAlign w:val="center"/>
          </w:tcPr>
          <w:p>
            <w:pPr>
              <w:pStyle w:val="120"/>
              <w:bidi w:val="0"/>
              <w:rPr>
                <w:rFonts w:hint="eastAsia"/>
                <w:color w:val="auto"/>
                <w:u w:val="single"/>
              </w:rPr>
            </w:pPr>
            <w:r>
              <w:rPr>
                <w:rFonts w:hint="eastAsia"/>
                <w:color w:val="auto"/>
                <w:u w:val="single"/>
              </w:rPr>
              <w:t>杉木河林场全部</w:t>
            </w:r>
          </w:p>
        </w:tc>
        <w:tc>
          <w:tcPr>
            <w:tcW w:w="1276" w:type="dxa"/>
            <w:noWrap w:val="0"/>
            <w:vAlign w:val="center"/>
          </w:tcPr>
          <w:p>
            <w:pPr>
              <w:pStyle w:val="120"/>
              <w:bidi w:val="0"/>
              <w:rPr>
                <w:rFonts w:hint="eastAsia"/>
                <w:color w:val="auto"/>
                <w:u w:val="single"/>
              </w:rPr>
            </w:pPr>
            <w:r>
              <w:rPr>
                <w:rFonts w:hint="eastAsia"/>
                <w:color w:val="auto"/>
                <w:u w:val="single"/>
              </w:rPr>
              <w:t>2455.80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Merge w:val="restart"/>
            <w:noWrap w:val="0"/>
            <w:vAlign w:val="center"/>
          </w:tcPr>
          <w:p>
            <w:pPr>
              <w:pStyle w:val="120"/>
              <w:bidi w:val="0"/>
              <w:rPr>
                <w:rFonts w:hint="eastAsia"/>
                <w:color w:val="auto"/>
                <w:u w:val="single"/>
              </w:rPr>
            </w:pPr>
            <w:r>
              <w:rPr>
                <w:rFonts w:hint="eastAsia"/>
                <w:color w:val="auto"/>
                <w:u w:val="single"/>
              </w:rPr>
              <w:t>3</w:t>
            </w:r>
          </w:p>
        </w:tc>
        <w:tc>
          <w:tcPr>
            <w:tcW w:w="1418" w:type="dxa"/>
            <w:vMerge w:val="restart"/>
            <w:noWrap w:val="0"/>
            <w:vAlign w:val="center"/>
          </w:tcPr>
          <w:p>
            <w:pPr>
              <w:pStyle w:val="120"/>
              <w:bidi w:val="0"/>
              <w:rPr>
                <w:rFonts w:hint="eastAsia"/>
                <w:color w:val="auto"/>
                <w:u w:val="single"/>
              </w:rPr>
            </w:pPr>
            <w:r>
              <w:rPr>
                <w:rFonts w:hint="eastAsia"/>
                <w:color w:val="auto"/>
                <w:u w:val="single"/>
              </w:rPr>
              <w:t>管理服务区</w:t>
            </w:r>
          </w:p>
        </w:tc>
        <w:tc>
          <w:tcPr>
            <w:tcW w:w="2268" w:type="dxa"/>
            <w:noWrap w:val="0"/>
            <w:vAlign w:val="center"/>
          </w:tcPr>
          <w:p>
            <w:pPr>
              <w:pStyle w:val="120"/>
              <w:bidi w:val="0"/>
              <w:rPr>
                <w:rFonts w:hint="eastAsia"/>
                <w:color w:val="auto"/>
                <w:u w:val="single"/>
              </w:rPr>
            </w:pPr>
            <w:r>
              <w:rPr>
                <w:rFonts w:hint="eastAsia"/>
                <w:color w:val="auto"/>
                <w:u w:val="single"/>
              </w:rPr>
              <w:t>不二门管理服务区</w:t>
            </w:r>
          </w:p>
        </w:tc>
        <w:tc>
          <w:tcPr>
            <w:tcW w:w="2693" w:type="dxa"/>
            <w:noWrap w:val="0"/>
            <w:vAlign w:val="center"/>
          </w:tcPr>
          <w:p>
            <w:pPr>
              <w:pStyle w:val="120"/>
              <w:bidi w:val="0"/>
              <w:rPr>
                <w:rFonts w:hint="eastAsia"/>
                <w:color w:val="auto"/>
                <w:u w:val="single"/>
              </w:rPr>
            </w:pPr>
            <w:r>
              <w:rPr>
                <w:rFonts w:hint="eastAsia"/>
                <w:color w:val="auto"/>
                <w:u w:val="single"/>
              </w:rPr>
              <w:t>不二门景区附近</w:t>
            </w:r>
          </w:p>
        </w:tc>
        <w:tc>
          <w:tcPr>
            <w:tcW w:w="1276" w:type="dxa"/>
            <w:noWrap w:val="0"/>
            <w:vAlign w:val="center"/>
          </w:tcPr>
          <w:p>
            <w:pPr>
              <w:pStyle w:val="120"/>
              <w:bidi w:val="0"/>
              <w:rPr>
                <w:rFonts w:hint="eastAsia"/>
                <w:color w:val="auto"/>
                <w:u w:val="single"/>
              </w:rPr>
            </w:pPr>
            <w:r>
              <w:rPr>
                <w:rFonts w:hint="eastAsia"/>
                <w:color w:val="auto"/>
                <w:u w:val="single"/>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Merge w:val="continue"/>
            <w:noWrap w:val="0"/>
            <w:vAlign w:val="center"/>
          </w:tcPr>
          <w:p>
            <w:pPr>
              <w:pStyle w:val="120"/>
              <w:bidi w:val="0"/>
              <w:rPr>
                <w:rFonts w:hint="eastAsia"/>
                <w:color w:val="auto"/>
                <w:u w:val="single"/>
              </w:rPr>
            </w:pPr>
          </w:p>
        </w:tc>
        <w:tc>
          <w:tcPr>
            <w:tcW w:w="1418" w:type="dxa"/>
            <w:vMerge w:val="continue"/>
            <w:noWrap w:val="0"/>
            <w:vAlign w:val="center"/>
          </w:tcPr>
          <w:p>
            <w:pPr>
              <w:pStyle w:val="120"/>
              <w:bidi w:val="0"/>
              <w:rPr>
                <w:rFonts w:hint="eastAsia"/>
                <w:color w:val="auto"/>
                <w:u w:val="single"/>
              </w:rPr>
            </w:pPr>
          </w:p>
        </w:tc>
        <w:tc>
          <w:tcPr>
            <w:tcW w:w="2268" w:type="dxa"/>
            <w:noWrap w:val="0"/>
            <w:vAlign w:val="center"/>
          </w:tcPr>
          <w:p>
            <w:pPr>
              <w:pStyle w:val="120"/>
              <w:bidi w:val="0"/>
              <w:rPr>
                <w:rFonts w:hint="eastAsia"/>
                <w:color w:val="auto"/>
                <w:u w:val="single"/>
              </w:rPr>
            </w:pPr>
            <w:r>
              <w:rPr>
                <w:rFonts w:hint="eastAsia"/>
                <w:color w:val="auto"/>
                <w:u w:val="single"/>
              </w:rPr>
              <w:t>杉木河管理服务区</w:t>
            </w:r>
          </w:p>
        </w:tc>
        <w:tc>
          <w:tcPr>
            <w:tcW w:w="2693" w:type="dxa"/>
            <w:noWrap w:val="0"/>
            <w:vAlign w:val="center"/>
          </w:tcPr>
          <w:p>
            <w:pPr>
              <w:pStyle w:val="120"/>
              <w:bidi w:val="0"/>
              <w:rPr>
                <w:rFonts w:hint="eastAsia"/>
                <w:color w:val="auto"/>
                <w:u w:val="single"/>
              </w:rPr>
            </w:pPr>
            <w:r>
              <w:rPr>
                <w:rFonts w:hint="eastAsia"/>
                <w:color w:val="auto"/>
                <w:u w:val="single"/>
              </w:rPr>
              <w:t>杉木河林场场部</w:t>
            </w:r>
          </w:p>
        </w:tc>
        <w:tc>
          <w:tcPr>
            <w:tcW w:w="1276" w:type="dxa"/>
            <w:noWrap w:val="0"/>
            <w:vAlign w:val="center"/>
          </w:tcPr>
          <w:p>
            <w:pPr>
              <w:pStyle w:val="120"/>
              <w:bidi w:val="0"/>
              <w:rPr>
                <w:rFonts w:hint="eastAsia"/>
                <w:color w:val="auto"/>
                <w:u w:val="single"/>
              </w:rPr>
            </w:pPr>
            <w:r>
              <w:rPr>
                <w:rFonts w:hint="eastAsia"/>
                <w:color w:val="auto"/>
                <w:u w:val="single"/>
              </w:rPr>
              <w:t>4.20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noWrap w:val="0"/>
            <w:vAlign w:val="center"/>
          </w:tcPr>
          <w:p>
            <w:pPr>
              <w:pStyle w:val="120"/>
              <w:bidi w:val="0"/>
              <w:rPr>
                <w:rFonts w:hint="eastAsia"/>
                <w:color w:val="auto"/>
                <w:u w:val="single"/>
              </w:rPr>
            </w:pPr>
            <w:r>
              <w:rPr>
                <w:rFonts w:hint="eastAsia"/>
                <w:color w:val="auto"/>
                <w:u w:val="single"/>
              </w:rPr>
              <w:t>4</w:t>
            </w:r>
          </w:p>
        </w:tc>
        <w:tc>
          <w:tcPr>
            <w:tcW w:w="1418" w:type="dxa"/>
            <w:noWrap w:val="0"/>
            <w:vAlign w:val="center"/>
          </w:tcPr>
          <w:p>
            <w:pPr>
              <w:pStyle w:val="120"/>
              <w:bidi w:val="0"/>
              <w:rPr>
                <w:rFonts w:hint="eastAsia"/>
                <w:color w:val="auto"/>
                <w:u w:val="single"/>
                <w:lang w:val="en-US" w:eastAsia="zh-CN"/>
              </w:rPr>
            </w:pPr>
            <w:r>
              <w:rPr>
                <w:rFonts w:hint="eastAsia"/>
                <w:color w:val="auto"/>
                <w:u w:val="single"/>
              </w:rPr>
              <w:t>生态保育区</w:t>
            </w:r>
            <w:r>
              <w:rPr>
                <w:rFonts w:hint="eastAsia"/>
                <w:color w:val="auto"/>
                <w:u w:val="single"/>
                <w:lang w:val="en-US" w:eastAsia="zh-CN"/>
              </w:rPr>
              <w:t>*</w:t>
            </w:r>
          </w:p>
        </w:tc>
        <w:tc>
          <w:tcPr>
            <w:tcW w:w="2268" w:type="dxa"/>
            <w:noWrap w:val="0"/>
            <w:vAlign w:val="center"/>
          </w:tcPr>
          <w:p>
            <w:pPr>
              <w:pStyle w:val="120"/>
              <w:bidi w:val="0"/>
              <w:rPr>
                <w:rFonts w:hint="eastAsia"/>
                <w:color w:val="auto"/>
                <w:u w:val="single"/>
              </w:rPr>
            </w:pPr>
            <w:r>
              <w:rPr>
                <w:rFonts w:hint="eastAsia"/>
                <w:color w:val="auto"/>
                <w:u w:val="single"/>
              </w:rPr>
              <w:t>官河生态保育区</w:t>
            </w:r>
          </w:p>
        </w:tc>
        <w:tc>
          <w:tcPr>
            <w:tcW w:w="2693" w:type="dxa"/>
            <w:noWrap w:val="0"/>
            <w:vAlign w:val="center"/>
          </w:tcPr>
          <w:p>
            <w:pPr>
              <w:pStyle w:val="120"/>
              <w:bidi w:val="0"/>
              <w:rPr>
                <w:rFonts w:hint="eastAsia"/>
                <w:color w:val="auto"/>
                <w:u w:val="single"/>
              </w:rPr>
            </w:pPr>
            <w:r>
              <w:rPr>
                <w:rFonts w:hint="eastAsia"/>
                <w:color w:val="auto"/>
                <w:u w:val="single"/>
              </w:rPr>
              <w:t>不二门景区南部猛洞河官河段</w:t>
            </w:r>
          </w:p>
        </w:tc>
        <w:tc>
          <w:tcPr>
            <w:tcW w:w="1276" w:type="dxa"/>
            <w:noWrap w:val="0"/>
            <w:vAlign w:val="center"/>
          </w:tcPr>
          <w:p>
            <w:pPr>
              <w:pStyle w:val="120"/>
              <w:bidi w:val="0"/>
              <w:rPr>
                <w:rFonts w:hint="eastAsia"/>
                <w:color w:val="auto"/>
                <w:u w:val="single"/>
              </w:rPr>
            </w:pPr>
            <w:r>
              <w:rPr>
                <w:rFonts w:hint="eastAsia"/>
                <w:color w:val="auto"/>
                <w:u w:val="single"/>
              </w:rPr>
              <w:t>2807.87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noWrap w:val="0"/>
            <w:vAlign w:val="center"/>
          </w:tcPr>
          <w:p>
            <w:pPr>
              <w:pStyle w:val="120"/>
              <w:bidi w:val="0"/>
              <w:rPr>
                <w:rFonts w:hint="eastAsia"/>
                <w:color w:val="auto"/>
                <w:u w:val="single"/>
              </w:rPr>
            </w:pPr>
          </w:p>
        </w:tc>
        <w:tc>
          <w:tcPr>
            <w:tcW w:w="6379" w:type="dxa"/>
            <w:gridSpan w:val="3"/>
            <w:noWrap w:val="0"/>
            <w:vAlign w:val="center"/>
          </w:tcPr>
          <w:p>
            <w:pPr>
              <w:pStyle w:val="120"/>
              <w:bidi w:val="0"/>
              <w:rPr>
                <w:rFonts w:hint="eastAsia"/>
                <w:color w:val="auto"/>
                <w:u w:val="single"/>
              </w:rPr>
            </w:pPr>
            <w:r>
              <w:rPr>
                <w:rFonts w:hint="eastAsia"/>
                <w:color w:val="auto"/>
                <w:u w:val="single"/>
              </w:rPr>
              <w:t>合计</w:t>
            </w:r>
          </w:p>
        </w:tc>
        <w:tc>
          <w:tcPr>
            <w:tcW w:w="1276" w:type="dxa"/>
            <w:noWrap w:val="0"/>
            <w:vAlign w:val="center"/>
          </w:tcPr>
          <w:p>
            <w:pPr>
              <w:pStyle w:val="120"/>
              <w:bidi w:val="0"/>
              <w:rPr>
                <w:rFonts w:hint="eastAsia"/>
                <w:color w:val="auto"/>
                <w:u w:val="single"/>
              </w:rPr>
            </w:pPr>
            <w:r>
              <w:rPr>
                <w:rFonts w:hint="eastAsia"/>
                <w:color w:val="auto"/>
                <w:u w:val="single"/>
              </w:rPr>
              <w:t>5336.67</w:t>
            </w:r>
          </w:p>
        </w:tc>
      </w:tr>
    </w:tbl>
    <w:p>
      <w:pPr>
        <w:snapToGrid w:val="0"/>
        <w:spacing w:line="360" w:lineRule="auto"/>
        <w:ind w:firstLine="480" w:firstLineChars="200"/>
        <w:rPr>
          <w:rFonts w:hint="eastAsia" w:ascii="宋体" w:hAnsi="宋体" w:eastAsia="宋体" w:cs="宋体"/>
          <w:color w:val="auto"/>
          <w:u w:val="single"/>
        </w:rPr>
      </w:pPr>
      <w:r>
        <w:rPr>
          <w:rFonts w:hint="eastAsia" w:ascii="宋体" w:hAnsi="宋体" w:eastAsia="宋体" w:cs="宋体"/>
          <w:color w:val="auto"/>
          <w:u w:val="single"/>
          <w:lang w:val="en-US" w:eastAsia="zh-CN"/>
        </w:rPr>
        <w:t>*——</w:t>
      </w:r>
      <w:r>
        <w:rPr>
          <w:rFonts w:hint="eastAsia" w:ascii="宋体" w:hAnsi="宋体" w:eastAsia="宋体" w:cs="宋体"/>
          <w:color w:val="auto"/>
          <w:u w:val="single"/>
        </w:rPr>
        <w:t>本规划期暂不进行旅游开发，以生态保育为主。</w:t>
      </w:r>
    </w:p>
    <w:p>
      <w:pPr>
        <w:bidi w:val="0"/>
        <w:rPr>
          <w:rFonts w:hint="eastAsia" w:ascii="宋体" w:hAnsi="宋体" w:eastAsia="宋体" w:cs="宋体"/>
          <w:color w:val="auto"/>
          <w:u w:val="single"/>
        </w:rPr>
      </w:pPr>
      <w:r>
        <w:rPr>
          <w:rFonts w:hint="eastAsia" w:ascii="宋体" w:hAnsi="宋体" w:eastAsia="宋体" w:cs="宋体"/>
          <w:b/>
          <w:color w:val="auto"/>
          <w:u w:val="single"/>
        </w:rPr>
        <w:t>资源与环境保护规划：</w:t>
      </w:r>
      <w:r>
        <w:rPr>
          <w:rFonts w:hint="eastAsia" w:ascii="宋体" w:hAnsi="宋体" w:eastAsia="宋体" w:cs="宋体"/>
          <w:color w:val="auto"/>
          <w:u w:val="single"/>
        </w:rPr>
        <w:t>不二门国家级森林公园重点森林风景资源集中在不二门市民公园，由地文景观、水文景观、生物资源景观、人文景观等多种景观资源组成。对核心景区实施绝对保护，对一般游憩区和生态保育区实施严格保护，对管理服务区实施一般保护；保护管理要密切社区关系，帮助、扶持社区居民开展可持续发展项目，发展社区经济，实现保护区与社区和谐协调发展，与社区干群一道共同保护管理好不二门国家级森林公园。</w:t>
      </w:r>
    </w:p>
    <w:p>
      <w:pPr>
        <w:bidi w:val="0"/>
        <w:jc w:val="both"/>
        <w:rPr>
          <w:rFonts w:hint="default" w:ascii="Times New Roman" w:hAnsi="Times New Roman" w:eastAsia="宋体" w:cs="Times New Roman"/>
          <w:u w:val="single"/>
          <w:lang w:val="en-US" w:eastAsia="zh-CN"/>
        </w:rPr>
      </w:pPr>
      <w:r>
        <w:rPr>
          <w:rFonts w:hint="default" w:ascii="Times New Roman" w:hAnsi="Times New Roman" w:eastAsia="宋体" w:cs="Times New Roman"/>
          <w:color w:val="auto"/>
          <w:u w:val="single"/>
          <w:lang w:eastAsia="zh-CN"/>
        </w:rPr>
        <w:t>本项目排污管道</w:t>
      </w:r>
      <w:r>
        <w:rPr>
          <w:rFonts w:hint="default" w:ascii="Times New Roman" w:hAnsi="Times New Roman" w:eastAsia="宋体" w:cs="Times New Roman"/>
          <w:color w:val="auto"/>
          <w:u w:val="single"/>
          <w:lang w:val="en-US" w:eastAsia="zh-CN"/>
        </w:rPr>
        <w:t>300m及排污口位于</w:t>
      </w:r>
      <w:r>
        <w:rPr>
          <w:rFonts w:hint="default" w:ascii="Times New Roman" w:hAnsi="Times New Roman" w:cs="Times New Roman"/>
          <w:u w:val="single"/>
          <w:lang w:val="en-US" w:eastAsia="zh-CN"/>
        </w:rPr>
        <w:t>湖南永顺不二门国家级森林公园保育区，相关符合性分析详见本报告概述中“3、</w:t>
      </w:r>
      <w:r>
        <w:rPr>
          <w:rFonts w:hint="default" w:ascii="Times New Roman" w:hAnsi="Times New Roman" w:cs="Times New Roman"/>
          <w:color w:val="auto"/>
          <w:kern w:val="0"/>
          <w:u w:val="single"/>
        </w:rPr>
        <w:t>分析判定相关情况</w:t>
      </w:r>
      <w:r>
        <w:rPr>
          <w:rFonts w:hint="default" w:ascii="Times New Roman" w:hAnsi="Times New Roman" w:cs="Times New Roman"/>
          <w:u w:val="single"/>
          <w:lang w:val="en-US" w:eastAsia="zh-CN"/>
        </w:rPr>
        <w:t>”部分。</w:t>
      </w:r>
    </w:p>
    <w:p>
      <w:pPr>
        <w:bidi w:val="0"/>
        <w:jc w:val="both"/>
        <w:rPr>
          <w:rFonts w:hint="eastAsia" w:eastAsia="宋体"/>
          <w:u w:val="single"/>
          <w:lang w:val="en-US" w:eastAsia="zh-CN"/>
        </w:rPr>
      </w:pPr>
      <w:r>
        <w:rPr>
          <w:rFonts w:hint="eastAsia"/>
          <w:u w:val="single"/>
          <w:lang w:val="en-US" w:eastAsia="zh-CN"/>
        </w:rPr>
        <w:t>2）猛洞河国家级风景名胜区概况</w:t>
      </w:r>
    </w:p>
    <w:p>
      <w:pPr>
        <w:pageBreakBefore w:val="0"/>
        <w:widowControl/>
        <w:kinsoku/>
        <w:wordWrap/>
        <w:overflowPunct/>
        <w:topLinePunct w:val="0"/>
        <w:autoSpaceDE/>
        <w:autoSpaceDN/>
        <w:bidi w:val="0"/>
        <w:adjustRightInd w:val="0"/>
        <w:snapToGrid w:val="0"/>
        <w:spacing w:line="360" w:lineRule="auto"/>
        <w:ind w:firstLine="506" w:firstLineChars="200"/>
        <w:jc w:val="both"/>
        <w:textAlignment w:val="auto"/>
        <w:rPr>
          <w:rFonts w:hint="eastAsia" w:ascii="宋体" w:hAnsi="宋体" w:eastAsia="宋体" w:cs="宋体"/>
          <w:color w:val="auto"/>
          <w:u w:val="single"/>
        </w:rPr>
      </w:pPr>
      <w:r>
        <w:rPr>
          <w:rFonts w:hint="eastAsia" w:ascii="宋体" w:hAnsi="宋体" w:eastAsia="宋体" w:cs="宋体"/>
          <w:b/>
          <w:bCs/>
          <w:color w:val="auto"/>
          <w:spacing w:val="6"/>
          <w:u w:val="single"/>
        </w:rPr>
        <w:t>规划时段：</w:t>
      </w:r>
      <w:r>
        <w:rPr>
          <w:rStyle w:val="123"/>
          <w:rFonts w:hint="eastAsia" w:ascii="宋体" w:hAnsi="宋体" w:eastAsia="宋体" w:cs="宋体"/>
          <w:color w:val="auto"/>
          <w:u w:val="single"/>
        </w:rPr>
        <w:t>划期限为2011-2025年。其中：近期为2011年-2015年；中期为2016年-2020年；远期为2021年-2025年。</w:t>
      </w:r>
    </w:p>
    <w:p>
      <w:pPr>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Style w:val="123"/>
          <w:rFonts w:hint="eastAsia" w:ascii="宋体" w:hAnsi="宋体" w:eastAsia="宋体" w:cs="宋体"/>
          <w:bCs/>
          <w:color w:val="auto"/>
          <w:u w:val="single"/>
        </w:rPr>
      </w:pPr>
      <w:r>
        <w:rPr>
          <w:rStyle w:val="123"/>
          <w:rFonts w:hint="eastAsia" w:ascii="宋体" w:hAnsi="宋体" w:eastAsia="宋体" w:cs="宋体"/>
          <w:b/>
          <w:bCs/>
          <w:color w:val="auto"/>
          <w:u w:val="single"/>
        </w:rPr>
        <w:t>风景区范围：</w:t>
      </w:r>
      <w:r>
        <w:rPr>
          <w:rStyle w:val="123"/>
          <w:rFonts w:hint="eastAsia" w:ascii="宋体" w:hAnsi="宋体" w:eastAsia="宋体" w:cs="宋体"/>
          <w:bCs/>
          <w:color w:val="auto"/>
          <w:u w:val="single"/>
        </w:rPr>
        <w:t>包括司河北起吊井岩南到猛洞河口总长45.5公里的河道及其两岸较高山脊线的区域；猛洞河北起海螺电站南到酉水河口总长23.7公里的河道及其两岸较高山脊线的区域；酉水河西起龙头峡东到老王村大桥总长16.4公里的河道及其两岸较高山脊线的区域，包括王村古镇镇区、牛角岩、花果山等区域。风景区总面积226平方公里。</w:t>
      </w:r>
    </w:p>
    <w:p>
      <w:pPr>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eastAsia" w:ascii="宋体" w:hAnsi="宋体" w:eastAsia="宋体" w:cs="宋体"/>
          <w:bCs/>
          <w:color w:val="auto"/>
          <w:u w:val="single"/>
        </w:rPr>
      </w:pPr>
      <w:r>
        <w:rPr>
          <w:rStyle w:val="123"/>
          <w:rFonts w:hint="eastAsia" w:ascii="宋体" w:hAnsi="宋体" w:eastAsia="宋体" w:cs="宋体"/>
          <w:b/>
          <w:color w:val="auto"/>
          <w:u w:val="single"/>
        </w:rPr>
        <w:t>外围保护区范围：</w:t>
      </w:r>
      <w:r>
        <w:rPr>
          <w:rStyle w:val="123"/>
          <w:rFonts w:hint="eastAsia" w:ascii="宋体" w:hAnsi="宋体" w:eastAsia="宋体" w:cs="宋体"/>
          <w:color w:val="auto"/>
          <w:u w:val="single"/>
        </w:rPr>
        <w:t>风景区西边大致沿灵溪镇至老司城及老司城至抚志的公路南下，包括“万马归朝”所指的大部分山体；风景区东边大致到张罗公路；猛洞河从海螺电站到不二门国家森林公园的河道及两岸区域；无公路限定区域以风景区界线外侧最近的山头或界线外500-1000m范围线为界，总面积约170平方公里。</w:t>
      </w:r>
    </w:p>
    <w:p>
      <w:pPr>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eastAsia" w:ascii="宋体" w:hAnsi="宋体" w:eastAsia="宋体" w:cs="宋体"/>
          <w:bCs/>
          <w:color w:val="auto"/>
          <w:u w:val="single"/>
        </w:rPr>
      </w:pPr>
      <w:r>
        <w:rPr>
          <w:rStyle w:val="123"/>
          <w:rFonts w:hint="eastAsia" w:ascii="宋体" w:hAnsi="宋体" w:eastAsia="宋体" w:cs="宋体"/>
          <w:b/>
          <w:color w:val="auto"/>
          <w:u w:val="single"/>
        </w:rPr>
        <w:t>功能分区：</w:t>
      </w:r>
      <w:r>
        <w:rPr>
          <w:rStyle w:val="123"/>
          <w:rFonts w:hint="eastAsia" w:ascii="宋体" w:hAnsi="宋体" w:eastAsia="宋体" w:cs="宋体"/>
          <w:color w:val="auto"/>
          <w:u w:val="single"/>
        </w:rPr>
        <w:t>规划将猛洞河风景名胜区分成八大功能区，分别是自生桥生态区、老司城古文化探源区、司河漂流探险区、猴儿跳动植物生态科考区、仙女峡绝壁观光游览区、猛洞河峡谷观光游览区、酉水河风光游览区、王村古镇风情体验区。</w:t>
      </w:r>
    </w:p>
    <w:p>
      <w:pPr>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eastAsia" w:ascii="宋体" w:hAnsi="宋体" w:eastAsia="宋体" w:cs="宋体"/>
          <w:color w:val="auto"/>
          <w:sz w:val="18"/>
          <w:szCs w:val="18"/>
          <w:u w:val="single"/>
        </w:rPr>
      </w:pPr>
      <w:r>
        <w:rPr>
          <w:rStyle w:val="123"/>
          <w:rFonts w:hint="eastAsia" w:ascii="宋体" w:hAnsi="宋体" w:eastAsia="宋体" w:cs="宋体"/>
          <w:b/>
          <w:color w:val="auto"/>
          <w:u w:val="single"/>
        </w:rPr>
        <w:t>布局结构：</w:t>
      </w:r>
      <w:r>
        <w:rPr>
          <w:rStyle w:val="123"/>
          <w:rFonts w:hint="eastAsia" w:ascii="宋体" w:hAnsi="宋体" w:eastAsia="宋体" w:cs="宋体"/>
          <w:color w:val="auto"/>
          <w:u w:val="single"/>
        </w:rPr>
        <w:t>风景区在总体布局结构上呈现出“一线串四珠”的形态。</w:t>
      </w:r>
    </w:p>
    <w:p>
      <w:pPr>
        <w:pageBreakBefore w:val="0"/>
        <w:widowControl/>
        <w:kinsoku/>
        <w:wordWrap/>
        <w:overflowPunct/>
        <w:topLinePunct w:val="0"/>
        <w:autoSpaceDE/>
        <w:autoSpaceDN/>
        <w:bidi w:val="0"/>
        <w:adjustRightInd w:val="0"/>
        <w:snapToGrid w:val="0"/>
        <w:spacing w:line="360" w:lineRule="auto"/>
        <w:ind w:firstLine="420"/>
        <w:jc w:val="both"/>
        <w:textAlignment w:val="auto"/>
        <w:rPr>
          <w:rFonts w:hint="eastAsia" w:ascii="宋体" w:hAnsi="宋体" w:eastAsia="宋体" w:cs="宋体"/>
          <w:color w:val="auto"/>
          <w:u w:val="single"/>
        </w:rPr>
      </w:pPr>
      <w:r>
        <w:rPr>
          <w:rStyle w:val="123"/>
          <w:rFonts w:hint="eastAsia" w:ascii="宋体" w:hAnsi="宋体" w:eastAsia="宋体" w:cs="宋体"/>
          <w:color w:val="auto"/>
          <w:u w:val="single"/>
        </w:rPr>
        <w:t>“一线”--指司河、猛洞河、酉水河构成的河道线。司河自北而下汇入猛洞河，猛洞河自北而下汇入酉水河，全线长74.9公里。</w:t>
      </w:r>
    </w:p>
    <w:p>
      <w:pPr>
        <w:pageBreakBefore w:val="0"/>
        <w:widowControl/>
        <w:kinsoku/>
        <w:wordWrap/>
        <w:overflowPunct/>
        <w:topLinePunct w:val="0"/>
        <w:autoSpaceDE/>
        <w:autoSpaceDN/>
        <w:bidi w:val="0"/>
        <w:adjustRightInd w:val="0"/>
        <w:snapToGrid w:val="0"/>
        <w:spacing w:line="360" w:lineRule="auto"/>
        <w:ind w:firstLine="480"/>
        <w:jc w:val="both"/>
        <w:textAlignment w:val="auto"/>
        <w:rPr>
          <w:rStyle w:val="123"/>
          <w:rFonts w:hint="eastAsia" w:ascii="宋体" w:hAnsi="宋体" w:eastAsia="宋体" w:cs="宋体"/>
          <w:color w:val="auto"/>
          <w:u w:val="single"/>
        </w:rPr>
      </w:pPr>
      <w:r>
        <w:rPr>
          <w:rStyle w:val="123"/>
          <w:rFonts w:hint="eastAsia" w:ascii="宋体" w:hAnsi="宋体" w:eastAsia="宋体" w:cs="宋体"/>
          <w:color w:val="auto"/>
          <w:u w:val="single"/>
        </w:rPr>
        <w:t>“四珠”--即四个景区。自北到南分别为老司城景区、司河景区、猴儿跳景区、王村景区。</w:t>
      </w:r>
    </w:p>
    <w:p>
      <w:pPr>
        <w:pageBreakBefore w:val="0"/>
        <w:widowControl/>
        <w:kinsoku/>
        <w:wordWrap/>
        <w:overflowPunct/>
        <w:topLinePunct w:val="0"/>
        <w:autoSpaceDE/>
        <w:autoSpaceDN/>
        <w:bidi w:val="0"/>
        <w:adjustRightInd w:val="0"/>
        <w:snapToGrid w:val="0"/>
        <w:spacing w:line="360" w:lineRule="auto"/>
        <w:ind w:firstLine="420"/>
        <w:jc w:val="both"/>
        <w:textAlignment w:val="auto"/>
        <w:rPr>
          <w:rStyle w:val="123"/>
          <w:rFonts w:hint="eastAsia" w:ascii="宋体" w:hAnsi="宋体" w:eastAsia="宋体" w:cs="宋体"/>
          <w:color w:val="auto"/>
          <w:u w:val="single"/>
        </w:rPr>
      </w:pPr>
      <w:r>
        <w:rPr>
          <w:rStyle w:val="123"/>
          <w:rFonts w:hint="eastAsia" w:ascii="宋体" w:hAnsi="宋体" w:eastAsia="宋体" w:cs="宋体"/>
          <w:b/>
          <w:color w:val="auto"/>
          <w:u w:val="single"/>
        </w:rPr>
        <w:t>景区保护规划:</w:t>
      </w:r>
      <w:r>
        <w:rPr>
          <w:rStyle w:val="123"/>
          <w:rFonts w:hint="eastAsia" w:ascii="宋体" w:hAnsi="宋体" w:eastAsia="宋体" w:cs="宋体"/>
          <w:color w:val="auto"/>
          <w:u w:val="single"/>
        </w:rPr>
        <w:t>规划将风景区划分为一级保护区、二级保护区、三级保护区、外围保护区等四个区域，</w:t>
      </w:r>
      <w:r>
        <w:rPr>
          <w:rStyle w:val="123"/>
          <w:rFonts w:hint="eastAsia" w:ascii="宋体" w:hAnsi="宋体" w:eastAsia="宋体" w:cs="宋体"/>
          <w:b/>
          <w:color w:val="auto"/>
          <w:u w:val="single"/>
        </w:rPr>
        <w:t>其中前三项属于风景区范围，外围保护区在风景区范围之外。</w:t>
      </w:r>
      <w:r>
        <w:rPr>
          <w:rStyle w:val="123"/>
          <w:rFonts w:hint="eastAsia" w:ascii="宋体" w:hAnsi="宋体" w:eastAsia="宋体" w:cs="宋体"/>
          <w:color w:val="auto"/>
          <w:u w:val="single"/>
        </w:rPr>
        <w:t>具体范围和控制要求见表</w:t>
      </w:r>
      <w:r>
        <w:rPr>
          <w:rStyle w:val="123"/>
          <w:rFonts w:hint="eastAsia" w:ascii="宋体" w:hAnsi="宋体" w:eastAsia="宋体" w:cs="宋体"/>
          <w:color w:val="auto"/>
          <w:u w:val="single"/>
          <w:lang w:val="en-US" w:eastAsia="zh-CN"/>
        </w:rPr>
        <w:t>4.2-19</w:t>
      </w:r>
      <w:r>
        <w:rPr>
          <w:rStyle w:val="123"/>
          <w:rFonts w:hint="eastAsia" w:ascii="宋体" w:hAnsi="宋体" w:eastAsia="宋体" w:cs="宋体"/>
          <w:color w:val="auto"/>
          <w:u w:val="single"/>
        </w:rPr>
        <w:t>。</w:t>
      </w:r>
    </w:p>
    <w:p>
      <w:pPr>
        <w:shd w:val="clear" w:color="auto" w:fill="FFFDF9"/>
        <w:spacing w:line="240" w:lineRule="auto"/>
        <w:jc w:val="center"/>
        <w:rPr>
          <w:rFonts w:hint="eastAsia" w:ascii="宋体" w:hAnsi="宋体" w:eastAsia="宋体" w:cs="宋体"/>
          <w:b/>
          <w:color w:val="auto"/>
          <w:u w:val="single"/>
        </w:rPr>
      </w:pPr>
      <w:r>
        <w:rPr>
          <w:rFonts w:hint="eastAsia" w:ascii="宋体" w:hAnsi="宋体" w:eastAsia="宋体" w:cs="宋体"/>
          <w:b/>
          <w:color w:val="auto"/>
          <w:u w:val="single"/>
        </w:rPr>
        <w:t>表</w:t>
      </w:r>
      <w:r>
        <w:rPr>
          <w:rFonts w:hint="eastAsia" w:ascii="宋体" w:hAnsi="宋体" w:eastAsia="宋体" w:cs="宋体"/>
          <w:b/>
          <w:color w:val="auto"/>
          <w:u w:val="single"/>
          <w:lang w:val="en-US" w:eastAsia="zh-CN"/>
        </w:rPr>
        <w:t>4.2-19</w:t>
      </w:r>
      <w:r>
        <w:rPr>
          <w:rFonts w:hint="eastAsia" w:ascii="宋体" w:hAnsi="宋体" w:eastAsia="宋体" w:cs="宋体"/>
          <w:b/>
          <w:color w:val="auto"/>
          <w:u w:val="single"/>
        </w:rPr>
        <w:t xml:space="preserve"> 景区保护范围以及控制要求</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43"/>
        <w:gridCol w:w="4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28" w:type="dxa"/>
            <w:noWrap w:val="0"/>
            <w:vAlign w:val="center"/>
          </w:tcPr>
          <w:p>
            <w:pPr>
              <w:pStyle w:val="120"/>
              <w:bidi w:val="0"/>
              <w:rPr>
                <w:rFonts w:hint="eastAsia"/>
                <w:color w:val="auto"/>
                <w:u w:val="single"/>
              </w:rPr>
            </w:pPr>
            <w:r>
              <w:rPr>
                <w:rFonts w:hint="eastAsia"/>
                <w:color w:val="auto"/>
                <w:u w:val="single"/>
              </w:rPr>
              <w:t>类别</w:t>
            </w:r>
          </w:p>
        </w:tc>
        <w:tc>
          <w:tcPr>
            <w:tcW w:w="2843" w:type="dxa"/>
            <w:noWrap w:val="0"/>
            <w:vAlign w:val="center"/>
          </w:tcPr>
          <w:p>
            <w:pPr>
              <w:pStyle w:val="120"/>
              <w:bidi w:val="0"/>
              <w:rPr>
                <w:rFonts w:hint="eastAsia"/>
                <w:color w:val="auto"/>
                <w:u w:val="single"/>
              </w:rPr>
            </w:pPr>
            <w:r>
              <w:rPr>
                <w:rFonts w:hint="eastAsia"/>
                <w:color w:val="auto"/>
                <w:u w:val="single"/>
              </w:rPr>
              <w:t>保护区域</w:t>
            </w:r>
          </w:p>
        </w:tc>
        <w:tc>
          <w:tcPr>
            <w:tcW w:w="4897" w:type="dxa"/>
            <w:noWrap w:val="0"/>
            <w:vAlign w:val="center"/>
          </w:tcPr>
          <w:p>
            <w:pPr>
              <w:pStyle w:val="120"/>
              <w:bidi w:val="0"/>
              <w:rPr>
                <w:rFonts w:hint="eastAsia"/>
                <w:color w:val="auto"/>
                <w:u w:val="single"/>
              </w:rPr>
            </w:pPr>
            <w:r>
              <w:rPr>
                <w:rFonts w:hint="eastAsia"/>
                <w:color w:val="auto"/>
                <w:u w:val="single"/>
              </w:rPr>
              <w:t>主要保护及控制要求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7" w:hRule="atLeast"/>
        </w:trPr>
        <w:tc>
          <w:tcPr>
            <w:tcW w:w="828" w:type="dxa"/>
            <w:noWrap w:val="0"/>
            <w:vAlign w:val="center"/>
          </w:tcPr>
          <w:p>
            <w:pPr>
              <w:pStyle w:val="120"/>
              <w:bidi w:val="0"/>
              <w:rPr>
                <w:rFonts w:hint="eastAsia"/>
                <w:color w:val="auto"/>
                <w:u w:val="single"/>
              </w:rPr>
            </w:pPr>
            <w:r>
              <w:rPr>
                <w:rFonts w:hint="eastAsia"/>
                <w:color w:val="auto"/>
                <w:u w:val="single"/>
              </w:rPr>
              <w:t>一级保护区</w:t>
            </w:r>
          </w:p>
        </w:tc>
        <w:tc>
          <w:tcPr>
            <w:tcW w:w="2843" w:type="dxa"/>
            <w:noWrap w:val="0"/>
            <w:vAlign w:val="center"/>
          </w:tcPr>
          <w:p>
            <w:pPr>
              <w:pStyle w:val="120"/>
              <w:bidi w:val="0"/>
              <w:jc w:val="both"/>
              <w:rPr>
                <w:rFonts w:hint="eastAsia"/>
                <w:color w:val="auto"/>
                <w:u w:val="single"/>
              </w:rPr>
            </w:pPr>
            <w:r>
              <w:rPr>
                <w:rFonts w:hint="eastAsia"/>
                <w:color w:val="auto"/>
                <w:u w:val="single"/>
              </w:rPr>
              <w:t>① 老司城遗址及周边区域，面积为13.02km</w:t>
            </w:r>
            <w:r>
              <w:rPr>
                <w:rFonts w:hint="eastAsia"/>
                <w:color w:val="auto"/>
                <w:u w:val="single"/>
                <w:vertAlign w:val="superscript"/>
              </w:rPr>
              <w:t>2</w:t>
            </w:r>
            <w:r>
              <w:rPr>
                <w:rFonts w:hint="eastAsia"/>
                <w:color w:val="auto"/>
                <w:u w:val="single"/>
              </w:rPr>
              <w:t>。</w:t>
            </w:r>
          </w:p>
          <w:p>
            <w:pPr>
              <w:pStyle w:val="120"/>
              <w:bidi w:val="0"/>
              <w:jc w:val="both"/>
              <w:rPr>
                <w:rFonts w:hint="eastAsia"/>
                <w:color w:val="auto"/>
                <w:u w:val="single"/>
              </w:rPr>
            </w:pPr>
            <w:r>
              <w:rPr>
                <w:rFonts w:hint="eastAsia"/>
                <w:color w:val="auto"/>
                <w:u w:val="single"/>
              </w:rPr>
              <w:t>② 司河从哈妮宫瀑布至牛路河大桥的河段，面积为7.46 km</w:t>
            </w:r>
            <w:r>
              <w:rPr>
                <w:rFonts w:hint="eastAsia"/>
                <w:color w:val="auto"/>
                <w:u w:val="single"/>
                <w:vertAlign w:val="superscript"/>
              </w:rPr>
              <w:t>2</w:t>
            </w:r>
            <w:r>
              <w:rPr>
                <w:rFonts w:hint="eastAsia"/>
                <w:color w:val="auto"/>
                <w:u w:val="single"/>
              </w:rPr>
              <w:t>。</w:t>
            </w:r>
          </w:p>
          <w:p>
            <w:pPr>
              <w:pStyle w:val="120"/>
              <w:bidi w:val="0"/>
              <w:jc w:val="both"/>
              <w:rPr>
                <w:rFonts w:hint="eastAsia"/>
                <w:color w:val="auto"/>
                <w:u w:val="single"/>
              </w:rPr>
            </w:pPr>
            <w:r>
              <w:rPr>
                <w:rFonts w:hint="eastAsia"/>
                <w:color w:val="auto"/>
                <w:u w:val="single"/>
              </w:rPr>
              <w:t>③ 司河从包公图往下的河段及猛洞河从海螺电站至龙头峡的河段，面积为20.86 km</w:t>
            </w:r>
            <w:r>
              <w:rPr>
                <w:rFonts w:hint="eastAsia"/>
                <w:color w:val="auto"/>
                <w:u w:val="single"/>
                <w:vertAlign w:val="superscript"/>
              </w:rPr>
              <w:t>2</w:t>
            </w:r>
            <w:r>
              <w:rPr>
                <w:rFonts w:hint="eastAsia"/>
                <w:color w:val="auto"/>
                <w:u w:val="single"/>
              </w:rPr>
              <w:t>。</w:t>
            </w:r>
          </w:p>
        </w:tc>
        <w:tc>
          <w:tcPr>
            <w:tcW w:w="4897" w:type="dxa"/>
            <w:noWrap w:val="0"/>
            <w:vAlign w:val="center"/>
          </w:tcPr>
          <w:p>
            <w:pPr>
              <w:pStyle w:val="120"/>
              <w:bidi w:val="0"/>
              <w:jc w:val="both"/>
              <w:rPr>
                <w:rFonts w:hint="eastAsia"/>
                <w:color w:val="auto"/>
                <w:u w:val="single"/>
              </w:rPr>
            </w:pPr>
            <w:r>
              <w:rPr>
                <w:rFonts w:hint="eastAsia"/>
                <w:color w:val="auto"/>
                <w:u w:val="single"/>
              </w:rPr>
              <w:t>①严禁建设与风景保护和风景游览无关的设施(如餐饮、旅宿设施、电站等破坏风景的大型工程建设)。</w:t>
            </w:r>
          </w:p>
          <w:p>
            <w:pPr>
              <w:pStyle w:val="120"/>
              <w:bidi w:val="0"/>
              <w:jc w:val="both"/>
              <w:rPr>
                <w:rFonts w:hint="eastAsia"/>
                <w:color w:val="auto"/>
                <w:u w:val="single"/>
              </w:rPr>
            </w:pPr>
            <w:r>
              <w:rPr>
                <w:rFonts w:hint="eastAsia"/>
                <w:color w:val="auto"/>
                <w:u w:val="single"/>
              </w:rPr>
              <w:t>②应合理选址建设管理设施、必要的给排水、环保环卫及消防等基础设施。</w:t>
            </w:r>
          </w:p>
          <w:p>
            <w:pPr>
              <w:pStyle w:val="120"/>
              <w:bidi w:val="0"/>
              <w:jc w:val="both"/>
              <w:rPr>
                <w:rFonts w:hint="eastAsia"/>
                <w:color w:val="auto"/>
                <w:u w:val="single"/>
              </w:rPr>
            </w:pPr>
            <w:r>
              <w:rPr>
                <w:rFonts w:hint="eastAsia"/>
                <w:color w:val="auto"/>
                <w:u w:val="single"/>
              </w:rPr>
              <w:t>③拆旧控新，王村与老司城新建建筑的选址与规模须经规划论证，且在形式、风格、体量、建筑材料等方面必须与保护区原有历史风貌一致。</w:t>
            </w:r>
          </w:p>
          <w:p>
            <w:pPr>
              <w:pStyle w:val="120"/>
              <w:bidi w:val="0"/>
              <w:jc w:val="both"/>
              <w:rPr>
                <w:rFonts w:hint="eastAsia"/>
                <w:color w:val="auto"/>
                <w:u w:val="single"/>
              </w:rPr>
            </w:pPr>
            <w:r>
              <w:rPr>
                <w:rFonts w:hint="eastAsia"/>
                <w:color w:val="auto"/>
                <w:u w:val="single"/>
              </w:rPr>
              <w:t>④严禁建设机动车道路和机动车进入。整理完善现有游路系统，建设必要步行线路。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28" w:type="dxa"/>
            <w:noWrap w:val="0"/>
            <w:vAlign w:val="center"/>
          </w:tcPr>
          <w:p>
            <w:pPr>
              <w:pStyle w:val="120"/>
              <w:bidi w:val="0"/>
              <w:rPr>
                <w:rFonts w:hint="eastAsia"/>
                <w:color w:val="auto"/>
                <w:u w:val="single"/>
              </w:rPr>
            </w:pPr>
            <w:r>
              <w:rPr>
                <w:rFonts w:hint="eastAsia"/>
                <w:color w:val="auto"/>
                <w:u w:val="single"/>
              </w:rPr>
              <w:t>二级保护区</w:t>
            </w:r>
          </w:p>
        </w:tc>
        <w:tc>
          <w:tcPr>
            <w:tcW w:w="2843" w:type="dxa"/>
            <w:noWrap w:val="0"/>
            <w:vAlign w:val="center"/>
          </w:tcPr>
          <w:p>
            <w:pPr>
              <w:pStyle w:val="120"/>
              <w:bidi w:val="0"/>
              <w:jc w:val="both"/>
              <w:rPr>
                <w:rFonts w:hint="eastAsia"/>
                <w:color w:val="auto"/>
                <w:u w:val="single"/>
              </w:rPr>
            </w:pPr>
            <w:r>
              <w:rPr>
                <w:rFonts w:hint="eastAsia"/>
                <w:color w:val="auto"/>
                <w:u w:val="single"/>
              </w:rPr>
              <w:t>① 司河从土司王钓鱼台至射圃的河段（包括自生桥周边区域），面积4.45 km</w:t>
            </w:r>
            <w:r>
              <w:rPr>
                <w:rFonts w:hint="eastAsia"/>
                <w:color w:val="auto"/>
                <w:u w:val="single"/>
                <w:vertAlign w:val="superscript"/>
              </w:rPr>
              <w:t>2</w:t>
            </w:r>
            <w:r>
              <w:rPr>
                <w:rFonts w:hint="eastAsia"/>
                <w:color w:val="auto"/>
                <w:u w:val="single"/>
              </w:rPr>
              <w:t>；</w:t>
            </w:r>
          </w:p>
          <w:p>
            <w:pPr>
              <w:pStyle w:val="120"/>
              <w:bidi w:val="0"/>
              <w:jc w:val="both"/>
              <w:rPr>
                <w:rFonts w:hint="eastAsia"/>
                <w:color w:val="auto"/>
                <w:u w:val="single"/>
              </w:rPr>
            </w:pPr>
            <w:r>
              <w:rPr>
                <w:rFonts w:hint="eastAsia"/>
                <w:color w:val="auto"/>
                <w:u w:val="single"/>
              </w:rPr>
              <w:t>② 抚哈公路西侧一定区域，面积1.47 km</w:t>
            </w:r>
            <w:r>
              <w:rPr>
                <w:rFonts w:hint="eastAsia"/>
                <w:color w:val="auto"/>
                <w:u w:val="single"/>
                <w:vertAlign w:val="superscript"/>
              </w:rPr>
              <w:t>2</w:t>
            </w:r>
            <w:r>
              <w:rPr>
                <w:rFonts w:hint="eastAsia"/>
                <w:color w:val="auto"/>
                <w:u w:val="single"/>
              </w:rPr>
              <w:t>；</w:t>
            </w:r>
          </w:p>
          <w:p>
            <w:pPr>
              <w:pStyle w:val="120"/>
              <w:bidi w:val="0"/>
              <w:jc w:val="both"/>
              <w:rPr>
                <w:rFonts w:hint="eastAsia"/>
                <w:color w:val="auto"/>
                <w:u w:val="single"/>
              </w:rPr>
            </w:pPr>
            <w:r>
              <w:rPr>
                <w:rFonts w:hint="eastAsia"/>
                <w:color w:val="auto"/>
                <w:u w:val="single"/>
              </w:rPr>
              <w:t>③司河从牛路河大桥至包公图的河段，面积2.31 km</w:t>
            </w:r>
            <w:r>
              <w:rPr>
                <w:rFonts w:hint="eastAsia"/>
                <w:color w:val="auto"/>
                <w:u w:val="single"/>
                <w:vertAlign w:val="superscript"/>
              </w:rPr>
              <w:t>2</w:t>
            </w:r>
            <w:r>
              <w:rPr>
                <w:rFonts w:hint="eastAsia"/>
                <w:color w:val="auto"/>
                <w:u w:val="single"/>
              </w:rPr>
              <w:t>；</w:t>
            </w:r>
          </w:p>
          <w:p>
            <w:pPr>
              <w:pStyle w:val="120"/>
              <w:bidi w:val="0"/>
              <w:jc w:val="both"/>
              <w:rPr>
                <w:rFonts w:hint="eastAsia"/>
                <w:color w:val="auto"/>
                <w:u w:val="single"/>
              </w:rPr>
            </w:pPr>
            <w:r>
              <w:rPr>
                <w:rFonts w:hint="eastAsia"/>
                <w:color w:val="auto"/>
                <w:u w:val="single"/>
              </w:rPr>
              <w:t>④猛洞河从龙头峡至王村特大桥的河段（包括王村古镇及周边区域），面积10.93 km</w:t>
            </w:r>
            <w:r>
              <w:rPr>
                <w:rFonts w:hint="eastAsia"/>
                <w:color w:val="auto"/>
                <w:u w:val="single"/>
                <w:vertAlign w:val="superscript"/>
              </w:rPr>
              <w:t>2</w:t>
            </w:r>
            <w:r>
              <w:rPr>
                <w:rFonts w:hint="eastAsia"/>
                <w:color w:val="auto"/>
                <w:u w:val="single"/>
              </w:rPr>
              <w:t>。</w:t>
            </w:r>
          </w:p>
        </w:tc>
        <w:tc>
          <w:tcPr>
            <w:tcW w:w="4897" w:type="dxa"/>
            <w:noWrap w:val="0"/>
            <w:vAlign w:val="center"/>
          </w:tcPr>
          <w:p>
            <w:pPr>
              <w:pStyle w:val="120"/>
              <w:bidi w:val="0"/>
              <w:jc w:val="both"/>
              <w:rPr>
                <w:rFonts w:hint="eastAsia"/>
                <w:color w:val="auto"/>
                <w:u w:val="single"/>
              </w:rPr>
            </w:pPr>
            <w:r>
              <w:rPr>
                <w:rFonts w:hint="eastAsia"/>
                <w:color w:val="auto"/>
                <w:u w:val="single"/>
              </w:rPr>
              <w:t>①限建与风景保护游览无关的设施，可建少量餐饮、旅游设施，须设必要管理设施，可设旅游基础设施，严禁新建破坏风景的大型工程。</w:t>
            </w:r>
          </w:p>
          <w:p>
            <w:pPr>
              <w:pStyle w:val="120"/>
              <w:bidi w:val="0"/>
              <w:jc w:val="both"/>
              <w:rPr>
                <w:rFonts w:hint="eastAsia"/>
                <w:color w:val="auto"/>
                <w:u w:val="single"/>
              </w:rPr>
            </w:pPr>
            <w:r>
              <w:rPr>
                <w:rFonts w:hint="eastAsia"/>
                <w:color w:val="auto"/>
                <w:u w:val="single"/>
              </w:rPr>
              <w:t>②拆除、改造或屏蔽破坏景观的建筑，恢复历史建筑应在其选址、规模、风格、体量等方面提出严格的控制措施，必须与原有历史风貌协调。新建建筑与设施在形式、风格、体量、建筑材料等方面则必须与保护区原有历史风貌相协调。</w:t>
            </w:r>
          </w:p>
          <w:p>
            <w:pPr>
              <w:pStyle w:val="120"/>
              <w:bidi w:val="0"/>
              <w:jc w:val="both"/>
              <w:rPr>
                <w:rFonts w:hint="eastAsia"/>
                <w:color w:val="auto"/>
                <w:u w:val="single"/>
              </w:rPr>
            </w:pPr>
            <w:r>
              <w:rPr>
                <w:rFonts w:hint="eastAsia"/>
                <w:color w:val="auto"/>
                <w:u w:val="single"/>
              </w:rPr>
              <w:t>③除景区内部专用游览车辆外，严禁机动车进入二级保护区内。整理完善现有游路系统，游览活动应按指定路线游览。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828" w:type="dxa"/>
            <w:noWrap w:val="0"/>
            <w:vAlign w:val="center"/>
          </w:tcPr>
          <w:p>
            <w:pPr>
              <w:pStyle w:val="120"/>
              <w:bidi w:val="0"/>
              <w:rPr>
                <w:rFonts w:hint="eastAsia"/>
                <w:color w:val="auto"/>
                <w:u w:val="single"/>
              </w:rPr>
            </w:pPr>
            <w:r>
              <w:rPr>
                <w:rFonts w:hint="eastAsia"/>
                <w:color w:val="auto"/>
                <w:u w:val="single"/>
              </w:rPr>
              <w:t>三级保护区</w:t>
            </w:r>
          </w:p>
        </w:tc>
        <w:tc>
          <w:tcPr>
            <w:tcW w:w="2843" w:type="dxa"/>
            <w:noWrap w:val="0"/>
            <w:vAlign w:val="center"/>
          </w:tcPr>
          <w:p>
            <w:pPr>
              <w:pStyle w:val="120"/>
              <w:bidi w:val="0"/>
              <w:jc w:val="both"/>
              <w:rPr>
                <w:rFonts w:hint="eastAsia"/>
                <w:color w:val="auto"/>
                <w:u w:val="single"/>
              </w:rPr>
            </w:pPr>
            <w:r>
              <w:rPr>
                <w:rFonts w:hint="eastAsia"/>
                <w:color w:val="auto"/>
                <w:u w:val="single"/>
              </w:rPr>
              <w:t>风景区范围内除一、二级保护区之外的区域均为三级保护区。面积为165.26km</w:t>
            </w:r>
            <w:r>
              <w:rPr>
                <w:rFonts w:hint="eastAsia"/>
                <w:color w:val="auto"/>
                <w:u w:val="single"/>
                <w:vertAlign w:val="superscript"/>
              </w:rPr>
              <w:t>2</w:t>
            </w:r>
            <w:r>
              <w:rPr>
                <w:rFonts w:hint="eastAsia"/>
                <w:color w:val="auto"/>
                <w:u w:val="single"/>
              </w:rPr>
              <w:t>。</w:t>
            </w:r>
          </w:p>
        </w:tc>
        <w:tc>
          <w:tcPr>
            <w:tcW w:w="4897" w:type="dxa"/>
            <w:noWrap w:val="0"/>
            <w:vAlign w:val="center"/>
          </w:tcPr>
          <w:p>
            <w:pPr>
              <w:pStyle w:val="120"/>
              <w:bidi w:val="0"/>
              <w:jc w:val="both"/>
              <w:rPr>
                <w:rFonts w:hint="eastAsia"/>
                <w:color w:val="auto"/>
                <w:u w:val="single"/>
              </w:rPr>
            </w:pPr>
            <w:r>
              <w:rPr>
                <w:rFonts w:hint="eastAsia"/>
                <w:color w:val="auto"/>
                <w:u w:val="single"/>
              </w:rPr>
              <w:t>①根据游人活动与规模控制餐饮、住宿选址，控制区内人口规模。</w:t>
            </w:r>
          </w:p>
          <w:p>
            <w:pPr>
              <w:pStyle w:val="120"/>
              <w:bidi w:val="0"/>
              <w:jc w:val="both"/>
              <w:rPr>
                <w:rFonts w:hint="eastAsia"/>
                <w:color w:val="auto"/>
                <w:u w:val="single"/>
              </w:rPr>
            </w:pPr>
            <w:r>
              <w:rPr>
                <w:rFonts w:hint="eastAsia"/>
                <w:color w:val="auto"/>
                <w:u w:val="single"/>
              </w:rPr>
              <w:t>②控制民居的建造与修缮，民居建筑的风格、体量、色彩等方面须与风景区整体风貌相协调，对现有不协调的建筑进行立面、屋顶等外观改造。</w:t>
            </w:r>
          </w:p>
          <w:p>
            <w:pPr>
              <w:pStyle w:val="120"/>
              <w:bidi w:val="0"/>
              <w:jc w:val="both"/>
              <w:rPr>
                <w:rFonts w:hint="eastAsia"/>
                <w:color w:val="auto"/>
                <w:u w:val="single"/>
              </w:rPr>
            </w:pPr>
            <w:r>
              <w:rPr>
                <w:rFonts w:hint="eastAsia"/>
                <w:color w:val="auto"/>
                <w:u w:val="single"/>
              </w:rPr>
              <w:t>③游人活动按指定路线进行，可在指定区域进行登山、露营、考察等活动。应用本土树种进行造林，可对区内的森林植被进行科学的林相改造。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828" w:type="dxa"/>
            <w:noWrap w:val="0"/>
            <w:vAlign w:val="center"/>
          </w:tcPr>
          <w:p>
            <w:pPr>
              <w:pStyle w:val="120"/>
              <w:bidi w:val="0"/>
              <w:rPr>
                <w:rFonts w:hint="eastAsia"/>
                <w:color w:val="auto"/>
                <w:u w:val="single"/>
              </w:rPr>
            </w:pPr>
            <w:r>
              <w:rPr>
                <w:rFonts w:hint="eastAsia"/>
                <w:color w:val="auto"/>
                <w:u w:val="single"/>
              </w:rPr>
              <w:t>外围保护区</w:t>
            </w:r>
          </w:p>
        </w:tc>
        <w:tc>
          <w:tcPr>
            <w:tcW w:w="2843" w:type="dxa"/>
            <w:noWrap w:val="0"/>
            <w:vAlign w:val="center"/>
          </w:tcPr>
          <w:p>
            <w:pPr>
              <w:pStyle w:val="120"/>
              <w:bidi w:val="0"/>
              <w:rPr>
                <w:rFonts w:hint="eastAsia"/>
                <w:color w:val="auto"/>
                <w:u w:val="single"/>
              </w:rPr>
            </w:pPr>
            <w:r>
              <w:rPr>
                <w:rFonts w:hint="eastAsia"/>
                <w:color w:val="auto"/>
                <w:u w:val="single"/>
              </w:rPr>
              <w:t>风景区范围以外，以河流，道路、山脊线为界划定的风景协调区域，面积为170km，</w:t>
            </w:r>
          </w:p>
        </w:tc>
        <w:tc>
          <w:tcPr>
            <w:tcW w:w="4897" w:type="dxa"/>
            <w:noWrap w:val="0"/>
            <w:vAlign w:val="center"/>
          </w:tcPr>
          <w:p>
            <w:pPr>
              <w:pStyle w:val="120"/>
              <w:bidi w:val="0"/>
              <w:rPr>
                <w:rFonts w:hint="eastAsia"/>
                <w:color w:val="auto"/>
                <w:u w:val="single"/>
              </w:rPr>
            </w:pPr>
            <w:r>
              <w:rPr>
                <w:rFonts w:hint="eastAsia"/>
                <w:color w:val="auto"/>
                <w:u w:val="single"/>
              </w:rPr>
              <w:t>主要保护其整体景观风貌与生态环境</w:t>
            </w:r>
          </w:p>
        </w:tc>
      </w:tr>
    </w:tbl>
    <w:p>
      <w:pPr>
        <w:bidi w:val="0"/>
        <w:jc w:val="both"/>
        <w:rPr>
          <w:rFonts w:hint="eastAsia"/>
          <w:u w:val="single"/>
        </w:rPr>
      </w:pPr>
      <w:r>
        <w:rPr>
          <w:rFonts w:hint="default" w:ascii="Times New Roman" w:hAnsi="Times New Roman" w:eastAsia="宋体" w:cs="Times New Roman"/>
          <w:color w:val="auto"/>
          <w:u w:val="single"/>
          <w:lang w:eastAsia="zh-CN"/>
        </w:rPr>
        <w:t>本项目排污管道</w:t>
      </w:r>
      <w:r>
        <w:rPr>
          <w:rFonts w:hint="eastAsia" w:ascii="Times New Roman" w:hAnsi="Times New Roman" w:eastAsia="宋体" w:cs="Times New Roman"/>
          <w:color w:val="auto"/>
          <w:u w:val="single"/>
          <w:lang w:val="en-US" w:eastAsia="zh-CN"/>
        </w:rPr>
        <w:t>150</w:t>
      </w:r>
      <w:r>
        <w:rPr>
          <w:rFonts w:hint="default" w:ascii="Times New Roman" w:hAnsi="Times New Roman" w:eastAsia="宋体" w:cs="Times New Roman"/>
          <w:color w:val="auto"/>
          <w:u w:val="single"/>
          <w:lang w:val="en-US" w:eastAsia="zh-CN"/>
        </w:rPr>
        <w:t>m及排污口位于</w:t>
      </w:r>
      <w:r>
        <w:rPr>
          <w:rFonts w:hint="eastAsia"/>
          <w:u w:val="single"/>
          <w:lang w:val="en-US" w:eastAsia="zh-CN"/>
        </w:rPr>
        <w:t>猛洞河国家级风景名胜区外围保护区</w:t>
      </w:r>
      <w:r>
        <w:rPr>
          <w:rFonts w:hint="default" w:ascii="Times New Roman" w:hAnsi="Times New Roman" w:cs="Times New Roman"/>
          <w:u w:val="single"/>
          <w:lang w:val="en-US" w:eastAsia="zh-CN"/>
        </w:rPr>
        <w:t>，相关符合性分析详见本报告概述中“3、</w:t>
      </w:r>
      <w:r>
        <w:rPr>
          <w:rFonts w:hint="default" w:ascii="Times New Roman" w:hAnsi="Times New Roman" w:cs="Times New Roman"/>
          <w:color w:val="auto"/>
          <w:kern w:val="0"/>
          <w:u w:val="single"/>
        </w:rPr>
        <w:t>分析判定相关情况</w:t>
      </w:r>
      <w:r>
        <w:rPr>
          <w:rFonts w:hint="default" w:ascii="Times New Roman" w:hAnsi="Times New Roman" w:cs="Times New Roman"/>
          <w:u w:val="single"/>
          <w:lang w:val="en-US" w:eastAsia="zh-CN"/>
        </w:rPr>
        <w:t>”部分。</w:t>
      </w:r>
    </w:p>
    <w:p>
      <w:pPr>
        <w:bidi w:val="0"/>
        <w:rPr>
          <w:rFonts w:hint="eastAsia" w:eastAsia="宋体"/>
          <w:u w:val="single"/>
          <w:lang w:val="en-US" w:eastAsia="zh-CN"/>
        </w:rPr>
      </w:pPr>
      <w:r>
        <w:rPr>
          <w:rFonts w:hint="eastAsia"/>
          <w:u w:val="single"/>
          <w:lang w:val="en-US" w:eastAsia="zh-CN"/>
        </w:rPr>
        <w:t>3）永顺猛洞河地质公园概况</w:t>
      </w:r>
    </w:p>
    <w:p>
      <w:pPr>
        <w:adjustRightInd w:val="0"/>
        <w:snapToGrid w:val="0"/>
        <w:spacing w:line="360" w:lineRule="auto"/>
        <w:ind w:firstLine="482" w:firstLineChars="200"/>
        <w:rPr>
          <w:rFonts w:hint="default" w:ascii="Times New Roman" w:hAnsi="Times New Roman" w:eastAsia="宋体" w:cs="Times New Roman"/>
          <w:color w:val="auto"/>
          <w:u w:val="single"/>
        </w:rPr>
      </w:pPr>
      <w:r>
        <w:rPr>
          <w:rFonts w:hint="default" w:ascii="Times New Roman" w:hAnsi="Times New Roman" w:eastAsia="宋体" w:cs="Times New Roman"/>
          <w:b/>
          <w:color w:val="auto"/>
          <w:u w:val="single"/>
        </w:rPr>
        <w:t>规划时段：</w:t>
      </w:r>
      <w:r>
        <w:rPr>
          <w:rFonts w:hint="default" w:ascii="Times New Roman" w:hAnsi="Times New Roman" w:eastAsia="宋体" w:cs="Times New Roman"/>
          <w:color w:val="auto"/>
          <w:u w:val="single"/>
        </w:rPr>
        <w:t>近期 2014-2015年，中期 2016-2020年，远期 2021-2025年。</w:t>
      </w:r>
    </w:p>
    <w:p>
      <w:pPr>
        <w:adjustRightInd w:val="0"/>
        <w:snapToGrid w:val="0"/>
        <w:spacing w:line="360" w:lineRule="auto"/>
        <w:ind w:firstLine="482" w:firstLineChars="200"/>
        <w:rPr>
          <w:rFonts w:hint="default" w:ascii="Times New Roman" w:hAnsi="Times New Roman" w:eastAsia="宋体" w:cs="Times New Roman"/>
          <w:color w:val="auto"/>
          <w:szCs w:val="28"/>
          <w:u w:val="single"/>
        </w:rPr>
      </w:pPr>
      <w:r>
        <w:rPr>
          <w:rFonts w:hint="default" w:ascii="Times New Roman" w:hAnsi="Times New Roman" w:eastAsia="宋体" w:cs="Times New Roman"/>
          <w:b/>
          <w:color w:val="auto"/>
          <w:u w:val="single"/>
        </w:rPr>
        <w:t>公园性质：</w:t>
      </w:r>
      <w:r>
        <w:rPr>
          <w:rFonts w:hint="default" w:ascii="Times New Roman" w:hAnsi="Times New Roman" w:eastAsia="宋体" w:cs="Times New Roman"/>
          <w:color w:val="auto"/>
          <w:u w:val="single"/>
        </w:rPr>
        <w:t>是一家以可溶岩地貌、构造形迹、地层剖面、流水侵蚀地貌景观及古无脊椎动物化石等地质遗迹景观为主，风景河段和瀑布景观为辅，集优美自然景观和丰富人文景观于一体的综合型地质公园</w:t>
      </w:r>
    </w:p>
    <w:p>
      <w:pPr>
        <w:snapToGrid w:val="0"/>
        <w:spacing w:line="360" w:lineRule="auto"/>
        <w:ind w:firstLine="480" w:firstLineChars="20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规划范围：西北至灵溪镇不二门、东北至吊井乡、南抵芙蓉镇观音阁、西至列夕乡龙溪，东至灵溪镇司城村洞泽水电站，面积146.8km</w:t>
      </w:r>
      <w:r>
        <w:rPr>
          <w:rFonts w:hint="default" w:ascii="Times New Roman" w:hAnsi="Times New Roman" w:eastAsia="宋体" w:cs="Times New Roman"/>
          <w:color w:val="auto"/>
          <w:u w:val="single"/>
          <w:vertAlign w:val="superscript"/>
        </w:rPr>
        <w:t>2</w:t>
      </w:r>
      <w:r>
        <w:rPr>
          <w:rFonts w:hint="default" w:ascii="Times New Roman" w:hAnsi="Times New Roman" w:eastAsia="宋体" w:cs="Times New Roman"/>
          <w:color w:val="auto"/>
          <w:u w:val="single"/>
        </w:rPr>
        <w:t>。</w:t>
      </w:r>
    </w:p>
    <w:p>
      <w:pPr>
        <w:snapToGrid w:val="0"/>
        <w:spacing w:line="360" w:lineRule="auto"/>
        <w:ind w:firstLine="482" w:firstLineChars="200"/>
        <w:rPr>
          <w:rFonts w:hint="default" w:ascii="Times New Roman" w:hAnsi="Times New Roman" w:eastAsia="宋体" w:cs="Times New Roman"/>
          <w:color w:val="auto"/>
          <w:u w:val="single"/>
        </w:rPr>
      </w:pPr>
      <w:r>
        <w:rPr>
          <w:rFonts w:hint="default" w:ascii="Times New Roman" w:hAnsi="Times New Roman" w:eastAsia="宋体" w:cs="Times New Roman"/>
          <w:b/>
          <w:color w:val="auto"/>
          <w:u w:val="single"/>
        </w:rPr>
        <w:t>总体布局：</w:t>
      </w:r>
      <w:r>
        <w:rPr>
          <w:rFonts w:hint="default" w:ascii="Times New Roman" w:hAnsi="Times New Roman" w:eastAsia="宋体" w:cs="Times New Roman"/>
          <w:color w:val="auto"/>
          <w:u w:val="single"/>
        </w:rPr>
        <w:t>分为2园4区，2园即猛洞河园区和芙蓉镇园区2个园区，4景区即老司城景区、不二门景区、猴儿跳景区和芙蓉镇景区。</w:t>
      </w:r>
    </w:p>
    <w:p>
      <w:pPr>
        <w:snapToGrid w:val="0"/>
        <w:spacing w:line="360" w:lineRule="auto"/>
        <w:ind w:firstLine="482" w:firstLineChars="200"/>
        <w:rPr>
          <w:rFonts w:hint="default" w:ascii="Times New Roman" w:hAnsi="Times New Roman" w:eastAsia="宋体" w:cs="Times New Roman"/>
          <w:color w:val="auto"/>
          <w:u w:val="single"/>
        </w:rPr>
      </w:pPr>
      <w:r>
        <w:rPr>
          <w:rFonts w:hint="default" w:ascii="Times New Roman" w:hAnsi="Times New Roman" w:eastAsia="宋体" w:cs="Times New Roman"/>
          <w:b/>
          <w:color w:val="auto"/>
          <w:u w:val="single"/>
        </w:rPr>
        <w:t>功能区划：</w:t>
      </w:r>
      <w:r>
        <w:rPr>
          <w:rFonts w:hint="default" w:ascii="Times New Roman" w:hAnsi="Times New Roman" w:eastAsia="宋体" w:cs="Times New Roman"/>
          <w:color w:val="auto"/>
          <w:u w:val="single"/>
        </w:rPr>
        <w:t>分为科普服务区、地质景观游览区、自然生态区和居民点保留区。</w:t>
      </w:r>
    </w:p>
    <w:p>
      <w:pPr>
        <w:snapToGrid w:val="0"/>
        <w:spacing w:line="360" w:lineRule="auto"/>
        <w:ind w:firstLine="482" w:firstLineChars="200"/>
        <w:rPr>
          <w:rFonts w:hint="default" w:ascii="Times New Roman" w:hAnsi="Times New Roman" w:eastAsia="宋体" w:cs="Times New Roman"/>
          <w:color w:val="auto"/>
          <w:u w:val="single"/>
        </w:rPr>
      </w:pPr>
      <w:r>
        <w:rPr>
          <w:rFonts w:hint="default" w:ascii="Times New Roman" w:hAnsi="Times New Roman" w:eastAsia="宋体" w:cs="Times New Roman"/>
          <w:b/>
          <w:color w:val="auto"/>
          <w:u w:val="single"/>
        </w:rPr>
        <w:t>地质遗迹保护：</w:t>
      </w:r>
      <w:r>
        <w:rPr>
          <w:rFonts w:hint="default" w:ascii="Times New Roman" w:hAnsi="Times New Roman" w:eastAsia="宋体" w:cs="Times New Roman"/>
          <w:color w:val="auto"/>
          <w:u w:val="single"/>
        </w:rPr>
        <w:t>划分为一、二、三级保护区，面积58.77km</w:t>
      </w:r>
      <w:r>
        <w:rPr>
          <w:rFonts w:hint="default" w:ascii="Times New Roman" w:hAnsi="Times New Roman" w:eastAsia="宋体" w:cs="Times New Roman"/>
          <w:color w:val="auto"/>
          <w:u w:val="single"/>
          <w:vertAlign w:val="superscript"/>
        </w:rPr>
        <w:t>2</w:t>
      </w:r>
      <w:r>
        <w:rPr>
          <w:rFonts w:hint="default" w:ascii="Times New Roman" w:hAnsi="Times New Roman" w:eastAsia="宋体" w:cs="Times New Roman"/>
          <w:color w:val="auto"/>
          <w:u w:val="single"/>
        </w:rPr>
        <w:t>，占公园总面积的40.04%。各级保护区及控制要求与保护措施见表</w:t>
      </w:r>
      <w:r>
        <w:rPr>
          <w:rFonts w:hint="eastAsia" w:ascii="Times New Roman" w:hAnsi="Times New Roman" w:eastAsia="宋体" w:cs="Times New Roman"/>
          <w:color w:val="auto"/>
          <w:u w:val="single"/>
          <w:lang w:val="en-US" w:eastAsia="zh-CN"/>
        </w:rPr>
        <w:t>4.2-20</w:t>
      </w:r>
      <w:r>
        <w:rPr>
          <w:rFonts w:hint="default" w:ascii="Times New Roman" w:hAnsi="Times New Roman" w:eastAsia="宋体" w:cs="Times New Roman"/>
          <w:color w:val="auto"/>
          <w:u w:val="single"/>
        </w:rPr>
        <w:t>。</w:t>
      </w:r>
    </w:p>
    <w:p>
      <w:pPr>
        <w:shd w:val="clear" w:color="auto" w:fill="FFFDF9"/>
        <w:jc w:val="center"/>
        <w:rPr>
          <w:rFonts w:hint="eastAsia" w:ascii="宋体" w:hAnsi="宋体" w:eastAsia="宋体" w:cs="宋体"/>
          <w:b/>
          <w:color w:val="auto"/>
          <w:u w:val="single"/>
        </w:rPr>
      </w:pPr>
      <w:r>
        <w:rPr>
          <w:rFonts w:hint="eastAsia" w:ascii="宋体" w:hAnsi="宋体" w:eastAsia="宋体" w:cs="宋体"/>
          <w:b/>
          <w:color w:val="auto"/>
          <w:u w:val="single"/>
        </w:rPr>
        <w:t>表</w:t>
      </w:r>
      <w:r>
        <w:rPr>
          <w:rFonts w:hint="eastAsia" w:ascii="宋体" w:hAnsi="宋体" w:eastAsia="宋体" w:cs="宋体"/>
          <w:b/>
          <w:color w:val="auto"/>
          <w:u w:val="single"/>
          <w:lang w:val="en-US" w:eastAsia="zh-CN"/>
        </w:rPr>
        <w:t>4.2-20</w:t>
      </w:r>
      <w:r>
        <w:rPr>
          <w:rFonts w:hint="eastAsia" w:ascii="宋体" w:hAnsi="宋体" w:eastAsia="宋体" w:cs="宋体"/>
          <w:b/>
          <w:color w:val="auto"/>
          <w:u w:val="single"/>
        </w:rPr>
        <w:t xml:space="preserve">  地质遗迹保保护范围以及控制要求</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52"/>
        <w:gridCol w:w="5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17" w:type="dxa"/>
            <w:noWrap w:val="0"/>
            <w:vAlign w:val="center"/>
          </w:tcPr>
          <w:p>
            <w:pPr>
              <w:pStyle w:val="113"/>
              <w:bidi w:val="0"/>
              <w:rPr>
                <w:rFonts w:hint="eastAsia"/>
                <w:color w:val="auto"/>
                <w:u w:val="single"/>
              </w:rPr>
            </w:pPr>
            <w:r>
              <w:rPr>
                <w:rFonts w:hint="eastAsia"/>
                <w:color w:val="auto"/>
                <w:u w:val="single"/>
              </w:rPr>
              <w:t>类别</w:t>
            </w:r>
          </w:p>
        </w:tc>
        <w:tc>
          <w:tcPr>
            <w:tcW w:w="2552" w:type="dxa"/>
            <w:noWrap w:val="0"/>
            <w:vAlign w:val="center"/>
          </w:tcPr>
          <w:p>
            <w:pPr>
              <w:pStyle w:val="113"/>
              <w:bidi w:val="0"/>
              <w:rPr>
                <w:rFonts w:hint="eastAsia"/>
                <w:color w:val="auto"/>
                <w:u w:val="single"/>
              </w:rPr>
            </w:pPr>
            <w:r>
              <w:rPr>
                <w:rFonts w:hint="eastAsia"/>
                <w:color w:val="auto"/>
                <w:u w:val="single"/>
              </w:rPr>
              <w:t>保护区域</w:t>
            </w:r>
          </w:p>
        </w:tc>
        <w:tc>
          <w:tcPr>
            <w:tcW w:w="5199" w:type="dxa"/>
            <w:noWrap w:val="0"/>
            <w:vAlign w:val="center"/>
          </w:tcPr>
          <w:p>
            <w:pPr>
              <w:pStyle w:val="113"/>
              <w:bidi w:val="0"/>
              <w:rPr>
                <w:rFonts w:hint="eastAsia"/>
                <w:color w:val="auto"/>
                <w:u w:val="single"/>
              </w:rPr>
            </w:pPr>
            <w:r>
              <w:rPr>
                <w:rFonts w:hint="eastAsia"/>
                <w:color w:val="auto"/>
                <w:u w:val="single"/>
              </w:rPr>
              <w:t>控制要求与保护措施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817" w:type="dxa"/>
            <w:noWrap w:val="0"/>
            <w:vAlign w:val="center"/>
          </w:tcPr>
          <w:p>
            <w:pPr>
              <w:pStyle w:val="113"/>
              <w:bidi w:val="0"/>
              <w:rPr>
                <w:rFonts w:hint="eastAsia"/>
                <w:color w:val="auto"/>
                <w:u w:val="single"/>
              </w:rPr>
            </w:pPr>
            <w:r>
              <w:rPr>
                <w:rFonts w:hint="eastAsia"/>
                <w:color w:val="auto"/>
                <w:u w:val="single"/>
              </w:rPr>
              <w:t>一级保护区</w:t>
            </w:r>
          </w:p>
        </w:tc>
        <w:tc>
          <w:tcPr>
            <w:tcW w:w="2552" w:type="dxa"/>
            <w:noWrap w:val="0"/>
            <w:vAlign w:val="center"/>
          </w:tcPr>
          <w:p>
            <w:pPr>
              <w:pStyle w:val="113"/>
              <w:bidi w:val="0"/>
              <w:rPr>
                <w:rFonts w:hint="eastAsia"/>
                <w:color w:val="auto"/>
                <w:u w:val="single"/>
              </w:rPr>
            </w:pPr>
            <w:r>
              <w:rPr>
                <w:rFonts w:hint="eastAsia"/>
                <w:color w:val="auto"/>
                <w:u w:val="single"/>
              </w:rPr>
              <w:t>3 处，为不二门、司河和三叶虫化石产地保护区，总面积 11.72km</w:t>
            </w:r>
            <w:r>
              <w:rPr>
                <w:rFonts w:hint="eastAsia"/>
                <w:color w:val="auto"/>
                <w:u w:val="single"/>
                <w:vertAlign w:val="superscript"/>
              </w:rPr>
              <w:t>2</w:t>
            </w:r>
            <w:r>
              <w:rPr>
                <w:rFonts w:hint="eastAsia"/>
                <w:color w:val="auto"/>
                <w:u w:val="single"/>
              </w:rPr>
              <w:t>，占保护区面积的 19.94%，占公园总面积的 7.98%。</w:t>
            </w:r>
          </w:p>
        </w:tc>
        <w:tc>
          <w:tcPr>
            <w:tcW w:w="5199" w:type="dxa"/>
            <w:noWrap w:val="0"/>
            <w:vAlign w:val="center"/>
          </w:tcPr>
          <w:p>
            <w:pPr>
              <w:pStyle w:val="113"/>
              <w:bidi w:val="0"/>
              <w:rPr>
                <w:rFonts w:hint="eastAsia"/>
                <w:color w:val="auto"/>
                <w:u w:val="single"/>
              </w:rPr>
            </w:pPr>
            <w:r>
              <w:rPr>
                <w:rFonts w:hint="eastAsia"/>
                <w:color w:val="auto"/>
                <w:u w:val="single"/>
              </w:rPr>
              <w:t>控制要求：禁止挖山取石、禁止捕猎、禁止砍伐树木、禁止从事污染水土气环境的作业、禁止野外用火、禁止建设与地质遗迹保护无关的人工建筑。可以修建必要的游览步道和相关设施，但必须与景观协调，允许观光游客进入，严禁非必要的机动交通工具进入。</w:t>
            </w:r>
          </w:p>
          <w:p>
            <w:pPr>
              <w:pStyle w:val="113"/>
              <w:bidi w:val="0"/>
              <w:rPr>
                <w:rFonts w:hint="eastAsia"/>
                <w:color w:val="auto"/>
                <w:u w:val="single"/>
              </w:rPr>
            </w:pPr>
            <w:r>
              <w:rPr>
                <w:rFonts w:hint="eastAsia"/>
                <w:color w:val="auto"/>
                <w:u w:val="single"/>
              </w:rPr>
              <w:t>保护措施：设立一级保护区界桩、保护警示牌、巡视监测人员。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17" w:type="dxa"/>
            <w:noWrap w:val="0"/>
            <w:vAlign w:val="center"/>
          </w:tcPr>
          <w:p>
            <w:pPr>
              <w:pStyle w:val="113"/>
              <w:bidi w:val="0"/>
              <w:rPr>
                <w:rFonts w:hint="eastAsia"/>
                <w:color w:val="auto"/>
                <w:u w:val="single"/>
              </w:rPr>
            </w:pPr>
            <w:r>
              <w:rPr>
                <w:rFonts w:hint="eastAsia"/>
                <w:color w:val="auto"/>
                <w:u w:val="single"/>
              </w:rPr>
              <w:t>二级保护区</w:t>
            </w:r>
          </w:p>
        </w:tc>
        <w:tc>
          <w:tcPr>
            <w:tcW w:w="2552" w:type="dxa"/>
            <w:noWrap w:val="0"/>
            <w:vAlign w:val="center"/>
          </w:tcPr>
          <w:p>
            <w:pPr>
              <w:pStyle w:val="113"/>
              <w:bidi w:val="0"/>
              <w:rPr>
                <w:rFonts w:hint="eastAsia"/>
                <w:color w:val="auto"/>
                <w:u w:val="single"/>
              </w:rPr>
            </w:pPr>
            <w:r>
              <w:rPr>
                <w:rFonts w:hint="eastAsia"/>
                <w:color w:val="auto"/>
                <w:u w:val="single"/>
              </w:rPr>
              <w:t>1 处，为老司城地质遗迹保护区，面积 4.66km</w:t>
            </w:r>
            <w:r>
              <w:rPr>
                <w:rFonts w:hint="eastAsia"/>
                <w:color w:val="auto"/>
                <w:u w:val="single"/>
                <w:vertAlign w:val="superscript"/>
              </w:rPr>
              <w:t>2</w:t>
            </w:r>
            <w:r>
              <w:rPr>
                <w:rFonts w:hint="eastAsia"/>
                <w:color w:val="auto"/>
                <w:u w:val="single"/>
              </w:rPr>
              <w:t>，占保护区面积的 7.93%，占公园总面积的 3.17%。</w:t>
            </w:r>
          </w:p>
        </w:tc>
        <w:tc>
          <w:tcPr>
            <w:tcW w:w="5199" w:type="dxa"/>
            <w:noWrap w:val="0"/>
            <w:vAlign w:val="center"/>
          </w:tcPr>
          <w:p>
            <w:pPr>
              <w:pStyle w:val="113"/>
              <w:bidi w:val="0"/>
              <w:rPr>
                <w:rFonts w:hint="eastAsia"/>
                <w:color w:val="auto"/>
                <w:u w:val="single"/>
              </w:rPr>
            </w:pPr>
            <w:r>
              <w:rPr>
                <w:rFonts w:hint="eastAsia"/>
                <w:color w:val="auto"/>
                <w:u w:val="single"/>
              </w:rPr>
              <w:t>控制要求：禁止挖山取石、禁止捕猎、禁止砍伐树木、禁止从事污染水、土、气环境的作业、禁止野外用火、禁止建设与旅游发展无关的大型人工建筑。可以建设步行游览和安全防护设施。</w:t>
            </w:r>
          </w:p>
          <w:p>
            <w:pPr>
              <w:pStyle w:val="113"/>
              <w:bidi w:val="0"/>
              <w:rPr>
                <w:rFonts w:hint="eastAsia"/>
                <w:color w:val="auto"/>
                <w:u w:val="single"/>
              </w:rPr>
            </w:pPr>
            <w:r>
              <w:rPr>
                <w:rFonts w:hint="eastAsia"/>
                <w:color w:val="auto"/>
                <w:u w:val="single"/>
              </w:rPr>
              <w:t>保护措施：保护生态环境，设立地质遗迹保护警示牌，定期巡视地质遗迹及地质遗迹保护设施。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817" w:type="dxa"/>
            <w:noWrap w:val="0"/>
            <w:vAlign w:val="center"/>
          </w:tcPr>
          <w:p>
            <w:pPr>
              <w:pStyle w:val="113"/>
              <w:bidi w:val="0"/>
              <w:rPr>
                <w:rFonts w:hint="eastAsia"/>
                <w:color w:val="auto"/>
                <w:u w:val="single"/>
              </w:rPr>
            </w:pPr>
            <w:r>
              <w:rPr>
                <w:rFonts w:hint="eastAsia"/>
                <w:color w:val="auto"/>
                <w:u w:val="single"/>
              </w:rPr>
              <w:t>三级保护区</w:t>
            </w:r>
          </w:p>
        </w:tc>
        <w:tc>
          <w:tcPr>
            <w:tcW w:w="2552" w:type="dxa"/>
            <w:noWrap w:val="0"/>
            <w:vAlign w:val="center"/>
          </w:tcPr>
          <w:p>
            <w:pPr>
              <w:pStyle w:val="113"/>
              <w:bidi w:val="0"/>
              <w:rPr>
                <w:rFonts w:hint="eastAsia"/>
                <w:color w:val="auto"/>
                <w:u w:val="single"/>
              </w:rPr>
            </w:pPr>
            <w:r>
              <w:rPr>
                <w:rFonts w:hint="eastAsia"/>
                <w:color w:val="auto"/>
                <w:u w:val="single"/>
              </w:rPr>
              <w:t>6 处，分别为猛洞河、海螺至二门峡、龙头峡至芙蓉镇、吊井、老司城至哈妮宫、王村寒武系剖面保护区。面积 42.39km</w:t>
            </w:r>
            <w:r>
              <w:rPr>
                <w:rFonts w:hint="eastAsia"/>
                <w:color w:val="auto"/>
                <w:u w:val="single"/>
                <w:vertAlign w:val="superscript"/>
              </w:rPr>
              <w:t>2</w:t>
            </w:r>
            <w:r>
              <w:rPr>
                <w:rFonts w:hint="eastAsia"/>
                <w:color w:val="auto"/>
                <w:u w:val="single"/>
              </w:rPr>
              <w:t>，占保护区面积的 72.13%，占公园总面积的 28.88%。</w:t>
            </w:r>
          </w:p>
        </w:tc>
        <w:tc>
          <w:tcPr>
            <w:tcW w:w="5199" w:type="dxa"/>
            <w:noWrap w:val="0"/>
            <w:vAlign w:val="center"/>
          </w:tcPr>
          <w:p>
            <w:pPr>
              <w:pStyle w:val="113"/>
              <w:bidi w:val="0"/>
              <w:rPr>
                <w:rFonts w:hint="eastAsia"/>
                <w:color w:val="auto"/>
                <w:u w:val="single"/>
              </w:rPr>
            </w:pPr>
            <w:r>
              <w:rPr>
                <w:rFonts w:hint="eastAsia"/>
                <w:color w:val="auto"/>
                <w:u w:val="single"/>
              </w:rPr>
              <w:t>控制要求：禁止挖山取石、禁止捕猎、禁止从事污染水土气环境的作业、禁止野外用火、可以建设与旅游配套的人工建筑，保护区以科普和观光旅游活动为主，可以适当建设与之相关的设施，禁止设立与旅游活动无关的建筑和产业。</w:t>
            </w:r>
          </w:p>
          <w:p>
            <w:pPr>
              <w:pStyle w:val="113"/>
              <w:bidi w:val="0"/>
              <w:rPr>
                <w:rFonts w:hint="eastAsia"/>
                <w:color w:val="auto"/>
                <w:u w:val="single"/>
              </w:rPr>
            </w:pPr>
            <w:r>
              <w:rPr>
                <w:rFonts w:hint="eastAsia"/>
                <w:color w:val="auto"/>
                <w:u w:val="single"/>
              </w:rPr>
              <w:t>保护措施：设立保护警示牌</w:t>
            </w:r>
          </w:p>
        </w:tc>
      </w:tr>
    </w:tbl>
    <w:p>
      <w:pPr>
        <w:bidi w:val="0"/>
        <w:rPr>
          <w:rFonts w:hint="eastAsia"/>
        </w:rPr>
      </w:pPr>
      <w:r>
        <w:rPr>
          <w:rFonts w:hint="default" w:ascii="Times New Roman" w:hAnsi="Times New Roman" w:eastAsia="宋体" w:cs="Times New Roman"/>
          <w:color w:val="auto"/>
          <w:u w:val="single"/>
          <w:lang w:eastAsia="zh-CN"/>
        </w:rPr>
        <w:t>本项目排污管道</w:t>
      </w:r>
      <w:r>
        <w:rPr>
          <w:rFonts w:hint="eastAsia" w:ascii="Times New Roman" w:hAnsi="Times New Roman" w:eastAsia="宋体" w:cs="Times New Roman"/>
          <w:color w:val="auto"/>
          <w:u w:val="single"/>
          <w:lang w:val="en-US" w:eastAsia="zh-CN"/>
        </w:rPr>
        <w:t>560</w:t>
      </w:r>
      <w:r>
        <w:rPr>
          <w:rFonts w:hint="default" w:ascii="Times New Roman" w:hAnsi="Times New Roman" w:eastAsia="宋体" w:cs="Times New Roman"/>
          <w:color w:val="auto"/>
          <w:u w:val="single"/>
          <w:lang w:val="en-US" w:eastAsia="zh-CN"/>
        </w:rPr>
        <w:t>m及排污口位于</w:t>
      </w:r>
      <w:r>
        <w:rPr>
          <w:rFonts w:hint="eastAsia"/>
          <w:u w:val="single"/>
          <w:lang w:val="en-US" w:eastAsia="zh-CN"/>
        </w:rPr>
        <w:t>永顺猛洞河地质公园三级保护区</w:t>
      </w:r>
      <w:r>
        <w:rPr>
          <w:rFonts w:hint="default" w:ascii="Times New Roman" w:hAnsi="Times New Roman" w:cs="Times New Roman"/>
          <w:u w:val="single"/>
          <w:lang w:val="en-US" w:eastAsia="zh-CN"/>
        </w:rPr>
        <w:t>，相关符合性分析详见本报告概述中“3、</w:t>
      </w:r>
      <w:r>
        <w:rPr>
          <w:rFonts w:hint="default" w:ascii="Times New Roman" w:hAnsi="Times New Roman" w:cs="Times New Roman"/>
          <w:color w:val="auto"/>
          <w:kern w:val="0"/>
          <w:u w:val="single"/>
        </w:rPr>
        <w:t>分析判定相关情况</w:t>
      </w:r>
      <w:r>
        <w:rPr>
          <w:rFonts w:hint="default" w:ascii="Times New Roman" w:hAnsi="Times New Roman" w:cs="Times New Roman"/>
          <w:u w:val="single"/>
          <w:lang w:val="en-US" w:eastAsia="zh-CN"/>
        </w:rPr>
        <w:t>”部分。</w:t>
      </w:r>
    </w:p>
    <w:p>
      <w:pPr>
        <w:bidi w:val="0"/>
        <w:rPr>
          <w:rFonts w:hint="eastAsia" w:eastAsia="宋体"/>
          <w:u w:val="single"/>
          <w:lang w:eastAsia="zh-CN"/>
        </w:rPr>
      </w:pPr>
      <w:r>
        <w:rPr>
          <w:rFonts w:hint="eastAsia"/>
          <w:u w:val="single"/>
          <w:lang w:eastAsia="zh-CN"/>
        </w:rPr>
        <w:t>（</w:t>
      </w:r>
      <w:r>
        <w:rPr>
          <w:rFonts w:hint="eastAsia"/>
          <w:u w:val="single"/>
          <w:lang w:val="en-US" w:eastAsia="zh-CN"/>
        </w:rPr>
        <w:t>3</w:t>
      </w:r>
      <w:r>
        <w:rPr>
          <w:rFonts w:hint="eastAsia"/>
          <w:u w:val="single"/>
          <w:lang w:eastAsia="zh-CN"/>
        </w:rPr>
        <w:t>）生态小结</w:t>
      </w:r>
    </w:p>
    <w:p>
      <w:pPr>
        <w:bidi w:val="0"/>
        <w:rPr>
          <w:u w:val="single"/>
        </w:rPr>
      </w:pPr>
      <w:bookmarkStart w:id="266" w:name="_Toc497220700"/>
      <w:bookmarkStart w:id="267" w:name="_Toc11731"/>
      <w:bookmarkStart w:id="268" w:name="_Toc478243906"/>
      <w:r>
        <w:rPr>
          <w:rFonts w:hint="eastAsia"/>
          <w:u w:val="single"/>
          <w:lang w:val="en-US" w:eastAsia="zh-CN"/>
        </w:rPr>
        <w:t>1）</w:t>
      </w:r>
      <w:r>
        <w:rPr>
          <w:u w:val="single"/>
        </w:rPr>
        <w:t>生态系统</w:t>
      </w:r>
      <w:bookmarkEnd w:id="266"/>
      <w:bookmarkEnd w:id="267"/>
      <w:bookmarkEnd w:id="268"/>
    </w:p>
    <w:p>
      <w:pPr>
        <w:ind w:firstLine="480"/>
        <w:rPr>
          <w:u w:val="single"/>
        </w:rPr>
      </w:pPr>
      <w:r>
        <w:rPr>
          <w:rFonts w:hint="eastAsia"/>
          <w:u w:val="single"/>
        </w:rPr>
        <w:t>评价范围内的土地利用类型分为：灌木林地</w:t>
      </w:r>
      <w:r>
        <w:rPr>
          <w:rFonts w:hint="eastAsia"/>
          <w:u w:val="single"/>
          <w:lang w:eastAsia="zh-CN"/>
        </w:rPr>
        <w:t>、</w:t>
      </w:r>
      <w:r>
        <w:rPr>
          <w:rFonts w:hint="eastAsia"/>
          <w:u w:val="single"/>
        </w:rPr>
        <w:t>乔木林地</w:t>
      </w:r>
      <w:r>
        <w:rPr>
          <w:rFonts w:hint="eastAsia"/>
          <w:u w:val="single"/>
          <w:lang w:eastAsia="zh-CN"/>
        </w:rPr>
        <w:t>、</w:t>
      </w:r>
      <w:r>
        <w:rPr>
          <w:rFonts w:hint="eastAsia"/>
          <w:u w:val="single"/>
        </w:rPr>
        <w:t>农村宅基地</w:t>
      </w:r>
      <w:r>
        <w:rPr>
          <w:rFonts w:hint="eastAsia"/>
          <w:u w:val="single"/>
          <w:lang w:eastAsia="zh-CN"/>
        </w:rPr>
        <w:t>、</w:t>
      </w:r>
      <w:r>
        <w:rPr>
          <w:rFonts w:hint="eastAsia"/>
          <w:u w:val="single"/>
        </w:rPr>
        <w:t>农村道路</w:t>
      </w:r>
      <w:r>
        <w:rPr>
          <w:rFonts w:hint="eastAsia"/>
          <w:u w:val="single"/>
          <w:lang w:eastAsia="zh-CN"/>
        </w:rPr>
        <w:t>、</w:t>
      </w:r>
      <w:r>
        <w:rPr>
          <w:rFonts w:hint="eastAsia"/>
          <w:u w:val="single"/>
        </w:rPr>
        <w:t>水面等</w:t>
      </w:r>
      <w:r>
        <w:rPr>
          <w:rFonts w:hint="eastAsia"/>
          <w:u w:val="single"/>
          <w:lang w:val="en-US" w:eastAsia="zh-CN"/>
        </w:rPr>
        <w:t>五</w:t>
      </w:r>
      <w:r>
        <w:rPr>
          <w:rFonts w:hint="eastAsia"/>
          <w:u w:val="single"/>
        </w:rPr>
        <w:t>种类型，其中</w:t>
      </w:r>
      <w:r>
        <w:rPr>
          <w:rFonts w:hint="eastAsia"/>
          <w:u w:val="single"/>
          <w:lang w:val="en-US" w:eastAsia="zh-CN"/>
        </w:rPr>
        <w:t>乔木林地</w:t>
      </w:r>
      <w:r>
        <w:rPr>
          <w:rFonts w:hint="eastAsia"/>
          <w:u w:val="single"/>
        </w:rPr>
        <w:t>面积最大，</w:t>
      </w:r>
      <w:bookmarkStart w:id="269" w:name="_Toc445709591"/>
      <w:bookmarkStart w:id="270" w:name="_Toc448490627"/>
      <w:bookmarkStart w:id="271" w:name="_Toc478148592"/>
      <w:r>
        <w:rPr>
          <w:rFonts w:hint="eastAsia"/>
          <w:u w:val="single"/>
        </w:rPr>
        <w:t>其次为农村宅基地，其余占地面积</w:t>
      </w:r>
      <w:bookmarkEnd w:id="269"/>
      <w:bookmarkEnd w:id="270"/>
      <w:bookmarkEnd w:id="271"/>
      <w:r>
        <w:rPr>
          <w:rFonts w:hint="eastAsia"/>
          <w:u w:val="single"/>
        </w:rPr>
        <w:t>均较</w:t>
      </w:r>
      <w:bookmarkStart w:id="272" w:name="_Toc448490628"/>
      <w:bookmarkStart w:id="273" w:name="_Toc478148593"/>
      <w:bookmarkStart w:id="274" w:name="_Toc382904619"/>
      <w:bookmarkStart w:id="275" w:name="_Toc445709592"/>
      <w:r>
        <w:rPr>
          <w:rFonts w:hint="eastAsia"/>
          <w:u w:val="single"/>
        </w:rPr>
        <w:t>小。</w:t>
      </w:r>
    </w:p>
    <w:p>
      <w:pPr>
        <w:ind w:firstLine="480"/>
        <w:jc w:val="both"/>
        <w:rPr>
          <w:u w:val="single"/>
        </w:rPr>
      </w:pPr>
      <w:r>
        <w:rPr>
          <w:rFonts w:hint="eastAsia"/>
          <w:u w:val="single"/>
        </w:rPr>
        <w:t>评</w:t>
      </w:r>
      <w:bookmarkEnd w:id="272"/>
      <w:bookmarkEnd w:id="273"/>
      <w:bookmarkEnd w:id="274"/>
      <w:bookmarkEnd w:id="275"/>
      <w:r>
        <w:rPr>
          <w:rFonts w:hint="eastAsia"/>
          <w:u w:val="single"/>
        </w:rPr>
        <w:t>价范围内的主要生态系统依据类型分为森林生态系统</w:t>
      </w:r>
      <w:r>
        <w:rPr>
          <w:rFonts w:hint="eastAsia"/>
          <w:u w:val="single"/>
          <w:lang w:eastAsia="zh-CN"/>
        </w:rPr>
        <w:t>、</w:t>
      </w:r>
      <w:r>
        <w:rPr>
          <w:rFonts w:hint="eastAsia"/>
          <w:u w:val="single"/>
        </w:rPr>
        <w:t>灌丛生态系统</w:t>
      </w:r>
      <w:r>
        <w:rPr>
          <w:rFonts w:hint="eastAsia"/>
          <w:u w:val="single"/>
          <w:lang w:eastAsia="zh-CN"/>
        </w:rPr>
        <w:t>、</w:t>
      </w:r>
      <w:r>
        <w:rPr>
          <w:rFonts w:hint="eastAsia"/>
          <w:u w:val="single"/>
        </w:rPr>
        <w:t>湿地生态系统</w:t>
      </w:r>
      <w:r>
        <w:rPr>
          <w:rFonts w:hint="eastAsia"/>
          <w:u w:val="single"/>
          <w:lang w:eastAsia="zh-CN"/>
        </w:rPr>
        <w:t>、</w:t>
      </w:r>
      <w:r>
        <w:rPr>
          <w:rFonts w:hint="eastAsia"/>
          <w:u w:val="single"/>
        </w:rPr>
        <w:t>城镇生态系统，</w:t>
      </w:r>
      <w:r>
        <w:rPr>
          <w:u w:val="single"/>
        </w:rPr>
        <w:t>评价区内的生态系统以森林生态系统</w:t>
      </w:r>
      <w:r>
        <w:rPr>
          <w:rFonts w:hint="eastAsia"/>
          <w:u w:val="single"/>
          <w:lang w:eastAsia="zh-CN"/>
        </w:rPr>
        <w:t>及</w:t>
      </w:r>
      <w:r>
        <w:rPr>
          <w:rFonts w:hint="eastAsia"/>
          <w:u w:val="single"/>
        </w:rPr>
        <w:t>城镇生态系统</w:t>
      </w:r>
      <w:r>
        <w:rPr>
          <w:u w:val="single"/>
        </w:rPr>
        <w:t>为主</w:t>
      </w:r>
      <w:r>
        <w:rPr>
          <w:rFonts w:hint="eastAsia"/>
          <w:u w:val="single"/>
        </w:rPr>
        <w:t>。</w:t>
      </w:r>
    </w:p>
    <w:p>
      <w:pPr>
        <w:bidi w:val="0"/>
        <w:jc w:val="both"/>
        <w:rPr>
          <w:u w:val="single"/>
        </w:rPr>
      </w:pPr>
      <w:bookmarkStart w:id="276" w:name="_Toc497220701"/>
      <w:bookmarkStart w:id="277" w:name="_Toc22531"/>
      <w:r>
        <w:rPr>
          <w:rFonts w:hint="eastAsia"/>
          <w:u w:val="single"/>
          <w:lang w:val="en-US" w:eastAsia="zh-CN"/>
        </w:rPr>
        <w:t>2）</w:t>
      </w:r>
      <w:r>
        <w:rPr>
          <w:rFonts w:hint="eastAsia"/>
          <w:u w:val="single"/>
        </w:rPr>
        <w:t>生态敏感区</w:t>
      </w:r>
      <w:bookmarkEnd w:id="276"/>
      <w:bookmarkEnd w:id="277"/>
    </w:p>
    <w:p>
      <w:pPr>
        <w:ind w:firstLine="480"/>
        <w:jc w:val="both"/>
        <w:rPr>
          <w:u w:val="single"/>
        </w:rPr>
      </w:pPr>
      <w:r>
        <w:rPr>
          <w:u w:val="single"/>
        </w:rPr>
        <w:t>通过对本工程所在行政区内各类型生态敏感区的排查</w:t>
      </w:r>
      <w:r>
        <w:rPr>
          <w:rFonts w:hint="eastAsia"/>
          <w:bCs/>
          <w:szCs w:val="24"/>
          <w:u w:val="single"/>
          <w:lang w:eastAsia="zh-CN"/>
        </w:rPr>
        <w:t>，</w:t>
      </w:r>
      <w:r>
        <w:rPr>
          <w:u w:val="single"/>
        </w:rPr>
        <w:t>本项目以</w:t>
      </w:r>
      <w:r>
        <w:rPr>
          <w:rFonts w:hint="eastAsia"/>
          <w:u w:val="single"/>
          <w:lang w:eastAsia="zh-CN"/>
        </w:rPr>
        <w:t>排水管道临时占用湖南永顺不二门国家级森林公园、猛洞河国家级风景名胜区、永顺猛洞河地质公园</w:t>
      </w:r>
      <w:r>
        <w:rPr>
          <w:bCs/>
          <w:szCs w:val="24"/>
          <w:u w:val="single"/>
        </w:rPr>
        <w:t>，</w:t>
      </w:r>
      <w:r>
        <w:rPr>
          <w:rFonts w:hint="eastAsia"/>
          <w:bCs/>
          <w:szCs w:val="24"/>
          <w:u w:val="single"/>
          <w:lang w:eastAsia="zh-CN"/>
        </w:rPr>
        <w:t>排水管道建成后深埋于地下，对生态敏感区造成影响较小</w:t>
      </w:r>
      <w:r>
        <w:rPr>
          <w:u w:val="single"/>
        </w:rPr>
        <w:t>。</w:t>
      </w:r>
    </w:p>
    <w:p>
      <w:pPr>
        <w:bidi w:val="0"/>
        <w:jc w:val="both"/>
        <w:rPr>
          <w:u w:val="single"/>
        </w:rPr>
      </w:pPr>
      <w:bookmarkStart w:id="278" w:name="_Toc497220702"/>
      <w:bookmarkStart w:id="279" w:name="_Toc478243907"/>
      <w:bookmarkStart w:id="280" w:name="_Toc20430"/>
      <w:r>
        <w:rPr>
          <w:rFonts w:hint="eastAsia"/>
          <w:u w:val="single"/>
          <w:lang w:val="en-US" w:eastAsia="zh-CN"/>
        </w:rPr>
        <w:t>3）</w:t>
      </w:r>
      <w:r>
        <w:rPr>
          <w:u w:val="single"/>
        </w:rPr>
        <w:t>陆生植物</w:t>
      </w:r>
      <w:bookmarkEnd w:id="278"/>
      <w:bookmarkEnd w:id="279"/>
      <w:bookmarkEnd w:id="280"/>
    </w:p>
    <w:p>
      <w:pPr>
        <w:bidi w:val="0"/>
        <w:jc w:val="both"/>
        <w:rPr>
          <w:u w:val="single"/>
        </w:rPr>
      </w:pPr>
      <w:r>
        <w:rPr>
          <w:rFonts w:hint="eastAsia"/>
          <w:u w:val="single"/>
          <w:lang w:val="en-US" w:eastAsia="zh-CN"/>
        </w:rPr>
        <w:t>①</w:t>
      </w:r>
      <w:r>
        <w:rPr>
          <w:u w:val="single"/>
        </w:rPr>
        <w:t>评价区位于</w:t>
      </w:r>
      <w:r>
        <w:rPr>
          <w:rFonts w:hint="eastAsia"/>
          <w:u w:val="single"/>
        </w:rPr>
        <w:t>东亚植物区——中国、日本森林植物亚区——岭南山地地区——粤、桂山地亚地区</w:t>
      </w:r>
      <w:r>
        <w:rPr>
          <w:u w:val="single"/>
        </w:rPr>
        <w:t>。</w:t>
      </w:r>
      <w:r>
        <w:rPr>
          <w:rFonts w:hint="eastAsia"/>
          <w:u w:val="single"/>
        </w:rPr>
        <w:t>现场植被多为毛竹林、杉木林、马尾松林等。</w:t>
      </w:r>
    </w:p>
    <w:p>
      <w:pPr>
        <w:bidi w:val="0"/>
        <w:jc w:val="both"/>
        <w:rPr>
          <w:rFonts w:hint="eastAsia" w:eastAsia="宋体"/>
          <w:u w:val="single"/>
          <w:lang w:eastAsia="zh-CN"/>
        </w:rPr>
      </w:pPr>
      <w:r>
        <w:rPr>
          <w:rFonts w:hint="eastAsia"/>
          <w:u w:val="single"/>
          <w:lang w:val="en-US" w:eastAsia="zh-CN"/>
        </w:rPr>
        <w:t>②</w:t>
      </w:r>
      <w:r>
        <w:rPr>
          <w:rFonts w:hint="eastAsia"/>
          <w:u w:val="single"/>
        </w:rPr>
        <w:t>根据</w:t>
      </w:r>
      <w:r>
        <w:rPr>
          <w:u w:val="single"/>
        </w:rPr>
        <w:t>《湖南植被》，结合对评价区内现状植被中群落组成的建群种与优势种的外貌，以及群落的环境生态与地理分布特征等分析，</w:t>
      </w:r>
      <w:r>
        <w:rPr>
          <w:rFonts w:hint="eastAsia"/>
          <w:u w:val="single"/>
        </w:rPr>
        <w:t>现有为次生植被和人工林，将评价区自然植被初步划分为4个植被型组、7个植被型、16个群系</w:t>
      </w:r>
      <w:r>
        <w:rPr>
          <w:rFonts w:hint="eastAsia"/>
          <w:u w:val="single"/>
          <w:lang w:eastAsia="zh-CN"/>
        </w:rPr>
        <w:t>。</w:t>
      </w:r>
    </w:p>
    <w:p>
      <w:pPr>
        <w:bidi w:val="0"/>
        <w:jc w:val="both"/>
      </w:pPr>
      <w:r>
        <w:rPr>
          <w:rFonts w:hint="eastAsia"/>
          <w:u w:val="single"/>
          <w:lang w:val="en-US" w:eastAsia="zh-CN"/>
        </w:rPr>
        <w:t>③</w:t>
      </w:r>
      <w:r>
        <w:rPr>
          <w:rFonts w:hint="eastAsia"/>
          <w:u w:val="single"/>
        </w:rPr>
        <w:t>根据实地调查，评价区内未发现国家级重点保护野生植物，未发现湖南省省级重点保护野生植物，未发现古树名木。</w:t>
      </w:r>
    </w:p>
    <w:p>
      <w:pPr>
        <w:bidi w:val="0"/>
        <w:jc w:val="both"/>
        <w:rPr>
          <w:u w:val="single"/>
        </w:rPr>
      </w:pPr>
      <w:bookmarkStart w:id="281" w:name="_Toc478243908"/>
      <w:bookmarkStart w:id="282" w:name="_Toc497220703"/>
      <w:bookmarkStart w:id="283" w:name="_Toc31368"/>
      <w:r>
        <w:rPr>
          <w:rFonts w:hint="eastAsia"/>
          <w:u w:val="single"/>
          <w:lang w:val="en-US" w:eastAsia="zh-CN"/>
        </w:rPr>
        <w:t>4）</w:t>
      </w:r>
      <w:r>
        <w:rPr>
          <w:u w:val="single"/>
        </w:rPr>
        <w:t>陆生动物</w:t>
      </w:r>
      <w:bookmarkEnd w:id="281"/>
      <w:bookmarkEnd w:id="282"/>
      <w:bookmarkEnd w:id="283"/>
    </w:p>
    <w:p>
      <w:pPr>
        <w:bidi w:val="0"/>
        <w:jc w:val="both"/>
        <w:rPr>
          <w:u w:val="single"/>
        </w:rPr>
      </w:pPr>
      <w:r>
        <w:rPr>
          <w:u w:val="single"/>
        </w:rPr>
        <w:t>根据实地考察及对相关资料进行综合分析，评价区共有</w:t>
      </w:r>
      <w:r>
        <w:rPr>
          <w:rFonts w:hint="eastAsia"/>
          <w:u w:val="single"/>
        </w:rPr>
        <w:t>评价区共有脊椎动物</w:t>
      </w:r>
      <w:r>
        <w:rPr>
          <w:u w:val="single"/>
        </w:rPr>
        <w:t>4</w:t>
      </w:r>
      <w:r>
        <w:rPr>
          <w:rFonts w:hint="eastAsia"/>
          <w:u w:val="single"/>
        </w:rPr>
        <w:t>纲</w:t>
      </w:r>
      <w:r>
        <w:rPr>
          <w:u w:val="single"/>
        </w:rPr>
        <w:t>17</w:t>
      </w:r>
      <w:r>
        <w:rPr>
          <w:rFonts w:hint="eastAsia"/>
          <w:u w:val="single"/>
        </w:rPr>
        <w:t>目</w:t>
      </w:r>
      <w:r>
        <w:rPr>
          <w:u w:val="single"/>
        </w:rPr>
        <w:t>44</w:t>
      </w:r>
      <w:r>
        <w:rPr>
          <w:rFonts w:hint="eastAsia"/>
          <w:u w:val="single"/>
        </w:rPr>
        <w:t>科</w:t>
      </w:r>
      <w:r>
        <w:rPr>
          <w:u w:val="single"/>
        </w:rPr>
        <w:t>9</w:t>
      </w:r>
      <w:r>
        <w:rPr>
          <w:rFonts w:hint="eastAsia"/>
          <w:u w:val="single"/>
        </w:rPr>
        <w:t>2种</w:t>
      </w:r>
      <w:r>
        <w:rPr>
          <w:u w:val="single"/>
        </w:rPr>
        <w:t>；未发现国家</w:t>
      </w:r>
      <w:r>
        <w:rPr>
          <w:rFonts w:hint="eastAsia"/>
          <w:u w:val="single"/>
        </w:rPr>
        <w:t>Ⅰ</w:t>
      </w:r>
      <w:r>
        <w:rPr>
          <w:u w:val="single"/>
        </w:rPr>
        <w:t>级</w:t>
      </w:r>
      <w:r>
        <w:rPr>
          <w:rFonts w:hint="eastAsia"/>
          <w:u w:val="single"/>
          <w:lang w:eastAsia="zh-CN"/>
        </w:rPr>
        <w:t>、</w:t>
      </w:r>
      <w:r>
        <w:rPr>
          <w:rFonts w:hint="eastAsia"/>
          <w:u w:val="single"/>
        </w:rPr>
        <w:t>Ⅱ</w:t>
      </w:r>
      <w:r>
        <w:rPr>
          <w:u w:val="single"/>
        </w:rPr>
        <w:t>级重点保护野生动物；</w:t>
      </w:r>
    </w:p>
    <w:p>
      <w:pPr>
        <w:bidi w:val="0"/>
        <w:jc w:val="both"/>
        <w:rPr>
          <w:u w:val="single"/>
        </w:rPr>
      </w:pPr>
      <w:r>
        <w:rPr>
          <w:rFonts w:hint="eastAsia"/>
          <w:u w:val="single"/>
          <w:lang w:val="en-US" w:eastAsia="zh-CN"/>
        </w:rPr>
        <w:t>①</w:t>
      </w:r>
      <w:r>
        <w:rPr>
          <w:u w:val="single"/>
        </w:rPr>
        <w:t>评价区内两栖类有1目</w:t>
      </w:r>
      <w:r>
        <w:rPr>
          <w:rFonts w:hint="eastAsia"/>
          <w:u w:val="single"/>
          <w:lang w:val="en-US" w:eastAsia="zh-CN"/>
        </w:rPr>
        <w:t>4</w:t>
      </w:r>
      <w:r>
        <w:rPr>
          <w:u w:val="single"/>
        </w:rPr>
        <w:t>科</w:t>
      </w:r>
      <w:r>
        <w:rPr>
          <w:rFonts w:hint="eastAsia"/>
          <w:u w:val="single"/>
          <w:lang w:val="en-US" w:eastAsia="zh-CN"/>
        </w:rPr>
        <w:t>8</w:t>
      </w:r>
      <w:r>
        <w:rPr>
          <w:u w:val="single"/>
        </w:rPr>
        <w:t>种，未发现国家级重点保护野生两栖类分布，有湖南省级重点保护野生两栖类</w:t>
      </w:r>
      <w:r>
        <w:rPr>
          <w:rFonts w:hint="eastAsia"/>
          <w:u w:val="single"/>
          <w:lang w:val="en-US" w:eastAsia="zh-CN"/>
        </w:rPr>
        <w:t>7</w:t>
      </w:r>
      <w:r>
        <w:rPr>
          <w:u w:val="single"/>
        </w:rPr>
        <w:t>种；</w:t>
      </w:r>
    </w:p>
    <w:p>
      <w:pPr>
        <w:bidi w:val="0"/>
        <w:jc w:val="both"/>
        <w:rPr>
          <w:u w:val="single"/>
        </w:rPr>
      </w:pPr>
      <w:r>
        <w:rPr>
          <w:rFonts w:hint="eastAsia"/>
          <w:u w:val="single"/>
          <w:lang w:val="en-US" w:eastAsia="zh-CN"/>
        </w:rPr>
        <w:t>②</w:t>
      </w:r>
      <w:r>
        <w:rPr>
          <w:u w:val="single"/>
        </w:rPr>
        <w:t>评价区内爬行类共有</w:t>
      </w:r>
      <w:r>
        <w:rPr>
          <w:rFonts w:hint="eastAsia"/>
          <w:u w:val="single"/>
          <w:lang w:val="en-US" w:eastAsia="zh-CN"/>
        </w:rPr>
        <w:t>1</w:t>
      </w:r>
      <w:r>
        <w:rPr>
          <w:u w:val="single"/>
        </w:rPr>
        <w:t>目</w:t>
      </w:r>
      <w:r>
        <w:rPr>
          <w:rFonts w:hint="eastAsia"/>
          <w:u w:val="single"/>
          <w:lang w:val="en-US" w:eastAsia="zh-CN"/>
        </w:rPr>
        <w:t>6</w:t>
      </w:r>
      <w:r>
        <w:rPr>
          <w:u w:val="single"/>
        </w:rPr>
        <w:t>科</w:t>
      </w:r>
      <w:r>
        <w:rPr>
          <w:rFonts w:hint="eastAsia"/>
          <w:u w:val="single"/>
          <w:lang w:val="en-US" w:eastAsia="zh-CN"/>
        </w:rPr>
        <w:t>10</w:t>
      </w:r>
      <w:r>
        <w:rPr>
          <w:u w:val="single"/>
        </w:rPr>
        <w:t>种，未发现国家级重点保护野生爬行类分布，有湖南省级重点保护野生爬行类10种；</w:t>
      </w:r>
    </w:p>
    <w:p>
      <w:pPr>
        <w:bidi w:val="0"/>
        <w:jc w:val="both"/>
        <w:rPr>
          <w:u w:val="single"/>
        </w:rPr>
      </w:pPr>
      <w:r>
        <w:rPr>
          <w:rFonts w:hint="eastAsia"/>
          <w:u w:val="single"/>
          <w:lang w:val="en-US" w:eastAsia="zh-CN"/>
        </w:rPr>
        <w:t>③</w:t>
      </w:r>
      <w:r>
        <w:rPr>
          <w:u w:val="single"/>
        </w:rPr>
        <w:t>评价区内共分布有鸟类</w:t>
      </w:r>
      <w:r>
        <w:rPr>
          <w:rFonts w:hint="eastAsia"/>
          <w:u w:val="single"/>
          <w:lang w:val="en-US" w:eastAsia="zh-CN"/>
        </w:rPr>
        <w:t>9</w:t>
      </w:r>
      <w:r>
        <w:rPr>
          <w:u w:val="single"/>
        </w:rPr>
        <w:t>目</w:t>
      </w:r>
      <w:r>
        <w:rPr>
          <w:rFonts w:hint="eastAsia"/>
          <w:u w:val="single"/>
          <w:lang w:val="en-US" w:eastAsia="zh-CN"/>
        </w:rPr>
        <w:t>27</w:t>
      </w:r>
      <w:r>
        <w:rPr>
          <w:u w:val="single"/>
        </w:rPr>
        <w:t>科</w:t>
      </w:r>
      <w:r>
        <w:rPr>
          <w:rFonts w:hint="eastAsia"/>
          <w:u w:val="single"/>
          <w:lang w:val="en-US" w:eastAsia="zh-CN"/>
        </w:rPr>
        <w:t>64</w:t>
      </w:r>
      <w:r>
        <w:rPr>
          <w:u w:val="single"/>
        </w:rPr>
        <w:t>种，未发现国家级重点保护野生</w:t>
      </w:r>
      <w:r>
        <w:rPr>
          <w:rFonts w:hint="eastAsia"/>
          <w:u w:val="single"/>
          <w:lang w:val="en-US" w:eastAsia="zh-CN"/>
        </w:rPr>
        <w:t>鸟类</w:t>
      </w:r>
      <w:r>
        <w:rPr>
          <w:u w:val="single"/>
        </w:rPr>
        <w:t>类分布</w:t>
      </w:r>
      <w:r>
        <w:rPr>
          <w:rFonts w:hint="eastAsia"/>
          <w:u w:val="single"/>
          <w:lang w:eastAsia="zh-CN"/>
        </w:rPr>
        <w:t>，</w:t>
      </w:r>
      <w:r>
        <w:rPr>
          <w:u w:val="single"/>
        </w:rPr>
        <w:t>有湖南省级重点保护野生鸟类</w:t>
      </w:r>
      <w:r>
        <w:rPr>
          <w:rFonts w:hint="eastAsia"/>
          <w:u w:val="single"/>
          <w:lang w:val="en-US" w:eastAsia="zh-CN"/>
        </w:rPr>
        <w:t>42</w:t>
      </w:r>
      <w:r>
        <w:rPr>
          <w:u w:val="single"/>
        </w:rPr>
        <w:t>种；</w:t>
      </w:r>
    </w:p>
    <w:p>
      <w:pPr>
        <w:bidi w:val="0"/>
        <w:jc w:val="both"/>
        <w:rPr>
          <w:rFonts w:hint="eastAsia"/>
          <w:u w:val="single"/>
          <w:lang w:val="zh-CN"/>
        </w:rPr>
      </w:pPr>
      <w:r>
        <w:rPr>
          <w:rFonts w:hint="eastAsia"/>
          <w:u w:val="single"/>
          <w:lang w:val="en-US" w:eastAsia="zh-CN"/>
        </w:rPr>
        <w:t>④</w:t>
      </w:r>
      <w:r>
        <w:rPr>
          <w:u w:val="single"/>
        </w:rPr>
        <w:t>评价区内哺乳类共有6目</w:t>
      </w:r>
      <w:r>
        <w:rPr>
          <w:rFonts w:hint="eastAsia"/>
          <w:u w:val="single"/>
          <w:lang w:val="en-US" w:eastAsia="zh-CN"/>
        </w:rPr>
        <w:t>7</w:t>
      </w:r>
      <w:r>
        <w:rPr>
          <w:u w:val="single"/>
        </w:rPr>
        <w:t>科</w:t>
      </w:r>
      <w:r>
        <w:rPr>
          <w:rFonts w:hint="eastAsia"/>
          <w:u w:val="single"/>
          <w:lang w:val="en-US" w:eastAsia="zh-CN"/>
        </w:rPr>
        <w:t>10</w:t>
      </w:r>
      <w:r>
        <w:rPr>
          <w:u w:val="single"/>
        </w:rPr>
        <w:t>种，未发现国家级重点保护野生</w:t>
      </w:r>
      <w:r>
        <w:rPr>
          <w:rFonts w:hint="eastAsia"/>
          <w:u w:val="single"/>
          <w:lang w:val="en-US" w:eastAsia="zh-CN"/>
        </w:rPr>
        <w:t>哺乳</w:t>
      </w:r>
      <w:r>
        <w:rPr>
          <w:u w:val="single"/>
        </w:rPr>
        <w:t>类分布</w:t>
      </w:r>
      <w:r>
        <w:rPr>
          <w:u w:val="single"/>
          <w:lang w:val="zh-CN"/>
        </w:rPr>
        <w:t>，有湖南省级重点保护野生哺乳类</w:t>
      </w:r>
      <w:r>
        <w:rPr>
          <w:rFonts w:hint="eastAsia"/>
          <w:u w:val="single"/>
          <w:lang w:val="en-US" w:eastAsia="zh-CN"/>
        </w:rPr>
        <w:t>5</w:t>
      </w:r>
      <w:r>
        <w:rPr>
          <w:u w:val="single"/>
          <w:lang w:val="zh-CN"/>
        </w:rPr>
        <w:t>种</w:t>
      </w:r>
      <w:r>
        <w:rPr>
          <w:rFonts w:hint="eastAsia"/>
          <w:u w:val="single"/>
          <w:lang w:val="zh-CN"/>
        </w:rPr>
        <w:t>。</w:t>
      </w:r>
    </w:p>
    <w:p>
      <w:pPr>
        <w:bidi w:val="0"/>
        <w:ind w:left="0" w:leftChars="0" w:firstLine="0" w:firstLineChars="0"/>
        <w:rPr>
          <w:rFonts w:hint="default" w:eastAsia="宋体"/>
          <w:b/>
          <w:bCs/>
          <w:u w:val="single"/>
          <w:lang w:val="en-US" w:eastAsia="zh-CN"/>
        </w:rPr>
      </w:pPr>
      <w:r>
        <w:rPr>
          <w:rFonts w:hint="eastAsia"/>
          <w:b/>
          <w:bCs/>
          <w:u w:val="single"/>
          <w:lang w:val="en-US" w:eastAsia="zh-CN"/>
        </w:rPr>
        <w:t>4.2.7.6.4</w:t>
      </w:r>
      <w:bookmarkStart w:id="284" w:name="_Toc25046"/>
      <w:r>
        <w:rPr>
          <w:rFonts w:hint="eastAsia"/>
          <w:b/>
          <w:bCs/>
          <w:u w:val="single"/>
          <w:lang w:val="en-US" w:eastAsia="zh-CN"/>
        </w:rPr>
        <w:t>生态环境影响预测与评价</w:t>
      </w:r>
      <w:bookmarkEnd w:id="284"/>
    </w:p>
    <w:p>
      <w:pPr>
        <w:bidi w:val="0"/>
        <w:jc w:val="both"/>
        <w:rPr>
          <w:rFonts w:hint="default" w:eastAsia="宋体"/>
          <w:u w:val="single"/>
          <w:lang w:val="en-US" w:eastAsia="zh-CN"/>
        </w:rPr>
      </w:pPr>
      <w:r>
        <w:rPr>
          <w:rFonts w:hint="eastAsia"/>
          <w:u w:val="single"/>
          <w:lang w:val="en-US" w:eastAsia="zh-CN"/>
        </w:rPr>
        <w:t>（1）生态影响因子及对象分析</w:t>
      </w:r>
    </w:p>
    <w:p>
      <w:pPr>
        <w:bidi w:val="0"/>
        <w:jc w:val="both"/>
        <w:rPr>
          <w:rFonts w:hint="eastAsia"/>
          <w:u w:val="single"/>
          <w:lang w:val="en-US" w:eastAsia="zh-CN"/>
        </w:rPr>
      </w:pPr>
      <w:r>
        <w:rPr>
          <w:rFonts w:hint="eastAsia"/>
          <w:u w:val="single"/>
          <w:lang w:val="en-US" w:eastAsia="zh-CN"/>
        </w:rPr>
        <w:t>本工程建设不可避免的会对评价区生态产生不利影响，主要影响时段有施工期、运营期，主要影响方式有直接影响、间接影响等（详见表4.2-21)。</w:t>
      </w:r>
    </w:p>
    <w:p>
      <w:pPr>
        <w:pStyle w:val="126"/>
        <w:bidi w:val="0"/>
        <w:rPr>
          <w:rFonts w:hint="eastAsia"/>
          <w:u w:val="single"/>
          <w:lang w:val="en-US" w:eastAsia="zh-CN"/>
        </w:rPr>
      </w:pPr>
      <w:r>
        <w:rPr>
          <w:rFonts w:hint="eastAsia"/>
          <w:u w:val="single"/>
          <w:lang w:val="en-US" w:eastAsia="zh-CN"/>
        </w:rPr>
        <w:t>表4.2-21：生态影响评价因子筛选表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845"/>
        <w:gridCol w:w="1329"/>
        <w:gridCol w:w="3877"/>
        <w:gridCol w:w="1024"/>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3"/>
              <w:bidi w:val="0"/>
              <w:jc w:val="center"/>
              <w:rPr>
                <w:rFonts w:hint="default"/>
                <w:b/>
                <w:bCs/>
                <w:u w:val="single"/>
                <w:lang w:val="en-US" w:eastAsia="zh-CN"/>
              </w:rPr>
            </w:pPr>
            <w:r>
              <w:rPr>
                <w:rFonts w:hint="eastAsia"/>
                <w:b/>
                <w:bCs/>
                <w:u w:val="single"/>
                <w:lang w:val="en-US" w:eastAsia="zh-CN"/>
              </w:rPr>
              <w:t>阶段</w:t>
            </w:r>
          </w:p>
        </w:tc>
        <w:tc>
          <w:tcPr>
            <w:tcW w:w="845" w:type="dxa"/>
            <w:vAlign w:val="center"/>
          </w:tcPr>
          <w:p>
            <w:pPr>
              <w:pStyle w:val="13"/>
              <w:bidi w:val="0"/>
              <w:jc w:val="center"/>
              <w:rPr>
                <w:rFonts w:hint="default"/>
                <w:b/>
                <w:bCs/>
                <w:u w:val="single"/>
                <w:lang w:val="en-US" w:eastAsia="zh-CN"/>
              </w:rPr>
            </w:pPr>
            <w:r>
              <w:rPr>
                <w:rFonts w:hint="eastAsia"/>
                <w:b/>
                <w:bCs/>
                <w:u w:val="single"/>
                <w:lang w:val="en-US" w:eastAsia="zh-CN"/>
              </w:rPr>
              <w:t>影响对象</w:t>
            </w:r>
          </w:p>
        </w:tc>
        <w:tc>
          <w:tcPr>
            <w:tcW w:w="1329" w:type="dxa"/>
            <w:vAlign w:val="center"/>
          </w:tcPr>
          <w:p>
            <w:pPr>
              <w:pStyle w:val="13"/>
              <w:bidi w:val="0"/>
              <w:jc w:val="center"/>
              <w:rPr>
                <w:rFonts w:hint="default"/>
                <w:b/>
                <w:bCs/>
                <w:u w:val="single"/>
                <w:lang w:val="en-US" w:eastAsia="zh-CN"/>
              </w:rPr>
            </w:pPr>
            <w:r>
              <w:rPr>
                <w:rFonts w:hint="eastAsia"/>
                <w:b/>
                <w:bCs/>
                <w:u w:val="single"/>
                <w:lang w:val="en-US" w:eastAsia="zh-CN"/>
              </w:rPr>
              <w:t>评价因子</w:t>
            </w:r>
          </w:p>
        </w:tc>
        <w:tc>
          <w:tcPr>
            <w:tcW w:w="3877" w:type="dxa"/>
            <w:vAlign w:val="center"/>
          </w:tcPr>
          <w:p>
            <w:pPr>
              <w:pStyle w:val="13"/>
              <w:bidi w:val="0"/>
              <w:jc w:val="center"/>
              <w:rPr>
                <w:rFonts w:hint="default"/>
                <w:b/>
                <w:bCs/>
                <w:u w:val="single"/>
                <w:lang w:val="en-US" w:eastAsia="zh-CN"/>
              </w:rPr>
            </w:pPr>
            <w:r>
              <w:rPr>
                <w:rFonts w:hint="eastAsia"/>
                <w:b/>
                <w:bCs/>
                <w:u w:val="single"/>
                <w:lang w:val="en-US" w:eastAsia="zh-CN"/>
              </w:rPr>
              <w:t>工程内容及影响方式</w:t>
            </w:r>
          </w:p>
        </w:tc>
        <w:tc>
          <w:tcPr>
            <w:tcW w:w="1024" w:type="dxa"/>
            <w:vAlign w:val="center"/>
          </w:tcPr>
          <w:p>
            <w:pPr>
              <w:pStyle w:val="13"/>
              <w:bidi w:val="0"/>
              <w:jc w:val="center"/>
              <w:rPr>
                <w:rFonts w:hint="default"/>
                <w:b/>
                <w:bCs/>
                <w:u w:val="single"/>
                <w:lang w:val="en-US" w:eastAsia="zh-CN"/>
              </w:rPr>
            </w:pPr>
            <w:r>
              <w:rPr>
                <w:rFonts w:hint="eastAsia"/>
                <w:b/>
                <w:bCs/>
                <w:u w:val="single"/>
                <w:lang w:val="en-US" w:eastAsia="zh-CN"/>
              </w:rPr>
              <w:t>影响性质</w:t>
            </w:r>
          </w:p>
        </w:tc>
        <w:tc>
          <w:tcPr>
            <w:tcW w:w="866" w:type="dxa"/>
            <w:vAlign w:val="center"/>
          </w:tcPr>
          <w:p>
            <w:pPr>
              <w:pStyle w:val="13"/>
              <w:bidi w:val="0"/>
              <w:jc w:val="center"/>
              <w:rPr>
                <w:rFonts w:hint="default"/>
                <w:b/>
                <w:bCs/>
                <w:u w:val="single"/>
                <w:lang w:val="en-US" w:eastAsia="zh-CN"/>
              </w:rPr>
            </w:pPr>
            <w:r>
              <w:rPr>
                <w:rFonts w:hint="eastAsia"/>
                <w:b/>
                <w:bCs/>
                <w:u w:val="single"/>
                <w:lang w:val="en-US" w:eastAsia="zh-CN"/>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3"/>
              <w:bidi w:val="0"/>
              <w:jc w:val="center"/>
              <w:rPr>
                <w:rFonts w:hint="default"/>
                <w:u w:val="single"/>
                <w:lang w:val="en-US" w:eastAsia="zh-CN"/>
              </w:rPr>
            </w:pPr>
            <w:r>
              <w:rPr>
                <w:rFonts w:hint="eastAsia"/>
                <w:u w:val="single"/>
                <w:lang w:val="en-US" w:eastAsia="zh-CN"/>
              </w:rPr>
              <w:t>施工期</w:t>
            </w:r>
          </w:p>
        </w:tc>
        <w:tc>
          <w:tcPr>
            <w:tcW w:w="845" w:type="dxa"/>
            <w:vMerge w:val="restart"/>
            <w:vAlign w:val="center"/>
          </w:tcPr>
          <w:p>
            <w:pPr>
              <w:pStyle w:val="13"/>
              <w:bidi w:val="0"/>
              <w:jc w:val="center"/>
              <w:rPr>
                <w:rFonts w:hint="default"/>
                <w:u w:val="single"/>
                <w:lang w:val="en-US" w:eastAsia="zh-CN"/>
              </w:rPr>
            </w:pPr>
            <w:r>
              <w:rPr>
                <w:rFonts w:hint="eastAsia"/>
                <w:u w:val="single"/>
                <w:lang w:val="en-US" w:eastAsia="zh-CN"/>
              </w:rPr>
              <w:t>物种</w:t>
            </w:r>
          </w:p>
        </w:tc>
        <w:tc>
          <w:tcPr>
            <w:tcW w:w="1329" w:type="dxa"/>
            <w:vMerge w:val="restart"/>
            <w:vAlign w:val="center"/>
          </w:tcPr>
          <w:p>
            <w:pPr>
              <w:pStyle w:val="13"/>
              <w:bidi w:val="0"/>
              <w:jc w:val="center"/>
              <w:rPr>
                <w:rFonts w:hint="default"/>
                <w:u w:val="single"/>
                <w:lang w:val="en-US" w:eastAsia="zh-CN"/>
              </w:rPr>
            </w:pPr>
            <w:r>
              <w:rPr>
                <w:rFonts w:hint="eastAsia"/>
                <w:u w:val="single"/>
                <w:lang w:val="en-US" w:eastAsia="zh-CN"/>
              </w:rPr>
              <w:t>分布范围、物种数量、种群结构、行为等</w:t>
            </w:r>
          </w:p>
        </w:tc>
        <w:tc>
          <w:tcPr>
            <w:tcW w:w="3877" w:type="dxa"/>
            <w:vAlign w:val="center"/>
          </w:tcPr>
          <w:p>
            <w:pPr>
              <w:pStyle w:val="13"/>
              <w:bidi w:val="0"/>
              <w:jc w:val="center"/>
              <w:rPr>
                <w:rFonts w:hint="default"/>
                <w:u w:val="single"/>
                <w:lang w:val="en-US" w:eastAsia="zh-CN"/>
              </w:rPr>
            </w:pPr>
            <w:r>
              <w:rPr>
                <w:rFonts w:hint="eastAsia"/>
                <w:u w:val="single"/>
                <w:lang w:val="en-US" w:eastAsia="zh-CN"/>
              </w:rPr>
              <w:t>污水处理厂施工及管道施工造成植被破坏，造成植物物种个体数量的减少；直接影响</w:t>
            </w:r>
          </w:p>
        </w:tc>
        <w:tc>
          <w:tcPr>
            <w:tcW w:w="1024" w:type="dxa"/>
            <w:vAlign w:val="center"/>
          </w:tcPr>
          <w:p>
            <w:pPr>
              <w:pStyle w:val="13"/>
              <w:bidi w:val="0"/>
              <w:jc w:val="center"/>
              <w:rPr>
                <w:rFonts w:hint="default"/>
                <w:u w:val="single"/>
                <w:lang w:val="en-US" w:eastAsia="zh-CN"/>
              </w:rPr>
            </w:pPr>
            <w:r>
              <w:rPr>
                <w:rFonts w:hint="eastAsia"/>
                <w:u w:val="single"/>
                <w:lang w:val="en-US" w:eastAsia="zh-CN"/>
              </w:rPr>
              <w:t>长期、不可逆</w:t>
            </w:r>
          </w:p>
        </w:tc>
        <w:tc>
          <w:tcPr>
            <w:tcW w:w="866" w:type="dxa"/>
            <w:vAlign w:val="center"/>
          </w:tcPr>
          <w:p>
            <w:pPr>
              <w:pStyle w:val="13"/>
              <w:bidi w:val="0"/>
              <w:jc w:val="center"/>
              <w:rPr>
                <w:rFonts w:hint="default"/>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Merge w:val="continue"/>
            <w:vAlign w:val="center"/>
          </w:tcPr>
          <w:p>
            <w:pPr>
              <w:pStyle w:val="13"/>
              <w:bidi w:val="0"/>
              <w:jc w:val="center"/>
              <w:rPr>
                <w:rFonts w:hint="eastAsia"/>
                <w:u w:val="single"/>
                <w:lang w:val="en-US" w:eastAsia="zh-CN"/>
              </w:rPr>
            </w:pPr>
          </w:p>
        </w:tc>
        <w:tc>
          <w:tcPr>
            <w:tcW w:w="1329" w:type="dxa"/>
            <w:vMerge w:val="continue"/>
            <w:vAlign w:val="center"/>
          </w:tcPr>
          <w:p>
            <w:pPr>
              <w:pStyle w:val="13"/>
              <w:bidi w:val="0"/>
              <w:jc w:val="center"/>
              <w:rPr>
                <w:rFonts w:hint="eastAsia"/>
                <w:u w:val="single"/>
                <w:lang w:val="en-US" w:eastAsia="zh-CN"/>
              </w:rPr>
            </w:pPr>
          </w:p>
        </w:tc>
        <w:tc>
          <w:tcPr>
            <w:tcW w:w="3877" w:type="dxa"/>
            <w:vAlign w:val="center"/>
          </w:tcPr>
          <w:p>
            <w:pPr>
              <w:pStyle w:val="13"/>
              <w:bidi w:val="0"/>
              <w:jc w:val="center"/>
              <w:rPr>
                <w:rFonts w:hint="eastAsia"/>
                <w:u w:val="single"/>
                <w:lang w:val="en-US" w:eastAsia="zh-CN"/>
              </w:rPr>
            </w:pPr>
            <w:r>
              <w:rPr>
                <w:rFonts w:hint="eastAsia"/>
                <w:u w:val="single"/>
                <w:lang w:val="en-US" w:eastAsia="zh-CN"/>
              </w:rPr>
              <w:t>污水处理厂施工及管道施工造成植被破坏，产生水土流失；直接影响</w:t>
            </w:r>
          </w:p>
        </w:tc>
        <w:tc>
          <w:tcPr>
            <w:tcW w:w="1024" w:type="dxa"/>
            <w:vAlign w:val="center"/>
          </w:tcPr>
          <w:p>
            <w:pPr>
              <w:pStyle w:val="13"/>
              <w:bidi w:val="0"/>
              <w:jc w:val="center"/>
              <w:rPr>
                <w:rFonts w:hint="eastAsia"/>
                <w:u w:val="single"/>
                <w:lang w:val="en-US" w:eastAsia="zh-CN"/>
              </w:rPr>
            </w:pPr>
            <w:r>
              <w:rPr>
                <w:rFonts w:hint="eastAsia"/>
                <w:u w:val="single"/>
                <w:lang w:val="en-US" w:eastAsia="zh-CN"/>
              </w:rPr>
              <w:t>短期、</w:t>
            </w:r>
          </w:p>
          <w:p>
            <w:pPr>
              <w:pStyle w:val="13"/>
              <w:bidi w:val="0"/>
              <w:jc w:val="center"/>
              <w:rPr>
                <w:rFonts w:hint="eastAsia"/>
                <w:u w:val="single"/>
                <w:lang w:val="en-US" w:eastAsia="zh-CN"/>
              </w:rPr>
            </w:pPr>
            <w:r>
              <w:rPr>
                <w:rFonts w:hint="eastAsia"/>
                <w:u w:val="single"/>
                <w:lang w:val="en-US" w:eastAsia="zh-CN"/>
              </w:rPr>
              <w:t>可逆</w:t>
            </w:r>
          </w:p>
        </w:tc>
        <w:tc>
          <w:tcPr>
            <w:tcW w:w="866" w:type="dxa"/>
            <w:vAlign w:val="center"/>
          </w:tcPr>
          <w:p>
            <w:pPr>
              <w:pStyle w:val="13"/>
              <w:bidi w:val="0"/>
              <w:jc w:val="center"/>
              <w:rPr>
                <w:rFonts w:hint="default"/>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Merge w:val="continue"/>
            <w:vAlign w:val="center"/>
          </w:tcPr>
          <w:p>
            <w:pPr>
              <w:pStyle w:val="13"/>
              <w:bidi w:val="0"/>
              <w:jc w:val="center"/>
              <w:rPr>
                <w:rFonts w:hint="eastAsia"/>
                <w:u w:val="single"/>
                <w:lang w:val="en-US" w:eastAsia="zh-CN"/>
              </w:rPr>
            </w:pPr>
          </w:p>
        </w:tc>
        <w:tc>
          <w:tcPr>
            <w:tcW w:w="1329" w:type="dxa"/>
            <w:vMerge w:val="continue"/>
            <w:vAlign w:val="center"/>
          </w:tcPr>
          <w:p>
            <w:pPr>
              <w:pStyle w:val="13"/>
              <w:bidi w:val="0"/>
              <w:jc w:val="center"/>
              <w:rPr>
                <w:rFonts w:hint="eastAsia"/>
                <w:u w:val="single"/>
                <w:lang w:val="en-US" w:eastAsia="zh-CN"/>
              </w:rPr>
            </w:pPr>
          </w:p>
        </w:tc>
        <w:tc>
          <w:tcPr>
            <w:tcW w:w="3877" w:type="dxa"/>
            <w:vAlign w:val="center"/>
          </w:tcPr>
          <w:p>
            <w:pPr>
              <w:pStyle w:val="13"/>
              <w:bidi w:val="0"/>
              <w:jc w:val="center"/>
              <w:rPr>
                <w:rFonts w:hint="eastAsia"/>
                <w:u w:val="single"/>
                <w:lang w:val="en-US" w:eastAsia="zh-CN"/>
              </w:rPr>
            </w:pPr>
            <w:r>
              <w:rPr>
                <w:rFonts w:hint="eastAsia"/>
                <w:u w:val="single"/>
                <w:lang w:val="en-US" w:eastAsia="zh-CN"/>
              </w:rPr>
              <w:t>施工活动、机械噪声等会驱赶野生动物，使施工区域的动物被迫暂时迁移到适宜的环境中去栖息和繁衍，使得周边野生动物个体数量减少；间接影响</w:t>
            </w:r>
          </w:p>
        </w:tc>
        <w:tc>
          <w:tcPr>
            <w:tcW w:w="1024" w:type="dxa"/>
            <w:vAlign w:val="center"/>
          </w:tcPr>
          <w:p>
            <w:pPr>
              <w:pStyle w:val="13"/>
              <w:bidi w:val="0"/>
              <w:jc w:val="center"/>
              <w:rPr>
                <w:rFonts w:hint="eastAsia"/>
                <w:u w:val="single"/>
                <w:lang w:val="en-US" w:eastAsia="zh-CN"/>
              </w:rPr>
            </w:pPr>
            <w:r>
              <w:rPr>
                <w:rFonts w:hint="eastAsia"/>
                <w:u w:val="single"/>
                <w:lang w:val="en-US" w:eastAsia="zh-CN"/>
              </w:rPr>
              <w:t>短期、</w:t>
            </w:r>
          </w:p>
          <w:p>
            <w:pPr>
              <w:pStyle w:val="13"/>
              <w:bidi w:val="0"/>
              <w:jc w:val="center"/>
              <w:rPr>
                <w:rFonts w:hint="eastAsia"/>
                <w:u w:val="single"/>
                <w:lang w:val="en-US" w:eastAsia="zh-CN"/>
              </w:rPr>
            </w:pPr>
            <w:r>
              <w:rPr>
                <w:rFonts w:hint="eastAsia"/>
                <w:u w:val="single"/>
                <w:lang w:val="en-US" w:eastAsia="zh-CN"/>
              </w:rPr>
              <w:t>可逆</w:t>
            </w:r>
          </w:p>
        </w:tc>
        <w:tc>
          <w:tcPr>
            <w:tcW w:w="866" w:type="dxa"/>
            <w:vAlign w:val="center"/>
          </w:tcPr>
          <w:p>
            <w:pPr>
              <w:pStyle w:val="13"/>
              <w:bidi w:val="0"/>
              <w:jc w:val="center"/>
              <w:rPr>
                <w:rFonts w:hint="default"/>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Merge w:val="restart"/>
            <w:vAlign w:val="center"/>
          </w:tcPr>
          <w:p>
            <w:pPr>
              <w:pStyle w:val="13"/>
              <w:bidi w:val="0"/>
              <w:jc w:val="center"/>
              <w:rPr>
                <w:rFonts w:hint="default"/>
                <w:u w:val="single"/>
                <w:lang w:val="en-US" w:eastAsia="zh-CN"/>
              </w:rPr>
            </w:pPr>
            <w:r>
              <w:rPr>
                <w:rFonts w:hint="eastAsia"/>
                <w:u w:val="single"/>
                <w:lang w:val="en-US" w:eastAsia="zh-CN"/>
              </w:rPr>
              <w:t>生境</w:t>
            </w:r>
          </w:p>
        </w:tc>
        <w:tc>
          <w:tcPr>
            <w:tcW w:w="1329" w:type="dxa"/>
            <w:vMerge w:val="restart"/>
            <w:vAlign w:val="center"/>
          </w:tcPr>
          <w:p>
            <w:pPr>
              <w:pStyle w:val="13"/>
              <w:bidi w:val="0"/>
              <w:jc w:val="center"/>
              <w:rPr>
                <w:rFonts w:hint="eastAsia"/>
                <w:u w:val="single"/>
                <w:lang w:val="en-US" w:eastAsia="zh-CN"/>
              </w:rPr>
            </w:pPr>
            <w:r>
              <w:rPr>
                <w:rFonts w:hint="eastAsia"/>
                <w:u w:val="single"/>
                <w:lang w:val="en-US" w:eastAsia="zh-CN"/>
              </w:rPr>
              <w:t>生境面积、质量、连通性等</w:t>
            </w:r>
          </w:p>
        </w:tc>
        <w:tc>
          <w:tcPr>
            <w:tcW w:w="3877" w:type="dxa"/>
            <w:vAlign w:val="center"/>
          </w:tcPr>
          <w:p>
            <w:pPr>
              <w:pStyle w:val="13"/>
              <w:bidi w:val="0"/>
              <w:jc w:val="center"/>
              <w:rPr>
                <w:rFonts w:hint="eastAsia"/>
                <w:u w:val="single"/>
                <w:lang w:val="en-US" w:eastAsia="zh-CN"/>
              </w:rPr>
            </w:pPr>
            <w:r>
              <w:rPr>
                <w:rFonts w:hint="eastAsia"/>
                <w:u w:val="single"/>
                <w:lang w:val="en-US" w:eastAsia="zh-CN"/>
              </w:rPr>
              <w:t>污水处理厂施工及管道施工破坏植被，改变野生动物栖息环境；直接影响</w:t>
            </w:r>
          </w:p>
        </w:tc>
        <w:tc>
          <w:tcPr>
            <w:tcW w:w="1024" w:type="dxa"/>
            <w:vAlign w:val="center"/>
          </w:tcPr>
          <w:p>
            <w:pPr>
              <w:pStyle w:val="13"/>
              <w:bidi w:val="0"/>
              <w:jc w:val="center"/>
              <w:rPr>
                <w:rFonts w:hint="eastAsia"/>
                <w:u w:val="single"/>
                <w:lang w:val="en-US" w:eastAsia="zh-CN"/>
              </w:rPr>
            </w:pPr>
            <w:r>
              <w:rPr>
                <w:rFonts w:hint="eastAsia"/>
                <w:u w:val="single"/>
                <w:lang w:val="en-US" w:eastAsia="zh-CN"/>
              </w:rPr>
              <w:t>短期、</w:t>
            </w:r>
          </w:p>
          <w:p>
            <w:pPr>
              <w:pStyle w:val="13"/>
              <w:bidi w:val="0"/>
              <w:jc w:val="center"/>
              <w:rPr>
                <w:rFonts w:hint="eastAsia"/>
                <w:u w:val="single"/>
                <w:lang w:val="en-US" w:eastAsia="zh-CN"/>
              </w:rPr>
            </w:pPr>
            <w:r>
              <w:rPr>
                <w:rFonts w:hint="eastAsia"/>
                <w:u w:val="single"/>
                <w:lang w:val="en-US" w:eastAsia="zh-CN"/>
              </w:rPr>
              <w:t>可逆</w:t>
            </w:r>
          </w:p>
        </w:tc>
        <w:tc>
          <w:tcPr>
            <w:tcW w:w="866" w:type="dxa"/>
            <w:vAlign w:val="center"/>
          </w:tcPr>
          <w:p>
            <w:pPr>
              <w:pStyle w:val="13"/>
              <w:bidi w:val="0"/>
              <w:jc w:val="center"/>
              <w:rPr>
                <w:rFonts w:hint="eastAsia"/>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Merge w:val="continue"/>
            <w:vAlign w:val="center"/>
          </w:tcPr>
          <w:p>
            <w:pPr>
              <w:pStyle w:val="13"/>
              <w:bidi w:val="0"/>
              <w:jc w:val="center"/>
              <w:rPr>
                <w:rFonts w:hint="eastAsia"/>
                <w:u w:val="single"/>
                <w:lang w:val="en-US" w:eastAsia="zh-CN"/>
              </w:rPr>
            </w:pPr>
          </w:p>
        </w:tc>
        <w:tc>
          <w:tcPr>
            <w:tcW w:w="1329" w:type="dxa"/>
            <w:vMerge w:val="continue"/>
            <w:vAlign w:val="center"/>
          </w:tcPr>
          <w:p>
            <w:pPr>
              <w:pStyle w:val="13"/>
              <w:bidi w:val="0"/>
              <w:jc w:val="center"/>
              <w:rPr>
                <w:rFonts w:hint="eastAsia"/>
                <w:u w:val="single"/>
                <w:lang w:val="en-US" w:eastAsia="zh-CN"/>
              </w:rPr>
            </w:pPr>
          </w:p>
        </w:tc>
        <w:tc>
          <w:tcPr>
            <w:tcW w:w="3877" w:type="dxa"/>
            <w:vAlign w:val="center"/>
          </w:tcPr>
          <w:p>
            <w:pPr>
              <w:pStyle w:val="13"/>
              <w:bidi w:val="0"/>
              <w:jc w:val="center"/>
              <w:rPr>
                <w:rFonts w:hint="eastAsia"/>
                <w:u w:val="single"/>
                <w:lang w:val="en-US" w:eastAsia="zh-CN"/>
              </w:rPr>
            </w:pPr>
            <w:r>
              <w:rPr>
                <w:rFonts w:hint="eastAsia"/>
                <w:u w:val="single"/>
                <w:lang w:val="en-US" w:eastAsia="zh-CN"/>
              </w:rPr>
              <w:t>施工活动、噪声等影响野生动物的活动栖息生境；间接影响</w:t>
            </w:r>
          </w:p>
        </w:tc>
        <w:tc>
          <w:tcPr>
            <w:tcW w:w="1024" w:type="dxa"/>
            <w:vAlign w:val="center"/>
          </w:tcPr>
          <w:p>
            <w:pPr>
              <w:pStyle w:val="13"/>
              <w:bidi w:val="0"/>
              <w:jc w:val="center"/>
              <w:rPr>
                <w:rFonts w:hint="eastAsia"/>
                <w:u w:val="single"/>
                <w:lang w:val="en-US" w:eastAsia="zh-CN"/>
              </w:rPr>
            </w:pPr>
            <w:r>
              <w:rPr>
                <w:rFonts w:hint="eastAsia"/>
                <w:u w:val="single"/>
                <w:lang w:val="en-US" w:eastAsia="zh-CN"/>
              </w:rPr>
              <w:t>短期、</w:t>
            </w:r>
          </w:p>
          <w:p>
            <w:pPr>
              <w:pStyle w:val="13"/>
              <w:bidi w:val="0"/>
              <w:jc w:val="center"/>
              <w:rPr>
                <w:rFonts w:hint="eastAsia"/>
                <w:u w:val="single"/>
                <w:lang w:val="en-US" w:eastAsia="zh-CN"/>
              </w:rPr>
            </w:pPr>
            <w:r>
              <w:rPr>
                <w:rFonts w:hint="eastAsia"/>
                <w:u w:val="single"/>
                <w:lang w:val="en-US" w:eastAsia="zh-CN"/>
              </w:rPr>
              <w:t>可逆</w:t>
            </w:r>
          </w:p>
        </w:tc>
        <w:tc>
          <w:tcPr>
            <w:tcW w:w="866" w:type="dxa"/>
            <w:vAlign w:val="center"/>
          </w:tcPr>
          <w:p>
            <w:pPr>
              <w:pStyle w:val="13"/>
              <w:bidi w:val="0"/>
              <w:jc w:val="center"/>
              <w:rPr>
                <w:rFonts w:hint="eastAsia"/>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Merge w:val="restart"/>
            <w:vAlign w:val="center"/>
          </w:tcPr>
          <w:p>
            <w:pPr>
              <w:pStyle w:val="13"/>
              <w:bidi w:val="0"/>
              <w:jc w:val="center"/>
              <w:rPr>
                <w:rFonts w:hint="eastAsia"/>
                <w:u w:val="single"/>
                <w:lang w:val="en-US" w:eastAsia="zh-CN"/>
              </w:rPr>
            </w:pPr>
            <w:r>
              <w:rPr>
                <w:rFonts w:hint="eastAsia"/>
                <w:u w:val="single"/>
                <w:lang w:val="en-US" w:eastAsia="zh-CN"/>
              </w:rPr>
              <w:t>生物群落</w:t>
            </w:r>
          </w:p>
        </w:tc>
        <w:tc>
          <w:tcPr>
            <w:tcW w:w="1329" w:type="dxa"/>
            <w:vMerge w:val="restart"/>
            <w:vAlign w:val="center"/>
          </w:tcPr>
          <w:p>
            <w:pPr>
              <w:pStyle w:val="13"/>
              <w:bidi w:val="0"/>
              <w:jc w:val="center"/>
              <w:rPr>
                <w:rFonts w:hint="eastAsia"/>
                <w:u w:val="single"/>
                <w:lang w:val="en-US" w:eastAsia="zh-CN"/>
              </w:rPr>
            </w:pPr>
            <w:r>
              <w:rPr>
                <w:rFonts w:hint="eastAsia"/>
                <w:u w:val="single"/>
                <w:lang w:val="en-US" w:eastAsia="zh-CN"/>
              </w:rPr>
              <w:t>物种组成、群落结构等</w:t>
            </w:r>
          </w:p>
        </w:tc>
        <w:tc>
          <w:tcPr>
            <w:tcW w:w="3877" w:type="dxa"/>
            <w:vAlign w:val="center"/>
          </w:tcPr>
          <w:p>
            <w:pPr>
              <w:pStyle w:val="13"/>
              <w:bidi w:val="0"/>
              <w:jc w:val="center"/>
              <w:rPr>
                <w:rFonts w:hint="eastAsia"/>
                <w:u w:val="single"/>
                <w:lang w:val="en-US" w:eastAsia="zh-CN"/>
              </w:rPr>
            </w:pPr>
            <w:r>
              <w:rPr>
                <w:rFonts w:hint="eastAsia"/>
                <w:u w:val="single"/>
                <w:lang w:val="en-US" w:eastAsia="zh-CN"/>
              </w:rPr>
              <w:t>污水处理厂施工及管道施工将改变原有土地利用方式，将破坏占地区植物群落；直接影响</w:t>
            </w:r>
          </w:p>
        </w:tc>
        <w:tc>
          <w:tcPr>
            <w:tcW w:w="1024" w:type="dxa"/>
            <w:vAlign w:val="center"/>
          </w:tcPr>
          <w:p>
            <w:pPr>
              <w:pStyle w:val="13"/>
              <w:bidi w:val="0"/>
              <w:jc w:val="center"/>
              <w:rPr>
                <w:rFonts w:hint="eastAsia"/>
                <w:u w:val="single"/>
                <w:lang w:val="en-US" w:eastAsia="zh-CN"/>
              </w:rPr>
            </w:pPr>
            <w:r>
              <w:rPr>
                <w:rFonts w:hint="eastAsia"/>
                <w:u w:val="single"/>
                <w:lang w:val="en-US" w:eastAsia="zh-CN"/>
              </w:rPr>
              <w:t>短期、</w:t>
            </w:r>
          </w:p>
          <w:p>
            <w:pPr>
              <w:pStyle w:val="13"/>
              <w:bidi w:val="0"/>
              <w:jc w:val="center"/>
              <w:rPr>
                <w:rFonts w:hint="eastAsia"/>
                <w:u w:val="single"/>
                <w:lang w:val="en-US" w:eastAsia="zh-CN"/>
              </w:rPr>
            </w:pPr>
            <w:r>
              <w:rPr>
                <w:rFonts w:hint="eastAsia"/>
                <w:u w:val="single"/>
                <w:lang w:val="en-US" w:eastAsia="zh-CN"/>
              </w:rPr>
              <w:t>可逆</w:t>
            </w:r>
          </w:p>
        </w:tc>
        <w:tc>
          <w:tcPr>
            <w:tcW w:w="866" w:type="dxa"/>
            <w:vAlign w:val="center"/>
          </w:tcPr>
          <w:p>
            <w:pPr>
              <w:pStyle w:val="13"/>
              <w:bidi w:val="0"/>
              <w:jc w:val="center"/>
              <w:rPr>
                <w:rFonts w:hint="eastAsia"/>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Merge w:val="continue"/>
            <w:vAlign w:val="center"/>
          </w:tcPr>
          <w:p>
            <w:pPr>
              <w:pStyle w:val="13"/>
              <w:bidi w:val="0"/>
              <w:jc w:val="center"/>
              <w:rPr>
                <w:rFonts w:hint="eastAsia"/>
                <w:u w:val="single"/>
                <w:lang w:val="en-US" w:eastAsia="zh-CN"/>
              </w:rPr>
            </w:pPr>
          </w:p>
        </w:tc>
        <w:tc>
          <w:tcPr>
            <w:tcW w:w="1329" w:type="dxa"/>
            <w:vMerge w:val="continue"/>
            <w:vAlign w:val="center"/>
          </w:tcPr>
          <w:p>
            <w:pPr>
              <w:pStyle w:val="13"/>
              <w:bidi w:val="0"/>
              <w:jc w:val="center"/>
              <w:rPr>
                <w:rFonts w:hint="eastAsia"/>
                <w:u w:val="single"/>
                <w:lang w:val="en-US" w:eastAsia="zh-CN"/>
              </w:rPr>
            </w:pPr>
          </w:p>
        </w:tc>
        <w:tc>
          <w:tcPr>
            <w:tcW w:w="3877" w:type="dxa"/>
            <w:vAlign w:val="center"/>
          </w:tcPr>
          <w:p>
            <w:pPr>
              <w:pStyle w:val="13"/>
              <w:bidi w:val="0"/>
              <w:jc w:val="center"/>
              <w:rPr>
                <w:rFonts w:hint="eastAsia"/>
                <w:u w:val="single"/>
                <w:lang w:val="en-US" w:eastAsia="zh-CN"/>
              </w:rPr>
            </w:pPr>
            <w:r>
              <w:rPr>
                <w:rFonts w:hint="eastAsia"/>
                <w:u w:val="single"/>
                <w:lang w:val="en-US" w:eastAsia="zh-CN"/>
              </w:rPr>
              <w:t>施工活动、噪声等对野生动物行为产生干扰，迫使其迁移，造成周边区域动物种群数量的减少；间接影响</w:t>
            </w:r>
          </w:p>
        </w:tc>
        <w:tc>
          <w:tcPr>
            <w:tcW w:w="1024" w:type="dxa"/>
            <w:vAlign w:val="center"/>
          </w:tcPr>
          <w:p>
            <w:pPr>
              <w:pStyle w:val="13"/>
              <w:bidi w:val="0"/>
              <w:jc w:val="center"/>
              <w:rPr>
                <w:rFonts w:hint="eastAsia"/>
                <w:u w:val="single"/>
                <w:lang w:val="en-US" w:eastAsia="zh-CN"/>
              </w:rPr>
            </w:pPr>
            <w:r>
              <w:rPr>
                <w:rFonts w:hint="eastAsia"/>
                <w:u w:val="single"/>
                <w:lang w:val="en-US" w:eastAsia="zh-CN"/>
              </w:rPr>
              <w:t>短期、</w:t>
            </w:r>
          </w:p>
          <w:p>
            <w:pPr>
              <w:pStyle w:val="13"/>
              <w:bidi w:val="0"/>
              <w:jc w:val="center"/>
              <w:rPr>
                <w:rFonts w:hint="eastAsia"/>
                <w:u w:val="single"/>
                <w:lang w:val="en-US" w:eastAsia="zh-CN"/>
              </w:rPr>
            </w:pPr>
            <w:r>
              <w:rPr>
                <w:rFonts w:hint="eastAsia"/>
                <w:u w:val="single"/>
                <w:lang w:val="en-US" w:eastAsia="zh-CN"/>
              </w:rPr>
              <w:t>可逆</w:t>
            </w:r>
          </w:p>
        </w:tc>
        <w:tc>
          <w:tcPr>
            <w:tcW w:w="866" w:type="dxa"/>
            <w:vAlign w:val="center"/>
          </w:tcPr>
          <w:p>
            <w:pPr>
              <w:pStyle w:val="13"/>
              <w:bidi w:val="0"/>
              <w:jc w:val="center"/>
              <w:rPr>
                <w:rFonts w:hint="eastAsia"/>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Align w:val="center"/>
          </w:tcPr>
          <w:p>
            <w:pPr>
              <w:pStyle w:val="13"/>
              <w:bidi w:val="0"/>
              <w:jc w:val="center"/>
              <w:rPr>
                <w:rFonts w:hint="eastAsia"/>
                <w:u w:val="single"/>
                <w:lang w:val="en-US" w:eastAsia="zh-CN"/>
              </w:rPr>
            </w:pPr>
            <w:r>
              <w:rPr>
                <w:rFonts w:hint="eastAsia"/>
                <w:u w:val="single"/>
                <w:lang w:val="en-US" w:eastAsia="zh-CN"/>
              </w:rPr>
              <w:t>生态系统</w:t>
            </w:r>
          </w:p>
        </w:tc>
        <w:tc>
          <w:tcPr>
            <w:tcW w:w="1329" w:type="dxa"/>
            <w:vAlign w:val="center"/>
          </w:tcPr>
          <w:p>
            <w:pPr>
              <w:pStyle w:val="13"/>
              <w:bidi w:val="0"/>
              <w:jc w:val="center"/>
              <w:rPr>
                <w:rFonts w:hint="eastAsia"/>
                <w:u w:val="single"/>
                <w:lang w:val="en-US" w:eastAsia="zh-CN"/>
              </w:rPr>
            </w:pPr>
            <w:r>
              <w:rPr>
                <w:rFonts w:hint="eastAsia"/>
                <w:u w:val="single"/>
                <w:lang w:val="en-US" w:eastAsia="zh-CN"/>
              </w:rPr>
              <w:t>植被覆盖度、生产力、生物量、生态系统功能等</w:t>
            </w:r>
          </w:p>
        </w:tc>
        <w:tc>
          <w:tcPr>
            <w:tcW w:w="3877" w:type="dxa"/>
            <w:vAlign w:val="center"/>
          </w:tcPr>
          <w:p>
            <w:pPr>
              <w:pStyle w:val="13"/>
              <w:bidi w:val="0"/>
              <w:jc w:val="both"/>
              <w:rPr>
                <w:rFonts w:hint="eastAsia"/>
                <w:u w:val="single"/>
                <w:lang w:val="en-US" w:eastAsia="zh-CN"/>
              </w:rPr>
            </w:pPr>
            <w:r>
              <w:rPr>
                <w:rFonts w:hint="eastAsia"/>
                <w:u w:val="single"/>
                <w:lang w:val="en-US" w:eastAsia="zh-CN"/>
              </w:rPr>
              <w:t>污水处理厂施工及管道施工造成植被损失，引起局部区域植被覆盖度、生产力、生物量的降低，施工干扰驱使野生动物迁移等，可能引起生态系统功能的减弱；间接影响</w:t>
            </w:r>
          </w:p>
        </w:tc>
        <w:tc>
          <w:tcPr>
            <w:tcW w:w="1024" w:type="dxa"/>
            <w:vAlign w:val="center"/>
          </w:tcPr>
          <w:p>
            <w:pPr>
              <w:pStyle w:val="13"/>
              <w:bidi w:val="0"/>
              <w:jc w:val="center"/>
              <w:rPr>
                <w:rFonts w:hint="eastAsia"/>
                <w:u w:val="single"/>
                <w:lang w:val="en-US" w:eastAsia="zh-CN"/>
              </w:rPr>
            </w:pPr>
            <w:r>
              <w:rPr>
                <w:rFonts w:hint="eastAsia"/>
                <w:u w:val="single"/>
                <w:lang w:val="en-US" w:eastAsia="zh-CN"/>
              </w:rPr>
              <w:t>短期、</w:t>
            </w:r>
          </w:p>
          <w:p>
            <w:pPr>
              <w:pStyle w:val="13"/>
              <w:bidi w:val="0"/>
              <w:jc w:val="center"/>
              <w:rPr>
                <w:rFonts w:hint="eastAsia"/>
                <w:u w:val="single"/>
                <w:lang w:val="en-US" w:eastAsia="zh-CN"/>
              </w:rPr>
            </w:pPr>
            <w:r>
              <w:rPr>
                <w:rFonts w:hint="eastAsia"/>
                <w:u w:val="single"/>
                <w:lang w:val="en-US" w:eastAsia="zh-CN"/>
              </w:rPr>
              <w:t>可逆</w:t>
            </w:r>
          </w:p>
        </w:tc>
        <w:tc>
          <w:tcPr>
            <w:tcW w:w="866" w:type="dxa"/>
            <w:vAlign w:val="center"/>
          </w:tcPr>
          <w:p>
            <w:pPr>
              <w:pStyle w:val="13"/>
              <w:bidi w:val="0"/>
              <w:jc w:val="center"/>
              <w:rPr>
                <w:rFonts w:hint="eastAsia"/>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Align w:val="center"/>
          </w:tcPr>
          <w:p>
            <w:pPr>
              <w:pStyle w:val="13"/>
              <w:bidi w:val="0"/>
              <w:jc w:val="center"/>
              <w:rPr>
                <w:rFonts w:hint="eastAsia"/>
                <w:u w:val="single"/>
                <w:lang w:val="en-US" w:eastAsia="zh-CN"/>
              </w:rPr>
            </w:pPr>
            <w:r>
              <w:rPr>
                <w:rFonts w:hint="eastAsia"/>
                <w:u w:val="single"/>
                <w:lang w:val="en-US" w:eastAsia="zh-CN"/>
              </w:rPr>
              <w:t>生物多样性</w:t>
            </w:r>
          </w:p>
        </w:tc>
        <w:tc>
          <w:tcPr>
            <w:tcW w:w="1329" w:type="dxa"/>
            <w:vAlign w:val="center"/>
          </w:tcPr>
          <w:p>
            <w:pPr>
              <w:pStyle w:val="13"/>
              <w:bidi w:val="0"/>
              <w:jc w:val="center"/>
              <w:rPr>
                <w:rFonts w:hint="eastAsia"/>
                <w:u w:val="single"/>
                <w:lang w:val="en-US" w:eastAsia="zh-CN"/>
              </w:rPr>
            </w:pPr>
            <w:r>
              <w:rPr>
                <w:rFonts w:hint="eastAsia"/>
                <w:u w:val="single"/>
                <w:lang w:val="en-US" w:eastAsia="zh-CN"/>
              </w:rPr>
              <w:t>物种丰富度、均匀度、优势度等</w:t>
            </w:r>
          </w:p>
        </w:tc>
        <w:tc>
          <w:tcPr>
            <w:tcW w:w="3877" w:type="dxa"/>
            <w:vAlign w:val="center"/>
          </w:tcPr>
          <w:p>
            <w:pPr>
              <w:pStyle w:val="13"/>
              <w:bidi w:val="0"/>
              <w:jc w:val="center"/>
              <w:rPr>
                <w:rFonts w:hint="eastAsia"/>
                <w:u w:val="single"/>
                <w:lang w:val="en-US" w:eastAsia="zh-CN"/>
              </w:rPr>
            </w:pPr>
            <w:r>
              <w:rPr>
                <w:rFonts w:hint="eastAsia"/>
                <w:u w:val="single"/>
                <w:lang w:val="en-US" w:eastAsia="zh-CN"/>
              </w:rPr>
              <w:t>污水处理厂施工及管道施工引起局部植被损失，造成植物物种个体和种群数量的减少；施工干扰驱使野生动物迁移，可能会使动物分布发生改变，使动物个体、种群数量减少，可能对局部区域生物多样性造成影响；施工人为活动增加外来入侵植物入侵风险，减少本土物种多样性；间接影响</w:t>
            </w:r>
          </w:p>
        </w:tc>
        <w:tc>
          <w:tcPr>
            <w:tcW w:w="1024" w:type="dxa"/>
            <w:vAlign w:val="center"/>
          </w:tcPr>
          <w:p>
            <w:pPr>
              <w:pStyle w:val="13"/>
              <w:bidi w:val="0"/>
              <w:jc w:val="center"/>
              <w:rPr>
                <w:rFonts w:hint="eastAsia"/>
                <w:u w:val="single"/>
                <w:lang w:val="en-US" w:eastAsia="zh-CN"/>
              </w:rPr>
            </w:pPr>
            <w:r>
              <w:rPr>
                <w:rFonts w:hint="eastAsia"/>
                <w:u w:val="single"/>
                <w:lang w:val="en-US" w:eastAsia="zh-CN"/>
              </w:rPr>
              <w:t>短期、</w:t>
            </w:r>
          </w:p>
          <w:p>
            <w:pPr>
              <w:pStyle w:val="13"/>
              <w:bidi w:val="0"/>
              <w:jc w:val="center"/>
              <w:rPr>
                <w:rFonts w:hint="eastAsia"/>
                <w:u w:val="single"/>
                <w:lang w:val="en-US" w:eastAsia="zh-CN"/>
              </w:rPr>
            </w:pPr>
            <w:r>
              <w:rPr>
                <w:rFonts w:hint="eastAsia"/>
                <w:u w:val="single"/>
                <w:lang w:val="en-US" w:eastAsia="zh-CN"/>
              </w:rPr>
              <w:t>可逆</w:t>
            </w:r>
          </w:p>
        </w:tc>
        <w:tc>
          <w:tcPr>
            <w:tcW w:w="866" w:type="dxa"/>
            <w:vAlign w:val="center"/>
          </w:tcPr>
          <w:p>
            <w:pPr>
              <w:pStyle w:val="13"/>
              <w:bidi w:val="0"/>
              <w:jc w:val="center"/>
              <w:rPr>
                <w:rFonts w:hint="eastAsia"/>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Align w:val="center"/>
          </w:tcPr>
          <w:p>
            <w:pPr>
              <w:pStyle w:val="13"/>
              <w:bidi w:val="0"/>
              <w:jc w:val="center"/>
              <w:rPr>
                <w:rFonts w:hint="eastAsia"/>
                <w:u w:val="single"/>
                <w:lang w:val="en-US" w:eastAsia="zh-CN"/>
              </w:rPr>
            </w:pPr>
            <w:r>
              <w:rPr>
                <w:rFonts w:hint="eastAsia"/>
                <w:u w:val="single"/>
                <w:lang w:val="en-US" w:eastAsia="zh-CN"/>
              </w:rPr>
              <w:t>生态敏感区</w:t>
            </w:r>
          </w:p>
          <w:p>
            <w:pPr>
              <w:pStyle w:val="13"/>
              <w:bidi w:val="0"/>
              <w:jc w:val="center"/>
              <w:rPr>
                <w:rFonts w:hint="eastAsia"/>
                <w:u w:val="single"/>
                <w:lang w:val="en-US" w:eastAsia="zh-CN"/>
              </w:rPr>
            </w:pPr>
          </w:p>
        </w:tc>
        <w:tc>
          <w:tcPr>
            <w:tcW w:w="1329" w:type="dxa"/>
            <w:vAlign w:val="center"/>
          </w:tcPr>
          <w:p>
            <w:pPr>
              <w:pStyle w:val="13"/>
              <w:bidi w:val="0"/>
              <w:jc w:val="center"/>
              <w:rPr>
                <w:rFonts w:hint="eastAsia"/>
                <w:u w:val="single"/>
                <w:lang w:val="en-US" w:eastAsia="zh-CN"/>
              </w:rPr>
            </w:pPr>
            <w:r>
              <w:rPr>
                <w:rFonts w:hint="eastAsia"/>
                <w:u w:val="single"/>
                <w:lang w:val="en-US" w:eastAsia="zh-CN"/>
              </w:rPr>
              <w:t>主要保护对</w:t>
            </w:r>
          </w:p>
          <w:p>
            <w:pPr>
              <w:pStyle w:val="13"/>
              <w:bidi w:val="0"/>
              <w:jc w:val="center"/>
              <w:rPr>
                <w:rFonts w:hint="eastAsia"/>
                <w:u w:val="single"/>
                <w:lang w:val="en-US" w:eastAsia="zh-CN"/>
              </w:rPr>
            </w:pPr>
            <w:r>
              <w:rPr>
                <w:rFonts w:hint="eastAsia"/>
                <w:u w:val="single"/>
                <w:lang w:val="en-US" w:eastAsia="zh-CN"/>
              </w:rPr>
              <w:t>象、生态功能等</w:t>
            </w:r>
          </w:p>
        </w:tc>
        <w:tc>
          <w:tcPr>
            <w:tcW w:w="3877" w:type="dxa"/>
            <w:vAlign w:val="center"/>
          </w:tcPr>
          <w:p>
            <w:pPr>
              <w:pStyle w:val="13"/>
              <w:bidi w:val="0"/>
              <w:jc w:val="center"/>
              <w:rPr>
                <w:rFonts w:hint="eastAsia"/>
                <w:u w:val="single"/>
                <w:lang w:val="en-US" w:eastAsia="zh-CN"/>
              </w:rPr>
            </w:pPr>
            <w:r>
              <w:rPr>
                <w:rFonts w:hint="eastAsia"/>
                <w:u w:val="single"/>
                <w:lang w:val="en-US" w:eastAsia="zh-CN"/>
              </w:rPr>
              <w:t>工程施工活动、噪声等会破坏保护对象的生境，会驱使主要保护对象往其他相似类型生境迁移；工程占地会破坏敏感区内植被，造成生物量及生产力的损失；直接影响</w:t>
            </w:r>
          </w:p>
        </w:tc>
        <w:tc>
          <w:tcPr>
            <w:tcW w:w="1024" w:type="dxa"/>
            <w:vAlign w:val="center"/>
          </w:tcPr>
          <w:p>
            <w:pPr>
              <w:pStyle w:val="13"/>
              <w:bidi w:val="0"/>
              <w:jc w:val="center"/>
              <w:rPr>
                <w:rFonts w:hint="eastAsia"/>
                <w:u w:val="single"/>
                <w:lang w:val="en-US" w:eastAsia="zh-CN"/>
              </w:rPr>
            </w:pPr>
            <w:r>
              <w:rPr>
                <w:rFonts w:hint="eastAsia"/>
                <w:u w:val="single"/>
                <w:lang w:val="en-US" w:eastAsia="zh-CN"/>
              </w:rPr>
              <w:t>短期、</w:t>
            </w:r>
          </w:p>
          <w:p>
            <w:pPr>
              <w:pStyle w:val="13"/>
              <w:bidi w:val="0"/>
              <w:jc w:val="center"/>
              <w:rPr>
                <w:rFonts w:hint="eastAsia"/>
                <w:u w:val="single"/>
                <w:lang w:val="en-US" w:eastAsia="zh-CN"/>
              </w:rPr>
            </w:pPr>
            <w:r>
              <w:rPr>
                <w:rFonts w:hint="eastAsia"/>
                <w:u w:val="single"/>
                <w:lang w:val="en-US" w:eastAsia="zh-CN"/>
              </w:rPr>
              <w:t>可逆</w:t>
            </w:r>
          </w:p>
        </w:tc>
        <w:tc>
          <w:tcPr>
            <w:tcW w:w="866" w:type="dxa"/>
            <w:vAlign w:val="center"/>
          </w:tcPr>
          <w:p>
            <w:pPr>
              <w:pStyle w:val="13"/>
              <w:bidi w:val="0"/>
              <w:jc w:val="center"/>
              <w:rPr>
                <w:rFonts w:hint="eastAsia"/>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Align w:val="center"/>
          </w:tcPr>
          <w:p>
            <w:pPr>
              <w:pStyle w:val="13"/>
              <w:bidi w:val="0"/>
              <w:jc w:val="center"/>
              <w:rPr>
                <w:rFonts w:hint="eastAsia"/>
                <w:u w:val="single"/>
                <w:lang w:val="en-US" w:eastAsia="zh-CN"/>
              </w:rPr>
            </w:pPr>
            <w:r>
              <w:rPr>
                <w:rFonts w:hint="eastAsia"/>
                <w:u w:val="single"/>
                <w:lang w:val="en-US" w:eastAsia="zh-CN"/>
              </w:rPr>
              <w:t>自然景观</w:t>
            </w:r>
          </w:p>
        </w:tc>
        <w:tc>
          <w:tcPr>
            <w:tcW w:w="1329" w:type="dxa"/>
            <w:vAlign w:val="center"/>
          </w:tcPr>
          <w:p>
            <w:pPr>
              <w:pStyle w:val="13"/>
              <w:bidi w:val="0"/>
              <w:jc w:val="center"/>
              <w:rPr>
                <w:rFonts w:hint="eastAsia"/>
                <w:u w:val="single"/>
                <w:lang w:val="en-US" w:eastAsia="zh-CN"/>
              </w:rPr>
            </w:pPr>
            <w:r>
              <w:rPr>
                <w:rFonts w:hint="eastAsia"/>
                <w:u w:val="single"/>
                <w:lang w:val="en-US" w:eastAsia="zh-CN"/>
              </w:rPr>
              <w:t>景观多样性、完整性等</w:t>
            </w:r>
          </w:p>
        </w:tc>
        <w:tc>
          <w:tcPr>
            <w:tcW w:w="3877" w:type="dxa"/>
            <w:vAlign w:val="center"/>
          </w:tcPr>
          <w:p>
            <w:pPr>
              <w:pStyle w:val="13"/>
              <w:bidi w:val="0"/>
              <w:jc w:val="center"/>
              <w:rPr>
                <w:rFonts w:hint="eastAsia"/>
                <w:u w:val="single"/>
                <w:lang w:val="en-US" w:eastAsia="zh-CN"/>
              </w:rPr>
            </w:pPr>
            <w:r>
              <w:rPr>
                <w:rFonts w:hint="eastAsia"/>
                <w:u w:val="single"/>
                <w:lang w:val="en-US" w:eastAsia="zh-CN"/>
              </w:rPr>
              <w:t>工程施工局部破坏地表植被、地貌破坏，易造成施工扬尘、水土流失等视觉污染，对局部区域景观造成影响；直接影响</w:t>
            </w:r>
          </w:p>
        </w:tc>
        <w:tc>
          <w:tcPr>
            <w:tcW w:w="1024" w:type="dxa"/>
            <w:vAlign w:val="center"/>
          </w:tcPr>
          <w:p>
            <w:pPr>
              <w:pStyle w:val="13"/>
              <w:bidi w:val="0"/>
              <w:jc w:val="center"/>
              <w:rPr>
                <w:rFonts w:hint="eastAsia"/>
                <w:u w:val="single"/>
                <w:lang w:val="en-US" w:eastAsia="zh-CN"/>
              </w:rPr>
            </w:pPr>
            <w:r>
              <w:rPr>
                <w:rFonts w:hint="eastAsia"/>
                <w:u w:val="single"/>
                <w:lang w:val="en-US" w:eastAsia="zh-CN"/>
              </w:rPr>
              <w:t>短期、</w:t>
            </w:r>
          </w:p>
          <w:p>
            <w:pPr>
              <w:pStyle w:val="13"/>
              <w:bidi w:val="0"/>
              <w:jc w:val="center"/>
              <w:rPr>
                <w:rFonts w:hint="eastAsia"/>
                <w:u w:val="single"/>
                <w:lang w:val="en-US" w:eastAsia="zh-CN"/>
              </w:rPr>
            </w:pPr>
            <w:r>
              <w:rPr>
                <w:rFonts w:hint="eastAsia"/>
                <w:u w:val="single"/>
                <w:lang w:val="en-US" w:eastAsia="zh-CN"/>
              </w:rPr>
              <w:t>可逆</w:t>
            </w:r>
          </w:p>
        </w:tc>
        <w:tc>
          <w:tcPr>
            <w:tcW w:w="866" w:type="dxa"/>
            <w:vAlign w:val="center"/>
          </w:tcPr>
          <w:p>
            <w:pPr>
              <w:pStyle w:val="13"/>
              <w:bidi w:val="0"/>
              <w:jc w:val="center"/>
              <w:rPr>
                <w:rFonts w:hint="eastAsia"/>
                <w:u w:val="single"/>
                <w:lang w:val="en-US" w:eastAsia="zh-CN"/>
              </w:rPr>
            </w:pPr>
            <w:r>
              <w:rPr>
                <w:rFonts w:hint="eastAsia"/>
                <w:u w:val="singl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extDirection w:val="tbRlV"/>
            <w:vAlign w:val="center"/>
          </w:tcPr>
          <w:p>
            <w:pPr>
              <w:pStyle w:val="13"/>
              <w:bidi w:val="0"/>
              <w:jc w:val="center"/>
              <w:rPr>
                <w:rFonts w:hint="eastAsia"/>
                <w:u w:val="single"/>
                <w:lang w:val="en-US" w:eastAsia="zh-CN"/>
              </w:rPr>
            </w:pPr>
            <w:r>
              <w:rPr>
                <w:u w:val="single"/>
              </w:rPr>
              <w:t>运 营 期</w:t>
            </w:r>
          </w:p>
        </w:tc>
        <w:tc>
          <w:tcPr>
            <w:tcW w:w="845" w:type="dxa"/>
            <w:vMerge w:val="restart"/>
            <w:vAlign w:val="center"/>
          </w:tcPr>
          <w:p>
            <w:pPr>
              <w:pStyle w:val="13"/>
              <w:bidi w:val="0"/>
              <w:jc w:val="center"/>
              <w:rPr>
                <w:rFonts w:hint="eastAsia"/>
                <w:u w:val="single"/>
                <w:lang w:val="en-US" w:eastAsia="zh-CN"/>
              </w:rPr>
            </w:pPr>
            <w:r>
              <w:rPr>
                <w:u w:val="single"/>
              </w:rPr>
              <w:t>物种</w:t>
            </w:r>
          </w:p>
        </w:tc>
        <w:tc>
          <w:tcPr>
            <w:tcW w:w="1329" w:type="dxa"/>
            <w:vMerge w:val="restart"/>
            <w:vAlign w:val="center"/>
          </w:tcPr>
          <w:p>
            <w:pPr>
              <w:pStyle w:val="13"/>
              <w:bidi w:val="0"/>
              <w:jc w:val="center"/>
              <w:rPr>
                <w:rFonts w:hint="eastAsia"/>
                <w:u w:val="single"/>
                <w:lang w:val="en-US" w:eastAsia="zh-CN"/>
              </w:rPr>
            </w:pPr>
            <w:r>
              <w:rPr>
                <w:u w:val="single"/>
              </w:rPr>
              <w:t>分布范围、种群数量、种群结构、行为等</w:t>
            </w:r>
          </w:p>
        </w:tc>
        <w:tc>
          <w:tcPr>
            <w:tcW w:w="3877" w:type="dxa"/>
            <w:vAlign w:val="center"/>
          </w:tcPr>
          <w:p>
            <w:pPr>
              <w:pStyle w:val="13"/>
              <w:bidi w:val="0"/>
              <w:jc w:val="center"/>
              <w:rPr>
                <w:rFonts w:hint="eastAsia"/>
                <w:u w:val="single"/>
                <w:lang w:val="en-US" w:eastAsia="zh-CN"/>
              </w:rPr>
            </w:pPr>
            <w:r>
              <w:rPr>
                <w:u w:val="single"/>
              </w:rPr>
              <w:t>运营期，部分占地区植被得到恢复</w:t>
            </w:r>
            <w:r>
              <w:rPr>
                <w:rFonts w:hint="eastAsia"/>
                <w:u w:val="single"/>
                <w:lang w:eastAsia="zh-CN"/>
              </w:rPr>
              <w:t>，</w:t>
            </w:r>
            <w:r>
              <w:rPr>
                <w:u w:val="single"/>
              </w:rPr>
              <w:t>但植被恢复也可能使外来物种入侵；间接影响</w:t>
            </w:r>
          </w:p>
        </w:tc>
        <w:tc>
          <w:tcPr>
            <w:tcW w:w="1024" w:type="dxa"/>
            <w:vAlign w:val="center"/>
          </w:tcPr>
          <w:p>
            <w:pPr>
              <w:pStyle w:val="13"/>
              <w:bidi w:val="0"/>
              <w:jc w:val="center"/>
              <w:rPr>
                <w:rFonts w:hint="eastAsia"/>
                <w:u w:val="single"/>
                <w:lang w:val="en-US" w:eastAsia="zh-CN"/>
              </w:rPr>
            </w:pPr>
            <w:r>
              <w:rPr>
                <w:u w:val="single"/>
              </w:rPr>
              <w:t>短期、 可逆</w:t>
            </w:r>
          </w:p>
        </w:tc>
        <w:tc>
          <w:tcPr>
            <w:tcW w:w="866" w:type="dxa"/>
            <w:vAlign w:val="center"/>
          </w:tcPr>
          <w:p>
            <w:pPr>
              <w:pStyle w:val="13"/>
              <w:bidi w:val="0"/>
              <w:jc w:val="center"/>
              <w:rPr>
                <w:rFonts w:hint="eastAsia"/>
                <w:u w:val="single"/>
                <w:lang w:val="en-US" w:eastAsia="zh-CN"/>
              </w:rPr>
            </w:pPr>
            <w:r>
              <w:rPr>
                <w:u w:val="single"/>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Merge w:val="continue"/>
            <w:vAlign w:val="center"/>
          </w:tcPr>
          <w:p>
            <w:pPr>
              <w:pStyle w:val="13"/>
              <w:bidi w:val="0"/>
              <w:jc w:val="center"/>
              <w:rPr>
                <w:rFonts w:hint="eastAsia"/>
                <w:u w:val="single"/>
                <w:lang w:val="en-US" w:eastAsia="zh-CN"/>
              </w:rPr>
            </w:pPr>
          </w:p>
        </w:tc>
        <w:tc>
          <w:tcPr>
            <w:tcW w:w="1329" w:type="dxa"/>
            <w:vMerge w:val="continue"/>
            <w:vAlign w:val="center"/>
          </w:tcPr>
          <w:p>
            <w:pPr>
              <w:pStyle w:val="13"/>
              <w:bidi w:val="0"/>
              <w:jc w:val="center"/>
              <w:rPr>
                <w:rFonts w:hint="eastAsia"/>
                <w:u w:val="single"/>
                <w:lang w:val="en-US" w:eastAsia="zh-CN"/>
              </w:rPr>
            </w:pPr>
          </w:p>
        </w:tc>
        <w:tc>
          <w:tcPr>
            <w:tcW w:w="3877" w:type="dxa"/>
            <w:vAlign w:val="center"/>
          </w:tcPr>
          <w:p>
            <w:pPr>
              <w:pStyle w:val="13"/>
              <w:bidi w:val="0"/>
              <w:jc w:val="center"/>
              <w:rPr>
                <w:rFonts w:hint="eastAsia"/>
                <w:u w:val="single"/>
                <w:lang w:val="en-US" w:eastAsia="zh-CN"/>
              </w:rPr>
            </w:pPr>
            <w:r>
              <w:rPr>
                <w:u w:val="single"/>
              </w:rPr>
              <w:t>永久占地使得野生动物的活动范围缩小</w:t>
            </w:r>
            <w:r>
              <w:rPr>
                <w:rFonts w:hint="eastAsia"/>
                <w:u w:val="single"/>
                <w:lang w:eastAsia="zh-CN"/>
              </w:rPr>
              <w:t>，</w:t>
            </w:r>
            <w:r>
              <w:rPr>
                <w:u w:val="single"/>
              </w:rPr>
              <w:t>致使周边野生动物个体数量减少； 间接影响</w:t>
            </w:r>
          </w:p>
        </w:tc>
        <w:tc>
          <w:tcPr>
            <w:tcW w:w="1024" w:type="dxa"/>
            <w:vAlign w:val="center"/>
          </w:tcPr>
          <w:p>
            <w:pPr>
              <w:pStyle w:val="13"/>
              <w:bidi w:val="0"/>
              <w:jc w:val="center"/>
              <w:rPr>
                <w:rFonts w:hint="eastAsia"/>
                <w:u w:val="single"/>
                <w:lang w:val="en-US" w:eastAsia="zh-CN"/>
              </w:rPr>
            </w:pPr>
            <w:r>
              <w:rPr>
                <w:u w:val="single"/>
              </w:rPr>
              <w:t>短期、 可逆</w:t>
            </w:r>
          </w:p>
        </w:tc>
        <w:tc>
          <w:tcPr>
            <w:tcW w:w="866" w:type="dxa"/>
            <w:vAlign w:val="center"/>
          </w:tcPr>
          <w:p>
            <w:pPr>
              <w:pStyle w:val="13"/>
              <w:bidi w:val="0"/>
              <w:jc w:val="center"/>
              <w:rPr>
                <w:rFonts w:hint="eastAsia"/>
                <w:u w:val="single"/>
                <w:lang w:val="en-US" w:eastAsia="zh-CN"/>
              </w:rPr>
            </w:pPr>
            <w:r>
              <w:rPr>
                <w:u w:val="single"/>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Align w:val="center"/>
          </w:tcPr>
          <w:p>
            <w:pPr>
              <w:pStyle w:val="13"/>
              <w:bidi w:val="0"/>
              <w:jc w:val="center"/>
              <w:rPr>
                <w:rFonts w:hint="eastAsia"/>
                <w:u w:val="single"/>
                <w:lang w:val="en-US" w:eastAsia="zh-CN"/>
              </w:rPr>
            </w:pPr>
            <w:r>
              <w:rPr>
                <w:u w:val="single"/>
              </w:rPr>
              <w:t>生境</w:t>
            </w:r>
          </w:p>
        </w:tc>
        <w:tc>
          <w:tcPr>
            <w:tcW w:w="1329" w:type="dxa"/>
            <w:vAlign w:val="center"/>
          </w:tcPr>
          <w:p>
            <w:pPr>
              <w:pStyle w:val="13"/>
              <w:bidi w:val="0"/>
              <w:jc w:val="center"/>
              <w:rPr>
                <w:rFonts w:hint="eastAsia"/>
                <w:u w:val="single"/>
                <w:lang w:val="en-US" w:eastAsia="zh-CN"/>
              </w:rPr>
            </w:pPr>
            <w:r>
              <w:rPr>
                <w:u w:val="single"/>
              </w:rPr>
              <w:t>生境面积、质量、连通性等</w:t>
            </w:r>
          </w:p>
        </w:tc>
        <w:tc>
          <w:tcPr>
            <w:tcW w:w="3877" w:type="dxa"/>
            <w:vAlign w:val="center"/>
          </w:tcPr>
          <w:p>
            <w:pPr>
              <w:pStyle w:val="13"/>
              <w:bidi w:val="0"/>
              <w:jc w:val="center"/>
              <w:rPr>
                <w:rFonts w:hint="eastAsia"/>
                <w:u w:val="single"/>
                <w:lang w:val="en-US" w:eastAsia="zh-CN"/>
              </w:rPr>
            </w:pPr>
            <w:r>
              <w:rPr>
                <w:u w:val="single"/>
              </w:rPr>
              <w:t>永久占地使得野生动物的生活生境范围缩小；间接影响</w:t>
            </w:r>
          </w:p>
        </w:tc>
        <w:tc>
          <w:tcPr>
            <w:tcW w:w="1024" w:type="dxa"/>
            <w:vAlign w:val="center"/>
          </w:tcPr>
          <w:p>
            <w:pPr>
              <w:pStyle w:val="13"/>
              <w:bidi w:val="0"/>
              <w:jc w:val="center"/>
              <w:rPr>
                <w:rFonts w:hint="eastAsia"/>
                <w:u w:val="single"/>
                <w:lang w:val="en-US" w:eastAsia="zh-CN"/>
              </w:rPr>
            </w:pPr>
            <w:r>
              <w:rPr>
                <w:u w:val="single"/>
              </w:rPr>
              <w:t>长期、 不可逆</w:t>
            </w:r>
          </w:p>
        </w:tc>
        <w:tc>
          <w:tcPr>
            <w:tcW w:w="866" w:type="dxa"/>
            <w:vAlign w:val="center"/>
          </w:tcPr>
          <w:p>
            <w:pPr>
              <w:pStyle w:val="13"/>
              <w:bidi w:val="0"/>
              <w:jc w:val="center"/>
              <w:rPr>
                <w:rFonts w:hint="eastAsia"/>
                <w:u w:val="single"/>
                <w:lang w:val="en-US" w:eastAsia="zh-CN"/>
              </w:rPr>
            </w:pPr>
            <w:r>
              <w:rPr>
                <w:u w:val="single"/>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Align w:val="center"/>
          </w:tcPr>
          <w:p>
            <w:pPr>
              <w:pStyle w:val="13"/>
              <w:bidi w:val="0"/>
              <w:jc w:val="center"/>
              <w:rPr>
                <w:rFonts w:hint="eastAsia"/>
                <w:u w:val="single"/>
                <w:lang w:val="en-US" w:eastAsia="zh-CN"/>
              </w:rPr>
            </w:pPr>
            <w:r>
              <w:rPr>
                <w:u w:val="single"/>
              </w:rPr>
              <w:t>生物群落</w:t>
            </w:r>
          </w:p>
        </w:tc>
        <w:tc>
          <w:tcPr>
            <w:tcW w:w="1329" w:type="dxa"/>
            <w:vAlign w:val="center"/>
          </w:tcPr>
          <w:p>
            <w:pPr>
              <w:pStyle w:val="13"/>
              <w:bidi w:val="0"/>
              <w:jc w:val="center"/>
              <w:rPr>
                <w:rFonts w:hint="eastAsia"/>
                <w:u w:val="single"/>
                <w:lang w:val="en-US" w:eastAsia="zh-CN"/>
              </w:rPr>
            </w:pPr>
            <w:r>
              <w:rPr>
                <w:u w:val="single"/>
              </w:rPr>
              <w:t>物种组成、群落结构等</w:t>
            </w:r>
          </w:p>
        </w:tc>
        <w:tc>
          <w:tcPr>
            <w:tcW w:w="3877" w:type="dxa"/>
            <w:vAlign w:val="center"/>
          </w:tcPr>
          <w:p>
            <w:pPr>
              <w:pStyle w:val="13"/>
              <w:bidi w:val="0"/>
              <w:jc w:val="center"/>
              <w:rPr>
                <w:rFonts w:hint="eastAsia"/>
                <w:u w:val="single"/>
                <w:lang w:val="en-US" w:eastAsia="zh-CN"/>
              </w:rPr>
            </w:pPr>
            <w:r>
              <w:rPr>
                <w:u w:val="single"/>
              </w:rPr>
              <w:t>运营期，因临时占地而消失的植物个体将会逐渐通过自然更新的方式或人工种植的方式逐渐恢复；部分野生动物会返迁回原分布地，但由于工程建设导致原有各类栖息地面积减小，会对动植物群落造成一定影响；间接影响</w:t>
            </w:r>
          </w:p>
        </w:tc>
        <w:tc>
          <w:tcPr>
            <w:tcW w:w="1024" w:type="dxa"/>
            <w:vAlign w:val="center"/>
          </w:tcPr>
          <w:p>
            <w:pPr>
              <w:pStyle w:val="13"/>
              <w:bidi w:val="0"/>
              <w:jc w:val="center"/>
              <w:rPr>
                <w:rFonts w:hint="eastAsia"/>
                <w:u w:val="single"/>
                <w:lang w:val="en-US" w:eastAsia="zh-CN"/>
              </w:rPr>
            </w:pPr>
            <w:r>
              <w:rPr>
                <w:u w:val="single"/>
              </w:rPr>
              <w:t>长期、 不可逆</w:t>
            </w:r>
          </w:p>
        </w:tc>
        <w:tc>
          <w:tcPr>
            <w:tcW w:w="866" w:type="dxa"/>
            <w:vAlign w:val="center"/>
          </w:tcPr>
          <w:p>
            <w:pPr>
              <w:pStyle w:val="13"/>
              <w:bidi w:val="0"/>
              <w:jc w:val="center"/>
              <w:rPr>
                <w:rFonts w:hint="eastAsia"/>
                <w:u w:val="single"/>
                <w:lang w:val="en-US" w:eastAsia="zh-CN"/>
              </w:rPr>
            </w:pPr>
            <w:r>
              <w:rPr>
                <w:u w:val="single"/>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Align w:val="center"/>
          </w:tcPr>
          <w:p>
            <w:pPr>
              <w:pStyle w:val="13"/>
              <w:bidi w:val="0"/>
              <w:jc w:val="center"/>
              <w:rPr>
                <w:rFonts w:hint="eastAsia"/>
                <w:u w:val="single"/>
                <w:lang w:val="en-US" w:eastAsia="zh-CN"/>
              </w:rPr>
            </w:pPr>
            <w:r>
              <w:rPr>
                <w:u w:val="single"/>
              </w:rPr>
              <w:t>生态系统</w:t>
            </w:r>
          </w:p>
        </w:tc>
        <w:tc>
          <w:tcPr>
            <w:tcW w:w="1329" w:type="dxa"/>
            <w:vAlign w:val="center"/>
          </w:tcPr>
          <w:p>
            <w:pPr>
              <w:pStyle w:val="13"/>
              <w:bidi w:val="0"/>
              <w:jc w:val="center"/>
              <w:rPr>
                <w:rFonts w:hint="eastAsia"/>
                <w:u w:val="single"/>
                <w:lang w:val="en-US" w:eastAsia="zh-CN"/>
              </w:rPr>
            </w:pPr>
            <w:r>
              <w:rPr>
                <w:u w:val="single"/>
              </w:rPr>
              <w:t>植被覆盖度</w:t>
            </w:r>
            <w:r>
              <w:rPr>
                <w:rFonts w:hint="eastAsia"/>
                <w:u w:val="single"/>
                <w:lang w:eastAsia="zh-CN"/>
              </w:rPr>
              <w:t>、</w:t>
            </w:r>
            <w:r>
              <w:rPr>
                <w:u w:val="single"/>
              </w:rPr>
              <w:t>生产力</w:t>
            </w:r>
            <w:r>
              <w:rPr>
                <w:rFonts w:hint="eastAsia"/>
                <w:u w:val="single"/>
                <w:lang w:eastAsia="zh-CN"/>
              </w:rPr>
              <w:t>、</w:t>
            </w:r>
            <w:r>
              <w:rPr>
                <w:u w:val="single"/>
              </w:rPr>
              <w:t>生物 量、生态系统 功能等</w:t>
            </w:r>
          </w:p>
        </w:tc>
        <w:tc>
          <w:tcPr>
            <w:tcW w:w="3877" w:type="dxa"/>
            <w:vAlign w:val="center"/>
          </w:tcPr>
          <w:p>
            <w:pPr>
              <w:pStyle w:val="13"/>
              <w:bidi w:val="0"/>
              <w:jc w:val="center"/>
              <w:rPr>
                <w:rFonts w:hint="eastAsia"/>
                <w:u w:val="single"/>
                <w:lang w:val="en-US" w:eastAsia="zh-CN"/>
              </w:rPr>
            </w:pPr>
            <w:r>
              <w:rPr>
                <w:u w:val="single"/>
              </w:rPr>
              <w:t>运营期，</w:t>
            </w:r>
            <w:r>
              <w:rPr>
                <w:rFonts w:hint="eastAsia"/>
                <w:u w:val="single"/>
                <w:lang w:val="en-US" w:eastAsia="zh-CN"/>
              </w:rPr>
              <w:t>污水处理厂运行</w:t>
            </w:r>
            <w:r>
              <w:rPr>
                <w:u w:val="single"/>
              </w:rPr>
              <w:t>影响周边植被的生长，</w:t>
            </w:r>
            <w:r>
              <w:rPr>
                <w:rFonts w:hint="eastAsia"/>
                <w:u w:val="single"/>
                <w:lang w:val="en-US" w:eastAsia="zh-CN"/>
              </w:rPr>
              <w:t>污水处理厂运行</w:t>
            </w:r>
            <w:r>
              <w:rPr>
                <w:u w:val="single"/>
              </w:rPr>
              <w:t>产生的噪声驱使野生动物迁移等，可能引起生态系统功能的减弱；间接影响</w:t>
            </w:r>
          </w:p>
        </w:tc>
        <w:tc>
          <w:tcPr>
            <w:tcW w:w="1024" w:type="dxa"/>
            <w:vAlign w:val="center"/>
          </w:tcPr>
          <w:p>
            <w:pPr>
              <w:pStyle w:val="13"/>
              <w:bidi w:val="0"/>
              <w:jc w:val="center"/>
              <w:rPr>
                <w:rFonts w:hint="eastAsia"/>
                <w:u w:val="single"/>
                <w:lang w:val="en-US" w:eastAsia="zh-CN"/>
              </w:rPr>
            </w:pPr>
            <w:r>
              <w:rPr>
                <w:u w:val="single"/>
              </w:rPr>
              <w:t>长期、 不可逆</w:t>
            </w:r>
          </w:p>
        </w:tc>
        <w:tc>
          <w:tcPr>
            <w:tcW w:w="866" w:type="dxa"/>
            <w:vAlign w:val="center"/>
          </w:tcPr>
          <w:p>
            <w:pPr>
              <w:pStyle w:val="13"/>
              <w:bidi w:val="0"/>
              <w:jc w:val="center"/>
              <w:rPr>
                <w:rFonts w:hint="eastAsia"/>
                <w:u w:val="single"/>
                <w:lang w:val="en-US" w:eastAsia="zh-CN"/>
              </w:rPr>
            </w:pPr>
            <w:r>
              <w:rPr>
                <w:u w:val="single"/>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Align w:val="center"/>
          </w:tcPr>
          <w:p>
            <w:pPr>
              <w:pStyle w:val="13"/>
              <w:bidi w:val="0"/>
              <w:jc w:val="center"/>
              <w:rPr>
                <w:rFonts w:hint="eastAsia"/>
                <w:u w:val="single"/>
                <w:lang w:val="en-US" w:eastAsia="zh-CN"/>
              </w:rPr>
            </w:pPr>
            <w:r>
              <w:rPr>
                <w:u w:val="single"/>
              </w:rPr>
              <w:t>生物多样性</w:t>
            </w:r>
          </w:p>
        </w:tc>
        <w:tc>
          <w:tcPr>
            <w:tcW w:w="1329" w:type="dxa"/>
            <w:vAlign w:val="center"/>
          </w:tcPr>
          <w:p>
            <w:pPr>
              <w:pStyle w:val="13"/>
              <w:bidi w:val="0"/>
              <w:jc w:val="center"/>
              <w:rPr>
                <w:rFonts w:hint="eastAsia"/>
                <w:u w:val="single"/>
                <w:lang w:val="en-US" w:eastAsia="zh-CN"/>
              </w:rPr>
            </w:pPr>
            <w:r>
              <w:rPr>
                <w:u w:val="single"/>
              </w:rPr>
              <w:t>物种丰富度</w:t>
            </w:r>
            <w:r>
              <w:rPr>
                <w:rFonts w:hint="eastAsia"/>
                <w:u w:val="single"/>
                <w:lang w:eastAsia="zh-CN"/>
              </w:rPr>
              <w:t>、</w:t>
            </w:r>
            <w:r>
              <w:rPr>
                <w:u w:val="single"/>
              </w:rPr>
              <w:t>均匀度</w:t>
            </w:r>
            <w:r>
              <w:rPr>
                <w:rFonts w:hint="eastAsia"/>
                <w:u w:val="single"/>
                <w:lang w:eastAsia="zh-CN"/>
              </w:rPr>
              <w:t>、</w:t>
            </w:r>
            <w:r>
              <w:rPr>
                <w:u w:val="single"/>
              </w:rPr>
              <w:t>优势度等</w:t>
            </w:r>
          </w:p>
        </w:tc>
        <w:tc>
          <w:tcPr>
            <w:tcW w:w="3877" w:type="dxa"/>
            <w:vAlign w:val="center"/>
          </w:tcPr>
          <w:p>
            <w:pPr>
              <w:pStyle w:val="13"/>
              <w:bidi w:val="0"/>
              <w:jc w:val="center"/>
              <w:rPr>
                <w:rFonts w:hint="eastAsia"/>
                <w:u w:val="single"/>
                <w:lang w:val="en-US" w:eastAsia="zh-CN"/>
              </w:rPr>
            </w:pPr>
            <w:r>
              <w:rPr>
                <w:u w:val="single"/>
              </w:rPr>
              <w:t>工程建设导致部分栖息地面积减小， 可能会使动物分布发生改变，对生物多样性造成影响；间接影响</w:t>
            </w:r>
          </w:p>
        </w:tc>
        <w:tc>
          <w:tcPr>
            <w:tcW w:w="1024" w:type="dxa"/>
            <w:vAlign w:val="center"/>
          </w:tcPr>
          <w:p>
            <w:pPr>
              <w:pStyle w:val="13"/>
              <w:bidi w:val="0"/>
              <w:jc w:val="center"/>
              <w:rPr>
                <w:rFonts w:hint="eastAsia"/>
                <w:u w:val="single"/>
                <w:lang w:val="en-US" w:eastAsia="zh-CN"/>
              </w:rPr>
            </w:pPr>
            <w:r>
              <w:rPr>
                <w:u w:val="single"/>
              </w:rPr>
              <w:t>长期、 不可逆</w:t>
            </w:r>
          </w:p>
        </w:tc>
        <w:tc>
          <w:tcPr>
            <w:tcW w:w="866" w:type="dxa"/>
            <w:vAlign w:val="center"/>
          </w:tcPr>
          <w:p>
            <w:pPr>
              <w:pStyle w:val="13"/>
              <w:bidi w:val="0"/>
              <w:jc w:val="center"/>
              <w:rPr>
                <w:rFonts w:hint="eastAsia"/>
                <w:u w:val="single"/>
                <w:lang w:val="en-US" w:eastAsia="zh-CN"/>
              </w:rPr>
            </w:pPr>
            <w:r>
              <w:rPr>
                <w:u w:val="single"/>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3"/>
              <w:bidi w:val="0"/>
              <w:jc w:val="center"/>
              <w:rPr>
                <w:rFonts w:hint="eastAsia"/>
                <w:u w:val="single"/>
                <w:lang w:val="en-US" w:eastAsia="zh-CN"/>
              </w:rPr>
            </w:pPr>
          </w:p>
        </w:tc>
        <w:tc>
          <w:tcPr>
            <w:tcW w:w="845" w:type="dxa"/>
            <w:vAlign w:val="center"/>
          </w:tcPr>
          <w:p>
            <w:pPr>
              <w:pStyle w:val="13"/>
              <w:bidi w:val="0"/>
              <w:jc w:val="center"/>
              <w:rPr>
                <w:rFonts w:hint="eastAsia"/>
                <w:u w:val="single"/>
                <w:lang w:val="en-US" w:eastAsia="zh-CN"/>
              </w:rPr>
            </w:pPr>
            <w:r>
              <w:rPr>
                <w:u w:val="single"/>
              </w:rPr>
              <w:t>生态敏感区</w:t>
            </w:r>
          </w:p>
        </w:tc>
        <w:tc>
          <w:tcPr>
            <w:tcW w:w="1329" w:type="dxa"/>
            <w:vAlign w:val="center"/>
          </w:tcPr>
          <w:p>
            <w:pPr>
              <w:pStyle w:val="13"/>
              <w:bidi w:val="0"/>
              <w:jc w:val="center"/>
              <w:rPr>
                <w:rFonts w:hint="eastAsia"/>
                <w:u w:val="single"/>
                <w:lang w:val="en-US" w:eastAsia="zh-CN"/>
              </w:rPr>
            </w:pPr>
            <w:r>
              <w:rPr>
                <w:u w:val="single"/>
              </w:rPr>
              <w:t>主要保护对象、生态功能等</w:t>
            </w:r>
          </w:p>
        </w:tc>
        <w:tc>
          <w:tcPr>
            <w:tcW w:w="3877" w:type="dxa"/>
            <w:vAlign w:val="center"/>
          </w:tcPr>
          <w:p>
            <w:pPr>
              <w:pStyle w:val="13"/>
              <w:bidi w:val="0"/>
              <w:jc w:val="both"/>
              <w:rPr>
                <w:rFonts w:hint="eastAsia"/>
                <w:u w:val="single"/>
                <w:lang w:val="en-US" w:eastAsia="zh-CN"/>
              </w:rPr>
            </w:pPr>
            <w:r>
              <w:rPr>
                <w:rFonts w:hint="eastAsia"/>
                <w:u w:val="single"/>
                <w:lang w:val="en-US" w:eastAsia="zh-CN"/>
              </w:rPr>
              <w:t>污水处理厂运行</w:t>
            </w:r>
            <w:r>
              <w:rPr>
                <w:u w:val="single"/>
              </w:rPr>
              <w:t xml:space="preserve">等会破坏保护对象的生境，会驱使主要保护对象往其他相似类型生境迁移； </w:t>
            </w:r>
            <w:r>
              <w:rPr>
                <w:rFonts w:hint="eastAsia"/>
                <w:u w:val="single"/>
                <w:lang w:val="en-US" w:eastAsia="zh-CN"/>
              </w:rPr>
              <w:t>间接</w:t>
            </w:r>
            <w:r>
              <w:rPr>
                <w:u w:val="single"/>
              </w:rPr>
              <w:t>影响</w:t>
            </w:r>
          </w:p>
        </w:tc>
        <w:tc>
          <w:tcPr>
            <w:tcW w:w="1024" w:type="dxa"/>
            <w:vAlign w:val="center"/>
          </w:tcPr>
          <w:p>
            <w:pPr>
              <w:pStyle w:val="13"/>
              <w:bidi w:val="0"/>
              <w:jc w:val="center"/>
              <w:rPr>
                <w:rFonts w:hint="eastAsia"/>
                <w:u w:val="single"/>
                <w:lang w:val="en-US" w:eastAsia="zh-CN"/>
              </w:rPr>
            </w:pPr>
            <w:r>
              <w:rPr>
                <w:u w:val="single"/>
              </w:rPr>
              <w:t>长期、 可逆</w:t>
            </w:r>
          </w:p>
        </w:tc>
        <w:tc>
          <w:tcPr>
            <w:tcW w:w="866" w:type="dxa"/>
            <w:vAlign w:val="center"/>
          </w:tcPr>
          <w:p>
            <w:pPr>
              <w:pStyle w:val="13"/>
              <w:bidi w:val="0"/>
              <w:jc w:val="center"/>
              <w:rPr>
                <w:u w:val="single"/>
              </w:rPr>
            </w:pPr>
          </w:p>
          <w:p>
            <w:pPr>
              <w:pStyle w:val="13"/>
              <w:bidi w:val="0"/>
              <w:jc w:val="center"/>
              <w:rPr>
                <w:rFonts w:hint="eastAsia"/>
                <w:u w:val="single"/>
                <w:lang w:val="en-US" w:eastAsia="zh-CN"/>
              </w:rPr>
            </w:pPr>
            <w:r>
              <w:rPr>
                <w:u w:val="single"/>
              </w:rPr>
              <w:t>弱</w:t>
            </w:r>
          </w:p>
        </w:tc>
      </w:tr>
    </w:tbl>
    <w:p>
      <w:pPr>
        <w:bidi w:val="0"/>
        <w:rPr>
          <w:rFonts w:hint="eastAsia"/>
          <w:u w:val="single"/>
          <w:lang w:val="en-US" w:eastAsia="zh-CN"/>
        </w:rPr>
      </w:pPr>
      <w:bookmarkStart w:id="285" w:name="_Toc23233406"/>
      <w:bookmarkStart w:id="286" w:name="_Toc18799"/>
      <w:bookmarkStart w:id="287" w:name="_Toc15584"/>
      <w:r>
        <w:rPr>
          <w:rFonts w:hint="eastAsia"/>
          <w:u w:val="single"/>
          <w:lang w:val="en-US" w:eastAsia="zh-CN"/>
        </w:rPr>
        <w:t>（2）</w:t>
      </w:r>
      <w:r>
        <w:rPr>
          <w:u w:val="single"/>
        </w:rPr>
        <w:t>施工期生态环境影响分析</w:t>
      </w:r>
    </w:p>
    <w:p>
      <w:pPr>
        <w:bidi w:val="0"/>
        <w:rPr>
          <w:rFonts w:hint="default"/>
          <w:u w:val="single"/>
          <w:lang w:val="en-US" w:eastAsia="zh-CN"/>
        </w:rPr>
      </w:pPr>
      <w:r>
        <w:rPr>
          <w:rFonts w:hint="eastAsia"/>
          <w:u w:val="single"/>
          <w:lang w:val="en-US" w:eastAsia="zh-CN"/>
        </w:rPr>
        <w:t>本项目分两期建成，一期工程包括污水处理厂基础工程及管网工程，且已预留二期设备底座，二期仅新增3套MBR设备，故仅针对一期工程进行施工期生态环境影响分析。</w:t>
      </w:r>
    </w:p>
    <w:p>
      <w:pPr>
        <w:bidi w:val="0"/>
        <w:rPr>
          <w:rFonts w:hint="eastAsia" w:eastAsia="宋体"/>
          <w:lang w:val="en-US" w:eastAsia="zh-CN"/>
        </w:rPr>
      </w:pPr>
      <w:r>
        <w:rPr>
          <w:rFonts w:hint="eastAsia"/>
          <w:u w:val="single"/>
          <w:lang w:val="en-US" w:eastAsia="zh-CN"/>
        </w:rPr>
        <w:t>1）</w:t>
      </w:r>
      <w:r>
        <w:rPr>
          <w:u w:val="single"/>
          <w:lang w:val="en-US"/>
        </w:rPr>
        <w:t>土地利用</w:t>
      </w:r>
      <w:bookmarkEnd w:id="285"/>
      <w:bookmarkEnd w:id="286"/>
      <w:r>
        <w:rPr>
          <w:rFonts w:hint="eastAsia"/>
          <w:u w:val="single"/>
          <w:lang w:val="en-US" w:eastAsia="zh-CN"/>
        </w:rPr>
        <w:t>影响</w:t>
      </w:r>
    </w:p>
    <w:p>
      <w:pPr>
        <w:spacing w:line="360" w:lineRule="auto"/>
        <w:ind w:firstLine="480" w:firstLineChars="200"/>
        <w:rPr>
          <w:rFonts w:ascii="Times New Roman" w:hAnsi="Times New Roman"/>
          <w:sz w:val="24"/>
          <w:szCs w:val="24"/>
          <w:u w:val="single"/>
        </w:rPr>
      </w:pPr>
      <w:r>
        <w:rPr>
          <w:rFonts w:hint="eastAsia"/>
          <w:u w:val="single"/>
          <w:lang w:eastAsia="zh-CN"/>
        </w:rPr>
        <w:t>由于污水处理厂占地及管道施工区域均为裸露地面，故施工前后</w:t>
      </w:r>
      <w:r>
        <w:rPr>
          <w:rFonts w:ascii="Times New Roman" w:hAnsi="Times New Roman"/>
          <w:sz w:val="24"/>
          <w:szCs w:val="24"/>
          <w:u w:val="single"/>
        </w:rPr>
        <w:t>对评价区土地利用变化的影响较小。</w:t>
      </w:r>
    </w:p>
    <w:p>
      <w:pPr>
        <w:bidi w:val="0"/>
        <w:rPr>
          <w:u w:val="single"/>
          <w:lang w:val="en-US"/>
        </w:rPr>
      </w:pPr>
      <w:bookmarkStart w:id="288" w:name="_Toc24053"/>
      <w:bookmarkStart w:id="289" w:name="_Toc23233407"/>
      <w:r>
        <w:rPr>
          <w:rFonts w:hint="eastAsia"/>
          <w:u w:val="single"/>
          <w:lang w:val="en-US" w:eastAsia="zh-CN"/>
        </w:rPr>
        <w:t>2）</w:t>
      </w:r>
      <w:r>
        <w:rPr>
          <w:u w:val="single"/>
          <w:lang w:val="en-US"/>
        </w:rPr>
        <w:t>对生态系统的影响</w:t>
      </w:r>
      <w:bookmarkEnd w:id="288"/>
      <w:bookmarkEnd w:id="289"/>
    </w:p>
    <w:p>
      <w:pPr>
        <w:bidi w:val="0"/>
        <w:rPr>
          <w:u w:val="single"/>
        </w:rPr>
      </w:pPr>
      <w:r>
        <w:rPr>
          <w:u w:val="single"/>
        </w:rPr>
        <w:t>评价区生态系统主要有</w:t>
      </w:r>
      <w:r>
        <w:rPr>
          <w:rFonts w:hint="eastAsia"/>
          <w:u w:val="single"/>
        </w:rPr>
        <w:t>森林生态系统</w:t>
      </w:r>
      <w:r>
        <w:rPr>
          <w:rFonts w:hint="eastAsia"/>
          <w:u w:val="single"/>
          <w:lang w:eastAsia="zh-CN"/>
        </w:rPr>
        <w:t>、</w:t>
      </w:r>
      <w:r>
        <w:rPr>
          <w:rFonts w:hint="eastAsia"/>
          <w:u w:val="single"/>
        </w:rPr>
        <w:t>灌丛生态系统</w:t>
      </w:r>
      <w:r>
        <w:rPr>
          <w:rFonts w:hint="eastAsia"/>
          <w:u w:val="single"/>
          <w:lang w:eastAsia="zh-CN"/>
        </w:rPr>
        <w:t>、</w:t>
      </w:r>
      <w:r>
        <w:rPr>
          <w:rFonts w:hint="eastAsia"/>
          <w:u w:val="single"/>
        </w:rPr>
        <w:t>湿地生态系统</w:t>
      </w:r>
      <w:r>
        <w:rPr>
          <w:rFonts w:hint="eastAsia"/>
          <w:u w:val="single"/>
          <w:lang w:eastAsia="zh-CN"/>
        </w:rPr>
        <w:t>、</w:t>
      </w:r>
      <w:r>
        <w:rPr>
          <w:rFonts w:hint="eastAsia"/>
          <w:u w:val="single"/>
        </w:rPr>
        <w:t>城镇生态系统</w:t>
      </w:r>
      <w:r>
        <w:rPr>
          <w:u w:val="single"/>
        </w:rPr>
        <w:t>，它们具有生境支持、生物多样性维持、美化环境等多种功能。本工程</w:t>
      </w:r>
      <w:r>
        <w:rPr>
          <w:rFonts w:hint="eastAsia"/>
          <w:u w:val="single"/>
          <w:lang w:eastAsia="zh-CN"/>
        </w:rPr>
        <w:t>占地区域内无植物存在，故不构成生态系统，主要是施工对周边生态系统的间接影响，但不会直接使评价区域内生态系统面积造成影响</w:t>
      </w:r>
      <w:r>
        <w:rPr>
          <w:u w:val="single"/>
        </w:rPr>
        <w:t>。</w:t>
      </w:r>
    </w:p>
    <w:bookmarkEnd w:id="287"/>
    <w:p>
      <w:pPr>
        <w:bidi w:val="0"/>
        <w:rPr>
          <w:rFonts w:hint="eastAsia" w:eastAsia="宋体"/>
          <w:u w:val="single"/>
          <w:lang w:eastAsia="zh-CN"/>
        </w:rPr>
      </w:pPr>
      <w:r>
        <w:rPr>
          <w:rFonts w:hint="eastAsia"/>
          <w:u w:val="single"/>
          <w:lang w:val="en-US" w:eastAsia="zh-CN"/>
        </w:rPr>
        <w:t>3</w:t>
      </w:r>
      <w:r>
        <w:rPr>
          <w:rFonts w:hint="eastAsia"/>
          <w:u w:val="single"/>
          <w:lang w:eastAsia="zh-CN"/>
        </w:rPr>
        <w:t>）对</w:t>
      </w:r>
      <w:r>
        <w:rPr>
          <w:rFonts w:hint="eastAsia"/>
          <w:u w:val="single"/>
        </w:rPr>
        <w:t>植被影响</w:t>
      </w:r>
    </w:p>
    <w:p>
      <w:pPr>
        <w:bidi w:val="0"/>
        <w:rPr>
          <w:rFonts w:hint="eastAsia"/>
        </w:rPr>
      </w:pPr>
      <w:r>
        <w:rPr>
          <w:u w:val="single"/>
        </w:rPr>
        <w:t>评价区生态系统主要有</w:t>
      </w:r>
      <w:r>
        <w:rPr>
          <w:rFonts w:hint="eastAsia"/>
          <w:u w:val="single"/>
        </w:rPr>
        <w:t>森林生态系统</w:t>
      </w:r>
      <w:r>
        <w:rPr>
          <w:rFonts w:hint="eastAsia"/>
          <w:u w:val="single"/>
          <w:lang w:eastAsia="zh-CN"/>
        </w:rPr>
        <w:t>、</w:t>
      </w:r>
      <w:r>
        <w:rPr>
          <w:rFonts w:hint="eastAsia"/>
          <w:u w:val="single"/>
        </w:rPr>
        <w:t>灌丛生态系统</w:t>
      </w:r>
      <w:r>
        <w:rPr>
          <w:rFonts w:hint="eastAsia"/>
          <w:u w:val="single"/>
          <w:lang w:eastAsia="zh-CN"/>
        </w:rPr>
        <w:t>、</w:t>
      </w:r>
      <w:r>
        <w:rPr>
          <w:rFonts w:hint="eastAsia"/>
          <w:u w:val="single"/>
        </w:rPr>
        <w:t>湿地生态系统</w:t>
      </w:r>
      <w:r>
        <w:rPr>
          <w:rFonts w:hint="eastAsia"/>
          <w:u w:val="single"/>
          <w:lang w:eastAsia="zh-CN"/>
        </w:rPr>
        <w:t>、</w:t>
      </w:r>
      <w:r>
        <w:rPr>
          <w:rFonts w:hint="eastAsia"/>
          <w:u w:val="single"/>
        </w:rPr>
        <w:t>城镇生态系统</w:t>
      </w:r>
      <w:r>
        <w:rPr>
          <w:u w:val="single"/>
        </w:rPr>
        <w:t>，</w:t>
      </w:r>
      <w:r>
        <w:rPr>
          <w:rFonts w:hint="eastAsia"/>
          <w:u w:val="single"/>
        </w:rPr>
        <w:t>评价区常见的群系有</w:t>
      </w:r>
      <w:r>
        <w:rPr>
          <w:rFonts w:hint="eastAsia"/>
          <w:u w:val="single"/>
          <w:lang w:val="en-US" w:eastAsia="zh-CN"/>
        </w:rPr>
        <w:t>杉木林、马尾松林、枫香树林、榆树林、水竹林、桃树林、玉兰林</w:t>
      </w:r>
      <w:r>
        <w:rPr>
          <w:rFonts w:hint="eastAsia"/>
          <w:u w:val="single"/>
        </w:rPr>
        <w:t>等</w:t>
      </w:r>
      <w:r>
        <w:rPr>
          <w:u w:val="single"/>
        </w:rPr>
        <w:t>。本工程</w:t>
      </w:r>
      <w:r>
        <w:rPr>
          <w:rFonts w:hint="eastAsia"/>
          <w:u w:val="single"/>
          <w:lang w:eastAsia="zh-CN"/>
        </w:rPr>
        <w:t>占地区域内无植物存在，主要是施工对周边植被的间接影响，但影响不大</w:t>
      </w:r>
      <w:r>
        <w:rPr>
          <w:u w:val="single"/>
        </w:rPr>
        <w:t>。</w:t>
      </w:r>
    </w:p>
    <w:p>
      <w:pPr>
        <w:bidi w:val="0"/>
        <w:rPr>
          <w:rFonts w:hint="eastAsia" w:eastAsia="宋体"/>
          <w:u w:val="single"/>
          <w:lang w:val="en-US" w:eastAsia="zh-CN"/>
        </w:rPr>
      </w:pPr>
      <w:r>
        <w:rPr>
          <w:rFonts w:hint="eastAsia"/>
          <w:u w:val="single"/>
          <w:lang w:val="en-US" w:eastAsia="zh-CN"/>
        </w:rPr>
        <w:t>4）对动物影响</w:t>
      </w:r>
    </w:p>
    <w:p>
      <w:pPr>
        <w:bidi w:val="0"/>
        <w:rPr>
          <w:rFonts w:hint="eastAsia" w:eastAsia="宋体"/>
          <w:u w:val="single"/>
          <w:lang w:eastAsia="zh-CN"/>
        </w:rPr>
      </w:pPr>
      <w:r>
        <w:rPr>
          <w:rFonts w:hint="eastAsia"/>
          <w:u w:val="single"/>
        </w:rPr>
        <w:t>评价区有陆生脊椎动物4纲17目44科92种，其中两栖纲1目4科8种，爬行纲1目6科10种，鸟纲9目27科64种，哺乳纲6目7科10种。从其中东洋种47种，占评价区总种数的51.09%；古北种6种，占评价区总种数的6.52%；广布种39种，占评价区总种数的42.39%。评价区陆生脊椎动物中，暂未发现国家级重点保护野生动物分布，有湖南省级保护动物64种</w:t>
      </w:r>
      <w:r>
        <w:rPr>
          <w:rFonts w:hint="eastAsia"/>
          <w:u w:val="single"/>
          <w:lang w:eastAsia="zh-CN"/>
        </w:rPr>
        <w:t>。</w:t>
      </w:r>
    </w:p>
    <w:p>
      <w:pPr>
        <w:bidi w:val="0"/>
        <w:rPr>
          <w:rFonts w:hint="eastAsia"/>
          <w:u w:val="single"/>
        </w:rPr>
      </w:pPr>
      <w:r>
        <w:rPr>
          <w:rFonts w:hint="eastAsia"/>
          <w:u w:val="single"/>
          <w:lang w:eastAsia="zh-CN"/>
        </w:rPr>
        <w:t>①</w:t>
      </w:r>
      <w:r>
        <w:rPr>
          <w:rFonts w:hint="eastAsia"/>
          <w:u w:val="single"/>
        </w:rPr>
        <w:t>工程占地对动物的影响</w:t>
      </w:r>
    </w:p>
    <w:p>
      <w:pPr>
        <w:bidi w:val="0"/>
        <w:rPr>
          <w:rFonts w:hint="eastAsia"/>
          <w:u w:val="single"/>
        </w:rPr>
      </w:pPr>
      <w:r>
        <w:rPr>
          <w:rFonts w:hint="eastAsia"/>
          <w:u w:val="single"/>
        </w:rPr>
        <w:t>本项目工程占地类型分永久占地和临时占地两部分，其占地区主要</w:t>
      </w:r>
      <w:r>
        <w:rPr>
          <w:rFonts w:hint="eastAsia"/>
          <w:u w:val="single"/>
          <w:lang w:eastAsia="zh-CN"/>
        </w:rPr>
        <w:t>为污水处理厂建设</w:t>
      </w:r>
      <w:r>
        <w:rPr>
          <w:rFonts w:hint="eastAsia"/>
          <w:u w:val="single"/>
        </w:rPr>
        <w:t>，</w:t>
      </w:r>
      <w:r>
        <w:rPr>
          <w:rFonts w:hint="eastAsia"/>
          <w:u w:val="single"/>
          <w:lang w:eastAsia="zh-CN"/>
        </w:rPr>
        <w:t>该区域已为碎石回填区，无野生动物存在，管道工程占地区域有少量野生动物存在，</w:t>
      </w:r>
      <w:r>
        <w:rPr>
          <w:rFonts w:hint="eastAsia"/>
          <w:u w:val="single"/>
        </w:rPr>
        <w:t>主要为鸟类和小型哺乳类，移动能力相对较强，其中鸟类以小型鸣禽为主，施工期间植被破坏会迫使其迁移至周边影响较小的环境中去。因此工程占地会缩小野生动物的栖息空间，限制部分陆生动物的活动区域、觅食范围等，从而对陆生动物的生存产生不利影响。考虑到周边相似生境较多，占地面积相对较少，在施工结束后随着占地区域水土保持以及植被恢复措施的实施，减缓了其周边的动物的不利影响。</w:t>
      </w:r>
    </w:p>
    <w:p>
      <w:pPr>
        <w:bidi w:val="0"/>
        <w:rPr>
          <w:rFonts w:hint="eastAsia"/>
          <w:u w:val="single"/>
        </w:rPr>
      </w:pPr>
      <w:r>
        <w:rPr>
          <w:rFonts w:hint="eastAsia"/>
          <w:u w:val="single"/>
          <w:lang w:eastAsia="zh-CN"/>
        </w:rPr>
        <w:t>②</w:t>
      </w:r>
      <w:r>
        <w:rPr>
          <w:rFonts w:hint="eastAsia"/>
          <w:u w:val="single"/>
        </w:rPr>
        <w:t>施工噪声对动物的影响</w:t>
      </w:r>
    </w:p>
    <w:p>
      <w:pPr>
        <w:bidi w:val="0"/>
        <w:jc w:val="both"/>
        <w:rPr>
          <w:rFonts w:hint="eastAsia"/>
          <w:u w:val="single"/>
        </w:rPr>
      </w:pPr>
      <w:r>
        <w:rPr>
          <w:rFonts w:hint="eastAsia"/>
          <w:u w:val="single"/>
        </w:rPr>
        <w:t>在项目建设过程中，由于施工活动产生一定的噪声，噪声源主要有手风钻和挖掘机等产生噪音较大。根据相关研究（辜小安，1999），通常鸟类栖息地意外背景噪声（如树叶摇动等）平均为45</w:t>
      </w:r>
      <w:r>
        <w:rPr>
          <w:u w:val="single"/>
        </w:rPr>
        <w:t>dB</w:t>
      </w:r>
      <w:r>
        <w:rPr>
          <w:rFonts w:hint="eastAsia"/>
          <w:u w:val="single"/>
        </w:rPr>
        <w:t>（A），当等效连续A声级，24h超过50</w:t>
      </w:r>
      <w:r>
        <w:rPr>
          <w:u w:val="single"/>
        </w:rPr>
        <w:t>d</w:t>
      </w:r>
      <w:r>
        <w:rPr>
          <w:rFonts w:hint="eastAsia"/>
          <w:u w:val="single"/>
        </w:rPr>
        <w:t>B，可能对鸟类的栖息和繁殖产生较小的影响。考虑到周边植被等遮挡物的原因，本项目在施工期对周边300m以内范围的鸟类栖息会产生不同程度的干扰。</w:t>
      </w:r>
    </w:p>
    <w:p>
      <w:pPr>
        <w:bidi w:val="0"/>
        <w:jc w:val="both"/>
        <w:rPr>
          <w:rFonts w:hint="eastAsia"/>
          <w:u w:val="single"/>
        </w:rPr>
      </w:pPr>
      <w:r>
        <w:rPr>
          <w:rFonts w:hint="eastAsia"/>
          <w:u w:val="single"/>
        </w:rPr>
        <w:t>由于施工期的3~6月份为大多数鸟类的繁殖月份，工程施工产生的噪音对附近较近距离鸟类的交流和繁殖产生不利影响，迫使鸟类远离施工区域，造成短期内项目区鸟类分布的种类、数量等发生变化。施工区周边有大量相似的栖息生境，鸟类在施工期间会主动避让施工活动区域并转移到周边噪音较小的生境中活动。本工程只在昼间施工，未对周边动物的正常休息产生较大影响。</w:t>
      </w:r>
    </w:p>
    <w:p>
      <w:pPr>
        <w:bidi w:val="0"/>
        <w:jc w:val="both"/>
        <w:rPr>
          <w:rFonts w:hint="eastAsia"/>
          <w:u w:val="single"/>
        </w:rPr>
      </w:pPr>
      <w:r>
        <w:rPr>
          <w:rFonts w:hint="eastAsia"/>
          <w:u w:val="single"/>
        </w:rPr>
        <w:t>除鸟类之外，还分布有两栖类、爬行类和哺乳类动物，噪声的干扰和震动可能对这次无法快速移动的部分个体造成伤害。由于工程各阶段施工时间短、各风机设置点分散，这些不利影响随施工的结束而逐渐消失。</w:t>
      </w:r>
    </w:p>
    <w:p>
      <w:pPr>
        <w:bidi w:val="0"/>
        <w:rPr>
          <w:rFonts w:hint="eastAsia"/>
          <w:u w:val="single"/>
        </w:rPr>
      </w:pPr>
      <w:r>
        <w:rPr>
          <w:rFonts w:hint="eastAsia"/>
          <w:u w:val="single"/>
          <w:lang w:eastAsia="zh-CN"/>
        </w:rPr>
        <w:t>③</w:t>
      </w:r>
      <w:r>
        <w:rPr>
          <w:rFonts w:hint="eastAsia"/>
          <w:u w:val="single"/>
        </w:rPr>
        <w:t>人为干扰对动物的影响</w:t>
      </w:r>
    </w:p>
    <w:p>
      <w:pPr>
        <w:bidi w:val="0"/>
        <w:rPr>
          <w:rFonts w:hint="eastAsia"/>
          <w:u w:val="single"/>
        </w:rPr>
      </w:pPr>
      <w:r>
        <w:rPr>
          <w:rFonts w:hint="eastAsia"/>
          <w:u w:val="single"/>
        </w:rPr>
        <w:t>工程施工期间，施工人员可能对一些有经济价值、观赏价值和食用价值的动物如灰胸竹鸡、画眉、沼水蛙、华南兔等种类捕杀，造成其种群数量的减少。对于这种干扰，本项目施工期进行宣传教育且制定严格的惩罚制度以及明令禁止的方式进行约束，从而减轻或避免工程施工对野生动物的影响。</w:t>
      </w:r>
    </w:p>
    <w:p>
      <w:pPr>
        <w:bidi w:val="0"/>
        <w:rPr>
          <w:rFonts w:hint="eastAsia"/>
          <w:u w:val="single"/>
        </w:rPr>
      </w:pPr>
      <w:r>
        <w:rPr>
          <w:rFonts w:hint="eastAsia"/>
          <w:u w:val="single"/>
          <w:lang w:eastAsia="zh-CN"/>
        </w:rPr>
        <w:t>④</w:t>
      </w:r>
      <w:r>
        <w:rPr>
          <w:rFonts w:hint="eastAsia"/>
          <w:u w:val="single"/>
        </w:rPr>
        <w:t>施工污染物对动物的影响</w:t>
      </w:r>
    </w:p>
    <w:p>
      <w:pPr>
        <w:bidi w:val="0"/>
        <w:rPr>
          <w:rFonts w:hint="eastAsia"/>
          <w:u w:val="single"/>
        </w:rPr>
      </w:pPr>
      <w:r>
        <w:rPr>
          <w:rFonts w:hint="eastAsia"/>
          <w:u w:val="single"/>
        </w:rPr>
        <w:t>施工期间会产生一定的固体废物，如果乱丢乱堆，将会影响周围环境卫生，对动物的栖息环境造成污染和批淮。</w:t>
      </w:r>
      <w:r>
        <w:rPr>
          <w:rFonts w:hint="eastAsia"/>
          <w:u w:val="single"/>
          <w:lang w:eastAsia="zh-CN"/>
        </w:rPr>
        <w:t>本项目</w:t>
      </w:r>
      <w:r>
        <w:rPr>
          <w:rFonts w:hint="eastAsia"/>
          <w:u w:val="single"/>
        </w:rPr>
        <w:t>产生的固体废物主要为建筑垃圾、弃渣以及施工人员的生活垃圾。弃渣成份主要是天然土石，不含有毒有害物质，施工期间将固废物运往指定位置处理。施工人员的生活垃圾运往垃圾处理地点，未随意堆放，防止污染动物栖息环境。</w:t>
      </w:r>
    </w:p>
    <w:p>
      <w:pPr>
        <w:bidi w:val="0"/>
        <w:rPr>
          <w:rFonts w:hint="eastAsia"/>
        </w:rPr>
      </w:pPr>
      <w:r>
        <w:rPr>
          <w:rFonts w:hint="eastAsia"/>
          <w:u w:val="single"/>
        </w:rPr>
        <w:t>本工程的生产废水主要包括土建用水废水、施工机械设备与运输车辆的清洗废水等，其主要污染物有SS和COD</w:t>
      </w:r>
      <w:r>
        <w:rPr>
          <w:rFonts w:hint="eastAsia"/>
          <w:u w:val="single"/>
          <w:vertAlign w:val="subscript"/>
        </w:rPr>
        <w:t>Cr</w:t>
      </w:r>
      <w:r>
        <w:rPr>
          <w:rFonts w:hint="eastAsia"/>
          <w:u w:val="single"/>
        </w:rPr>
        <w:t>，但浓度相对较低，但不合理排放会对周边动物栖息地造成污染，本项目在施工场地周围修建沉淀池，施工废水进行沉淀后回用于洒水降尘，生产废水和生活污水合理处置，不随意排放，减小了对动物的栖息环境的污染程度。</w:t>
      </w:r>
    </w:p>
    <w:p>
      <w:pPr>
        <w:bidi w:val="0"/>
        <w:rPr>
          <w:rFonts w:hint="eastAsia"/>
          <w:u w:val="single"/>
        </w:rPr>
      </w:pPr>
      <w:r>
        <w:rPr>
          <w:rFonts w:hint="eastAsia"/>
          <w:u w:val="single"/>
        </w:rPr>
        <w:t>此外，施工过程中还会对大气环境产生一定污染，其污染源主要是排放废气的各类施工机械、产生粉尘和飘尘的开挖与车辆运输等工程作业。主要污染物质有：粉尘、一氧化碳、氮氧化物和烯烃类。施工产生的废气和粉尘在短期内对空气质量产生影响，尤其是施工场地下风向约100m范围内扬尘影响较大，进而影响鸟类栖息环境。由于道路施工规模小，施工相对简单，工期短，施工期间产生粉尘是短期的、暂时的和局部的，在采取洒水降尘、裸露地表进行覆盖等措施后对该地区环境空气质量影响很小。</w:t>
      </w:r>
    </w:p>
    <w:p>
      <w:pPr>
        <w:bidi w:val="0"/>
        <w:rPr>
          <w:rFonts w:hint="eastAsia"/>
        </w:rPr>
      </w:pPr>
      <w:r>
        <w:rPr>
          <w:rFonts w:hint="eastAsia"/>
          <w:u w:val="single"/>
          <w:lang w:val="en-US" w:eastAsia="zh-CN"/>
        </w:rPr>
        <w:t>（2）</w:t>
      </w:r>
      <w:r>
        <w:rPr>
          <w:rFonts w:hint="eastAsia"/>
          <w:u w:val="single"/>
          <w:lang w:eastAsia="zh-CN"/>
        </w:rPr>
        <w:t>营运</w:t>
      </w:r>
      <w:r>
        <w:rPr>
          <w:u w:val="single"/>
        </w:rPr>
        <w:t>期生态环境影响分析</w:t>
      </w:r>
    </w:p>
    <w:p>
      <w:pPr>
        <w:bidi w:val="0"/>
        <w:jc w:val="both"/>
        <w:rPr>
          <w:rFonts w:hint="eastAsia"/>
          <w:u w:val="single"/>
        </w:rPr>
      </w:pPr>
      <w:r>
        <w:rPr>
          <w:rFonts w:hint="eastAsia"/>
          <w:u w:val="single"/>
          <w:lang w:val="en-US" w:eastAsia="zh-CN"/>
        </w:rPr>
        <w:t>1）</w:t>
      </w:r>
      <w:r>
        <w:rPr>
          <w:rFonts w:hint="eastAsia"/>
          <w:u w:val="single"/>
        </w:rPr>
        <w:t>对野生动物的影响分析</w:t>
      </w:r>
    </w:p>
    <w:p>
      <w:pPr>
        <w:ind w:firstLine="480"/>
        <w:jc w:val="both"/>
        <w:rPr>
          <w:rFonts w:hint="eastAsia"/>
          <w:u w:val="single"/>
        </w:rPr>
      </w:pPr>
      <w:r>
        <w:rPr>
          <w:rFonts w:hint="eastAsia"/>
          <w:u w:val="single"/>
        </w:rPr>
        <w:t>由于本项目区域不是野生动物的栖息地、聚集地、觅食区，且营运期</w:t>
      </w:r>
      <w:r>
        <w:rPr>
          <w:rFonts w:hint="eastAsia"/>
          <w:u w:val="single"/>
          <w:lang w:eastAsia="zh-CN"/>
        </w:rPr>
        <w:t>产生的噪声较小</w:t>
      </w:r>
      <w:r>
        <w:rPr>
          <w:rFonts w:hint="eastAsia"/>
          <w:u w:val="single"/>
        </w:rPr>
        <w:t>，基本不会影响野生动物的生存、活动空间，对区域生物多样性不会产生大的影响。场内道路两侧具有一定的边坡，而边坡的存在使得野生动物的活动不会受到道路太大的阻隔影响。</w:t>
      </w:r>
    </w:p>
    <w:p>
      <w:pPr>
        <w:bidi w:val="0"/>
        <w:rPr>
          <w:rFonts w:hint="eastAsia"/>
          <w:u w:val="single"/>
          <w:lang w:val="en-US" w:eastAsia="zh-CN"/>
        </w:rPr>
      </w:pPr>
      <w:r>
        <w:rPr>
          <w:rFonts w:hint="eastAsia"/>
          <w:u w:val="single"/>
          <w:lang w:val="en-US" w:eastAsia="zh-CN"/>
        </w:rPr>
        <w:t>2）生态敏感区影响</w:t>
      </w:r>
    </w:p>
    <w:p>
      <w:pPr>
        <w:bidi w:val="0"/>
        <w:jc w:val="both"/>
        <w:rPr>
          <w:rFonts w:hint="eastAsia"/>
          <w:u w:val="single"/>
          <w:lang w:val="en-US" w:eastAsia="zh-CN"/>
        </w:rPr>
      </w:pPr>
      <w:r>
        <w:rPr>
          <w:rFonts w:hint="eastAsia"/>
          <w:u w:val="single"/>
          <w:lang w:val="en-US" w:eastAsia="zh-CN"/>
        </w:rPr>
        <w:t>①</w:t>
      </w:r>
      <w:r>
        <w:rPr>
          <w:rFonts w:hint="eastAsia"/>
          <w:color w:val="auto"/>
          <w:kern w:val="0"/>
          <w:u w:val="single"/>
          <w:lang w:val="en-US" w:eastAsia="zh-CN"/>
        </w:rPr>
        <w:t>本项目污水处理厂执行</w:t>
      </w:r>
      <w:r>
        <w:rPr>
          <w:rFonts w:hint="eastAsia"/>
          <w:color w:val="auto"/>
          <w:u w:val="single"/>
        </w:rPr>
        <w:t>《城镇污水处理厂污染物排放标准》中一级A标</w:t>
      </w:r>
      <w:r>
        <w:rPr>
          <w:rFonts w:hint="eastAsia"/>
          <w:color w:val="auto"/>
          <w:u w:val="single"/>
          <w:lang w:eastAsia="zh-CN"/>
        </w:rPr>
        <w:t>准，经地表水环境预测，污水排放后，区域地表水能够达到</w:t>
      </w:r>
      <w:r>
        <w:rPr>
          <w:rFonts w:hint="eastAsia"/>
          <w:color w:val="auto"/>
          <w:u w:val="single"/>
          <w:lang w:val="en-US" w:eastAsia="zh-CN"/>
        </w:rPr>
        <w:t>《地表水环境质量标准》</w:t>
      </w:r>
      <w:r>
        <w:rPr>
          <w:rFonts w:hint="eastAsia" w:ascii="宋体" w:hAnsi="宋体" w:eastAsia="宋体" w:cs="宋体"/>
          <w:color w:val="auto"/>
          <w:u w:val="single"/>
          <w:lang w:val="en-US" w:eastAsia="zh-CN"/>
        </w:rPr>
        <w:t>Ⅲ</w:t>
      </w:r>
      <w:r>
        <w:rPr>
          <w:rFonts w:hint="eastAsia"/>
          <w:color w:val="auto"/>
          <w:u w:val="single"/>
          <w:lang w:val="en-US" w:eastAsia="zh-CN"/>
        </w:rPr>
        <w:t>类标准。本项目建成后</w:t>
      </w:r>
      <w:r>
        <w:rPr>
          <w:rFonts w:hint="eastAsia"/>
          <w:color w:val="auto"/>
          <w:kern w:val="0"/>
          <w:u w:val="single"/>
          <w:lang w:val="en-US" w:eastAsia="zh-CN"/>
        </w:rPr>
        <w:t>猛洞河不二门段水环境呈趋好的方向发展</w:t>
      </w:r>
    </w:p>
    <w:p>
      <w:pPr>
        <w:bidi w:val="0"/>
        <w:jc w:val="both"/>
        <w:rPr>
          <w:rFonts w:hint="eastAsia"/>
          <w:u w:val="single"/>
          <w:lang w:val="en-US" w:eastAsia="zh-CN"/>
        </w:rPr>
      </w:pPr>
      <w:r>
        <w:rPr>
          <w:rFonts w:hint="eastAsia"/>
          <w:u w:val="single"/>
          <w:lang w:val="en-US" w:eastAsia="zh-CN"/>
        </w:rPr>
        <w:t>②根据《猛洞河风国家级风景名胜区总体规划》，外围保护区不属于风景名胜区范围，重点保护整体景观风貌与生态环境不受破坏。经分析，本项目的用地与和产业布置规划符合国家《风景名胜区条例》、《湖南省风景名胜区管理条例》及《猛洞河风景名胜区总体规划》的管控要求，与《猛洞河风景名胜区总体规划》无冲突。</w:t>
      </w:r>
    </w:p>
    <w:p>
      <w:pPr>
        <w:bidi w:val="0"/>
        <w:jc w:val="both"/>
        <w:rPr>
          <w:rFonts w:hint="default"/>
          <w:u w:val="single"/>
          <w:lang w:val="en-US" w:eastAsia="zh-CN"/>
        </w:rPr>
      </w:pPr>
      <w:r>
        <w:rPr>
          <w:rFonts w:hint="eastAsia"/>
          <w:u w:val="single"/>
          <w:lang w:val="en-US" w:eastAsia="zh-CN"/>
        </w:rPr>
        <w:t>③</w:t>
      </w:r>
      <w:r>
        <w:rPr>
          <w:rFonts w:hint="eastAsia" w:ascii="宋体" w:hAnsi="宋体" w:eastAsia="宋体" w:cs="宋体"/>
          <w:color w:val="auto"/>
          <w:sz w:val="24"/>
          <w:u w:val="single"/>
          <w:lang w:eastAsia="zh-CN"/>
        </w:rPr>
        <w:t>根据《永顺猛洞河地质公园总体规划》本项目不属于永顺猛洞河地质公园禁止建设项目，本项目建成后</w:t>
      </w:r>
      <w:r>
        <w:rPr>
          <w:rFonts w:hint="eastAsia"/>
          <w:color w:val="auto"/>
          <w:kern w:val="0"/>
          <w:u w:val="single"/>
        </w:rPr>
        <w:t>接收</w:t>
      </w:r>
      <w:r>
        <w:rPr>
          <w:rFonts w:hint="eastAsia"/>
          <w:color w:val="auto"/>
          <w:kern w:val="0"/>
          <w:u w:val="single"/>
          <w:lang w:eastAsia="zh-CN"/>
        </w:rPr>
        <w:t>永顺经济开发区猛洞河产业园内企事业污水</w:t>
      </w:r>
      <w:r>
        <w:rPr>
          <w:rFonts w:hint="eastAsia"/>
          <w:color w:val="auto"/>
          <w:kern w:val="0"/>
          <w:u w:val="single"/>
          <w:lang w:val="en-US" w:eastAsia="zh-CN"/>
        </w:rPr>
        <w:t>处理达标后外排，防止产业园区内污水随意外排至猛洞河，使猛洞河地质公园段水域呈趋好的方向发展。</w:t>
      </w:r>
    </w:p>
    <w:p>
      <w:pPr>
        <w:pStyle w:val="76"/>
        <w:spacing w:before="163" w:after="163"/>
        <w:rPr>
          <w:color w:val="auto"/>
          <w:u w:val="none"/>
        </w:rPr>
      </w:pPr>
      <w:r>
        <w:rPr>
          <w:rFonts w:hint="eastAsia"/>
          <w:color w:val="auto"/>
          <w:kern w:val="0"/>
          <w:u w:val="none"/>
        </w:rPr>
        <w:t>4.</w:t>
      </w:r>
      <w:r>
        <w:rPr>
          <w:color w:val="auto"/>
          <w:kern w:val="0"/>
          <w:u w:val="none"/>
        </w:rPr>
        <w:t>3</w:t>
      </w:r>
      <w:r>
        <w:rPr>
          <w:rFonts w:hint="eastAsia"/>
          <w:color w:val="auto"/>
          <w:u w:val="none"/>
        </w:rPr>
        <w:t>环境风险评价</w:t>
      </w:r>
      <w:bookmarkEnd w:id="235"/>
    </w:p>
    <w:p>
      <w:pPr>
        <w:pStyle w:val="6"/>
        <w:bidi w:val="0"/>
        <w:rPr>
          <w:rFonts w:hint="eastAsia"/>
        </w:rPr>
      </w:pPr>
      <w:r>
        <w:rPr>
          <w:rFonts w:hint="eastAsia"/>
        </w:rPr>
        <w:t>4.4</w:t>
      </w:r>
      <w:r>
        <w:t>.1</w:t>
      </w:r>
      <w:r>
        <w:rPr>
          <w:rFonts w:hint="eastAsia"/>
        </w:rPr>
        <w:t>评价依据</w:t>
      </w:r>
    </w:p>
    <w:p>
      <w:pPr>
        <w:pStyle w:val="69"/>
        <w:rPr>
          <w:rFonts w:hint="eastAsia"/>
          <w:color w:val="auto"/>
          <w:u w:val="none"/>
        </w:rPr>
      </w:pPr>
      <w:r>
        <w:rPr>
          <w:rFonts w:hint="eastAsia"/>
          <w:color w:val="auto"/>
          <w:u w:val="none"/>
        </w:rPr>
        <w:t>4.4</w:t>
      </w:r>
      <w:r>
        <w:rPr>
          <w:color w:val="auto"/>
          <w:u w:val="none"/>
        </w:rPr>
        <w:t>.</w:t>
      </w:r>
      <w:r>
        <w:rPr>
          <w:rFonts w:hint="eastAsia"/>
          <w:color w:val="auto"/>
          <w:u w:val="none"/>
        </w:rPr>
        <w:t>1.</w:t>
      </w:r>
      <w:r>
        <w:rPr>
          <w:color w:val="auto"/>
          <w:u w:val="none"/>
        </w:rPr>
        <w:t>1</w:t>
      </w:r>
      <w:r>
        <w:rPr>
          <w:rFonts w:hint="eastAsia"/>
          <w:color w:val="auto"/>
          <w:u w:val="none"/>
        </w:rPr>
        <w:t>风险调查</w:t>
      </w:r>
    </w:p>
    <w:p>
      <w:pPr>
        <w:ind w:firstLine="480"/>
        <w:rPr>
          <w:rFonts w:hint="eastAsia"/>
          <w:color w:val="auto"/>
          <w:u w:val="none"/>
        </w:rPr>
      </w:pPr>
      <w:r>
        <w:rPr>
          <w:rFonts w:hint="eastAsia"/>
          <w:color w:val="auto"/>
          <w:u w:val="none"/>
        </w:rPr>
        <w:t>环境风险是通过环境介质传播的，由自发的原因或人类活动引起的具有不确定性的环境严重污染事件。环境风险评价就是分析环境风险事件隐患、事故发生概率、事件后果、并确定采取的相应的安全对策。</w:t>
      </w:r>
    </w:p>
    <w:p>
      <w:pPr>
        <w:ind w:firstLine="480"/>
        <w:rPr>
          <w:rFonts w:hint="eastAsia"/>
          <w:color w:val="auto"/>
          <w:u w:val="none"/>
        </w:rPr>
      </w:pPr>
      <w:r>
        <w:rPr>
          <w:rFonts w:hint="eastAsia"/>
          <w:color w:val="auto"/>
          <w:u w:val="none"/>
        </w:rPr>
        <w:t>本项目为</w:t>
      </w:r>
      <w:r>
        <w:rPr>
          <w:rFonts w:hint="eastAsia"/>
          <w:color w:val="auto"/>
          <w:u w:val="none"/>
          <w:lang w:eastAsia="zh-CN"/>
        </w:rPr>
        <w:t>工业污水处理厂</w:t>
      </w:r>
      <w:r>
        <w:rPr>
          <w:rFonts w:hint="eastAsia"/>
          <w:color w:val="auto"/>
          <w:u w:val="none"/>
        </w:rPr>
        <w:t>项目，其目的是将</w:t>
      </w:r>
      <w:r>
        <w:rPr>
          <w:rFonts w:hint="eastAsia"/>
          <w:color w:val="auto"/>
          <w:u w:val="none"/>
          <w:lang w:eastAsia="zh-CN"/>
        </w:rPr>
        <w:t>工业废水及</w:t>
      </w:r>
      <w:r>
        <w:rPr>
          <w:rFonts w:hint="eastAsia"/>
          <w:color w:val="auto"/>
          <w:u w:val="none"/>
        </w:rPr>
        <w:t>生活污水经过处理做到污染物减量化排放。在停电、设备故障引起污水事故排放时会存在某些潜在的环境风险因素。</w:t>
      </w:r>
    </w:p>
    <w:p>
      <w:pPr>
        <w:ind w:firstLine="480"/>
        <w:rPr>
          <w:color w:val="auto"/>
          <w:u w:val="none"/>
        </w:rPr>
      </w:pPr>
      <w:r>
        <w:rPr>
          <w:rFonts w:hint="eastAsia"/>
          <w:color w:val="auto"/>
          <w:u w:val="none"/>
        </w:rPr>
        <w:t>根据《建设项目环境风险评价技术导则》（HJ169-2018）的要求，需要对本项目建设进行环境风险评价，通过评价认识本项目的风险程度、危险环节和事故后果影响大小，从中提高风险管理的意识，提出本项目环境风险防范措施和应急预案，杜绝环境污染事故的发生。</w:t>
      </w:r>
    </w:p>
    <w:p>
      <w:pPr>
        <w:pStyle w:val="69"/>
        <w:rPr>
          <w:color w:val="auto"/>
          <w:u w:val="none"/>
        </w:rPr>
      </w:pPr>
      <w:r>
        <w:rPr>
          <w:color w:val="auto"/>
          <w:u w:val="none"/>
        </w:rPr>
        <w:t>4.4.1.</w:t>
      </w:r>
      <w:r>
        <w:rPr>
          <w:rFonts w:hint="eastAsia"/>
          <w:color w:val="auto"/>
          <w:u w:val="none"/>
          <w:lang w:val="en-US" w:eastAsia="zh-CN"/>
        </w:rPr>
        <w:t>2</w:t>
      </w:r>
      <w:r>
        <w:rPr>
          <w:rFonts w:hint="eastAsia"/>
          <w:color w:val="auto"/>
          <w:u w:val="none"/>
        </w:rPr>
        <w:t>环境风险评价等级</w:t>
      </w:r>
    </w:p>
    <w:p>
      <w:pPr>
        <w:widowControl w:val="0"/>
        <w:suppressAutoHyphens/>
        <w:topLinePunct/>
        <w:ind w:firstLine="480"/>
        <w:jc w:val="both"/>
        <w:rPr>
          <w:rFonts w:hint="eastAsia"/>
          <w:color w:val="auto"/>
          <w:u w:val="none"/>
        </w:rPr>
      </w:pPr>
      <w:r>
        <w:rPr>
          <w:color w:val="auto"/>
          <w:u w:val="none"/>
        </w:rPr>
        <w:t>根据《建设项目环境风险评价技术导则》（HJ/T169-</w:t>
      </w:r>
      <w:r>
        <w:rPr>
          <w:rFonts w:hint="eastAsia"/>
          <w:color w:val="auto"/>
          <w:u w:val="none"/>
        </w:rPr>
        <w:t>2018</w:t>
      </w:r>
      <w:r>
        <w:rPr>
          <w:color w:val="auto"/>
          <w:u w:val="none"/>
        </w:rPr>
        <w:t>）</w:t>
      </w:r>
      <w:r>
        <w:rPr>
          <w:rFonts w:hint="eastAsia"/>
          <w:color w:val="auto"/>
          <w:u w:val="none"/>
        </w:rPr>
        <w:t>，环境风险评价工作等级划分为一级、二级、三级。根据建设项目涉及的物质及工艺系统危险性和所在地的环境敏感性确定环境风险潜势，评价工作等级划分判定如下表所示。风险潜势为Ⅳ及以上，进行一级评价；风险潜势为Ⅲ，进行二级评价；风险潜势为Ⅱ，进行三级评价；风险潜势为Ⅰ，可开展简单分析。</w:t>
      </w:r>
    </w:p>
    <w:p>
      <w:pPr>
        <w:widowControl w:val="0"/>
        <w:wordWrap w:val="0"/>
        <w:ind w:firstLine="480"/>
        <w:rPr>
          <w:color w:val="000000"/>
        </w:rPr>
      </w:pPr>
      <w:r>
        <w:rPr>
          <w:rFonts w:hint="eastAsia"/>
          <w:color w:val="auto"/>
          <w:u w:val="none"/>
        </w:rPr>
        <w:t>本项目涉及的原辅材料主要为</w:t>
      </w:r>
      <w:r>
        <w:rPr>
          <w:rFonts w:hint="eastAsia"/>
          <w:color w:val="auto"/>
          <w:kern w:val="0"/>
          <w:szCs w:val="21"/>
          <w:u w:val="none"/>
          <w:lang w:val="en-US" w:eastAsia="zh-CN"/>
        </w:rPr>
        <w:t>PAC</w:t>
      </w:r>
      <w:r>
        <w:rPr>
          <w:rFonts w:hint="eastAsia"/>
          <w:color w:val="auto"/>
          <w:kern w:val="0"/>
          <w:szCs w:val="21"/>
          <w:u w:val="none"/>
        </w:rPr>
        <w:t>、PAM</w:t>
      </w:r>
      <w:r>
        <w:rPr>
          <w:rFonts w:hint="eastAsia"/>
          <w:color w:val="auto"/>
          <w:u w:val="none"/>
        </w:rPr>
        <w:t>，</w:t>
      </w:r>
      <w:r>
        <w:rPr>
          <w:color w:val="000000"/>
        </w:rPr>
        <w:t>根据《建设项目环境风险评价导则》（HJ 169-2018）附录B表B.1突发环境事件风险物质及临界量与《危险化学品重大危险源辨识》（GB18218-2018）附录A突发环境事件风险物质及临界量清单，详见下表所示。</w:t>
      </w:r>
    </w:p>
    <w:p>
      <w:pPr>
        <w:widowControl w:val="0"/>
        <w:autoSpaceDE w:val="0"/>
        <w:autoSpaceDN w:val="0"/>
        <w:spacing w:after="38" w:line="268" w:lineRule="exact"/>
        <w:ind w:left="2651" w:firstLine="0" w:firstLineChars="0"/>
        <w:rPr>
          <w:rFonts w:cs="宋体"/>
          <w:b/>
          <w:color w:val="000000"/>
          <w:kern w:val="0"/>
          <w:sz w:val="21"/>
          <w:szCs w:val="22"/>
          <w:u w:val="none"/>
          <w:lang w:val="zh-CN" w:bidi="zh-CN"/>
        </w:rPr>
      </w:pPr>
      <w:r>
        <w:rPr>
          <w:rFonts w:cs="宋体"/>
          <w:b/>
          <w:color w:val="000000"/>
          <w:kern w:val="0"/>
          <w:sz w:val="21"/>
          <w:szCs w:val="22"/>
          <w:u w:val="none"/>
          <w:lang w:val="zh-CN" w:bidi="zh-CN"/>
        </w:rPr>
        <w:t>表</w:t>
      </w:r>
      <w:r>
        <w:rPr>
          <w:rFonts w:eastAsia="等线" w:cs="宋体"/>
          <w:b/>
          <w:color w:val="000000"/>
          <w:kern w:val="0"/>
          <w:sz w:val="21"/>
          <w:szCs w:val="22"/>
          <w:u w:val="none"/>
          <w:lang w:val="zh-CN" w:bidi="zh-CN"/>
        </w:rPr>
        <w:t>4</w:t>
      </w:r>
      <w:r>
        <w:rPr>
          <w:rFonts w:eastAsia="Times New Roman" w:cs="宋体"/>
          <w:b/>
          <w:color w:val="000000"/>
          <w:kern w:val="0"/>
          <w:sz w:val="21"/>
          <w:szCs w:val="22"/>
          <w:u w:val="none"/>
          <w:lang w:val="zh-CN" w:bidi="zh-CN"/>
        </w:rPr>
        <w:t>.</w:t>
      </w:r>
      <w:r>
        <w:rPr>
          <w:rFonts w:hint="eastAsia" w:eastAsia="等线" w:cs="宋体"/>
          <w:b/>
          <w:color w:val="000000"/>
          <w:kern w:val="0"/>
          <w:sz w:val="21"/>
          <w:szCs w:val="22"/>
          <w:u w:val="none"/>
          <w:lang w:val="en-US" w:bidi="zh-CN"/>
        </w:rPr>
        <w:t>.4-1</w:t>
      </w:r>
      <w:r>
        <w:rPr>
          <w:rFonts w:eastAsia="等线" w:cs="宋体"/>
          <w:b/>
          <w:color w:val="000000"/>
          <w:kern w:val="0"/>
          <w:sz w:val="21"/>
          <w:szCs w:val="22"/>
          <w:u w:val="none"/>
          <w:lang w:val="zh-CN" w:bidi="zh-CN"/>
        </w:rPr>
        <w:t xml:space="preserve"> </w:t>
      </w:r>
      <w:r>
        <w:rPr>
          <w:rFonts w:cs="宋体"/>
          <w:b/>
          <w:color w:val="000000"/>
          <w:kern w:val="0"/>
          <w:sz w:val="21"/>
          <w:szCs w:val="22"/>
          <w:u w:val="none"/>
          <w:lang w:val="zh-CN" w:bidi="zh-CN"/>
        </w:rPr>
        <w:t>项目主要的危险物质名称及临界量</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3"/>
        <w:gridCol w:w="1534"/>
        <w:gridCol w:w="2033"/>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1" w:type="pct"/>
            <w:noWrap w:val="0"/>
            <w:vAlign w:val="center"/>
          </w:tcPr>
          <w:p>
            <w:pPr>
              <w:widowControl w:val="0"/>
              <w:tabs>
                <w:tab w:val="left" w:pos="2976"/>
                <w:tab w:val="left" w:pos="8820"/>
                <w:tab w:val="left" w:pos="9000"/>
              </w:tabs>
              <w:adjustRightInd w:val="0"/>
              <w:snapToGrid w:val="0"/>
              <w:spacing w:line="240" w:lineRule="auto"/>
              <w:ind w:firstLine="0" w:firstLineChars="0"/>
              <w:jc w:val="center"/>
              <w:outlineLvl w:val="4"/>
              <w:rPr>
                <w:b/>
                <w:bCs/>
                <w:color w:val="000000"/>
                <w:kern w:val="0"/>
                <w:sz w:val="21"/>
                <w:szCs w:val="20"/>
                <w:u w:val="none"/>
              </w:rPr>
            </w:pPr>
            <w:r>
              <w:rPr>
                <w:b/>
                <w:bCs/>
                <w:color w:val="000000"/>
                <w:kern w:val="0"/>
                <w:sz w:val="21"/>
                <w:szCs w:val="20"/>
                <w:u w:val="none"/>
              </w:rPr>
              <w:t>危险化学品名称和说明</w:t>
            </w:r>
          </w:p>
        </w:tc>
        <w:tc>
          <w:tcPr>
            <w:tcW w:w="900" w:type="pct"/>
            <w:noWrap w:val="0"/>
            <w:vAlign w:val="center"/>
          </w:tcPr>
          <w:p>
            <w:pPr>
              <w:widowControl w:val="0"/>
              <w:tabs>
                <w:tab w:val="left" w:pos="2976"/>
                <w:tab w:val="left" w:pos="8820"/>
                <w:tab w:val="left" w:pos="9000"/>
              </w:tabs>
              <w:adjustRightInd w:val="0"/>
              <w:snapToGrid w:val="0"/>
              <w:spacing w:line="240" w:lineRule="auto"/>
              <w:ind w:firstLine="0" w:firstLineChars="0"/>
              <w:jc w:val="center"/>
              <w:outlineLvl w:val="4"/>
              <w:rPr>
                <w:b/>
                <w:bCs/>
                <w:color w:val="000000"/>
                <w:kern w:val="0"/>
                <w:sz w:val="21"/>
                <w:szCs w:val="20"/>
                <w:u w:val="none"/>
              </w:rPr>
            </w:pPr>
            <w:r>
              <w:rPr>
                <w:b/>
                <w:bCs/>
                <w:color w:val="000000"/>
                <w:kern w:val="0"/>
                <w:sz w:val="21"/>
                <w:szCs w:val="20"/>
                <w:u w:val="none"/>
              </w:rPr>
              <w:t>临界量（T）</w:t>
            </w:r>
          </w:p>
        </w:tc>
        <w:tc>
          <w:tcPr>
            <w:tcW w:w="1193" w:type="pct"/>
            <w:noWrap w:val="0"/>
            <w:vAlign w:val="center"/>
          </w:tcPr>
          <w:p>
            <w:pPr>
              <w:widowControl w:val="0"/>
              <w:tabs>
                <w:tab w:val="left" w:pos="2976"/>
                <w:tab w:val="left" w:pos="8820"/>
                <w:tab w:val="left" w:pos="9000"/>
              </w:tabs>
              <w:adjustRightInd w:val="0"/>
              <w:snapToGrid w:val="0"/>
              <w:spacing w:line="240" w:lineRule="auto"/>
              <w:ind w:firstLine="0" w:firstLineChars="0"/>
              <w:jc w:val="center"/>
              <w:outlineLvl w:val="4"/>
              <w:rPr>
                <w:b/>
                <w:bCs/>
                <w:color w:val="000000"/>
                <w:kern w:val="0"/>
                <w:sz w:val="21"/>
                <w:szCs w:val="20"/>
                <w:u w:val="none"/>
              </w:rPr>
            </w:pPr>
            <w:r>
              <w:rPr>
                <w:b/>
                <w:bCs/>
                <w:color w:val="000000"/>
                <w:kern w:val="0"/>
                <w:sz w:val="21"/>
                <w:szCs w:val="20"/>
                <w:u w:val="none"/>
              </w:rPr>
              <w:t>最大储存量（T）</w:t>
            </w:r>
          </w:p>
        </w:tc>
        <w:tc>
          <w:tcPr>
            <w:tcW w:w="746" w:type="pct"/>
            <w:noWrap w:val="0"/>
            <w:vAlign w:val="center"/>
          </w:tcPr>
          <w:p>
            <w:pPr>
              <w:widowControl w:val="0"/>
              <w:tabs>
                <w:tab w:val="left" w:pos="2976"/>
                <w:tab w:val="left" w:pos="8820"/>
                <w:tab w:val="left" w:pos="9000"/>
              </w:tabs>
              <w:adjustRightInd w:val="0"/>
              <w:snapToGrid w:val="0"/>
              <w:spacing w:line="240" w:lineRule="auto"/>
              <w:ind w:firstLine="0" w:firstLineChars="0"/>
              <w:jc w:val="center"/>
              <w:outlineLvl w:val="4"/>
              <w:rPr>
                <w:b/>
                <w:bCs/>
                <w:color w:val="000000"/>
                <w:kern w:val="0"/>
                <w:sz w:val="21"/>
                <w:szCs w:val="20"/>
                <w:u w:val="none"/>
              </w:rPr>
            </w:pPr>
            <w:r>
              <w:rPr>
                <w:rFonts w:hint="eastAsia"/>
                <w:b/>
                <w:bCs/>
                <w:color w:val="000000"/>
                <w:kern w:val="0"/>
                <w:sz w:val="21"/>
                <w:szCs w:val="20"/>
                <w:u w:val="none"/>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1" w:type="pct"/>
            <w:noWrap w:val="0"/>
            <w:vAlign w:val="center"/>
          </w:tcPr>
          <w:p>
            <w:pPr>
              <w:pStyle w:val="97"/>
              <w:rPr>
                <w:rFonts w:hint="default" w:eastAsia="宋体"/>
                <w:u w:val="none"/>
                <w:lang w:val="en-US" w:eastAsia="zh-CN"/>
              </w:rPr>
            </w:pPr>
            <w:bookmarkStart w:id="290" w:name="OLE_LINK136" w:colFirst="1" w:colLast="66"/>
            <w:bookmarkStart w:id="291" w:name="OLE_LINK135" w:colFirst="1" w:colLast="66"/>
            <w:bookmarkStart w:id="292" w:name="_Hlk102039755"/>
            <w:r>
              <w:rPr>
                <w:rFonts w:hint="eastAsia"/>
                <w:u w:val="none"/>
                <w:lang w:val="en-US" w:eastAsia="zh-CN"/>
              </w:rPr>
              <w:t>氯化铝（PAC）</w:t>
            </w:r>
          </w:p>
        </w:tc>
        <w:tc>
          <w:tcPr>
            <w:tcW w:w="900" w:type="pct"/>
            <w:noWrap w:val="0"/>
            <w:vAlign w:val="center"/>
          </w:tcPr>
          <w:p>
            <w:pPr>
              <w:pStyle w:val="97"/>
              <w:rPr>
                <w:rFonts w:hint="eastAsia"/>
                <w:u w:val="none"/>
              </w:rPr>
            </w:pPr>
            <w:bookmarkStart w:id="293" w:name="OLE_LINK133"/>
            <w:bookmarkStart w:id="294" w:name="OLE_LINK134"/>
            <w:r>
              <w:rPr>
                <w:rFonts w:hint="eastAsia"/>
                <w:u w:val="none"/>
              </w:rPr>
              <w:t>5</w:t>
            </w:r>
            <w:bookmarkEnd w:id="293"/>
            <w:bookmarkEnd w:id="294"/>
          </w:p>
        </w:tc>
        <w:tc>
          <w:tcPr>
            <w:tcW w:w="1193" w:type="pct"/>
            <w:noWrap w:val="0"/>
            <w:vAlign w:val="center"/>
          </w:tcPr>
          <w:p>
            <w:pPr>
              <w:pStyle w:val="97"/>
              <w:rPr>
                <w:rFonts w:hint="default" w:eastAsia="宋体"/>
                <w:u w:val="none"/>
                <w:lang w:val="en-US" w:eastAsia="zh-CN"/>
              </w:rPr>
            </w:pPr>
            <w:r>
              <w:rPr>
                <w:rFonts w:hint="eastAsia"/>
                <w:u w:val="none"/>
                <w:lang w:val="en-US" w:eastAsia="zh-CN"/>
              </w:rPr>
              <w:t>0.02</w:t>
            </w:r>
          </w:p>
        </w:tc>
        <w:tc>
          <w:tcPr>
            <w:tcW w:w="746" w:type="pct"/>
            <w:noWrap w:val="0"/>
            <w:vAlign w:val="center"/>
          </w:tcPr>
          <w:p>
            <w:pPr>
              <w:pStyle w:val="97"/>
              <w:rPr>
                <w:rFonts w:hint="default" w:eastAsia="宋体"/>
                <w:u w:val="none"/>
                <w:lang w:val="en-US" w:eastAsia="zh-CN"/>
              </w:rPr>
            </w:pPr>
            <w:r>
              <w:rPr>
                <w:rFonts w:hint="eastAsia"/>
                <w:u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1" w:type="pct"/>
            <w:noWrap w:val="0"/>
            <w:vAlign w:val="center"/>
          </w:tcPr>
          <w:p>
            <w:pPr>
              <w:spacing w:line="240" w:lineRule="auto"/>
              <w:ind w:firstLine="0" w:firstLineChars="0"/>
              <w:jc w:val="center"/>
              <w:rPr>
                <w:rFonts w:hint="eastAsia" w:eastAsia="宋体"/>
                <w:sz w:val="21"/>
                <w:szCs w:val="21"/>
                <w:u w:val="none"/>
                <w:lang w:eastAsia="zh-CN"/>
              </w:rPr>
            </w:pPr>
            <w:r>
              <w:rPr>
                <w:rFonts w:hint="eastAsia"/>
                <w:sz w:val="21"/>
                <w:szCs w:val="21"/>
                <w:u w:val="none"/>
                <w:lang w:eastAsia="zh-CN"/>
              </w:rPr>
              <w:t>丙烯酰胺（</w:t>
            </w:r>
            <w:r>
              <w:rPr>
                <w:rFonts w:hint="eastAsia"/>
                <w:sz w:val="21"/>
                <w:szCs w:val="21"/>
                <w:u w:val="none"/>
                <w:lang w:val="en-US" w:eastAsia="zh-CN"/>
              </w:rPr>
              <w:t>PAM</w:t>
            </w:r>
            <w:r>
              <w:rPr>
                <w:rFonts w:hint="eastAsia"/>
                <w:sz w:val="21"/>
                <w:szCs w:val="21"/>
                <w:u w:val="none"/>
                <w:lang w:eastAsia="zh-CN"/>
              </w:rPr>
              <w:t>）</w:t>
            </w:r>
          </w:p>
        </w:tc>
        <w:tc>
          <w:tcPr>
            <w:tcW w:w="900" w:type="pct"/>
            <w:noWrap w:val="0"/>
            <w:vAlign w:val="center"/>
          </w:tcPr>
          <w:p>
            <w:pPr>
              <w:widowControl w:val="0"/>
              <w:tabs>
                <w:tab w:val="left" w:pos="2976"/>
                <w:tab w:val="left" w:pos="8820"/>
                <w:tab w:val="left" w:pos="9000"/>
              </w:tabs>
              <w:adjustRightInd w:val="0"/>
              <w:snapToGrid w:val="0"/>
              <w:spacing w:line="240" w:lineRule="auto"/>
              <w:ind w:firstLine="0" w:firstLineChars="0"/>
              <w:jc w:val="center"/>
              <w:outlineLvl w:val="4"/>
              <w:rPr>
                <w:color w:val="000000"/>
                <w:kern w:val="0"/>
                <w:sz w:val="21"/>
                <w:szCs w:val="20"/>
                <w:u w:val="none"/>
              </w:rPr>
            </w:pPr>
            <w:r>
              <w:rPr>
                <w:rFonts w:hint="eastAsia"/>
                <w:color w:val="000000"/>
                <w:kern w:val="0"/>
                <w:sz w:val="21"/>
                <w:szCs w:val="20"/>
                <w:u w:val="none"/>
              </w:rPr>
              <w:t>5</w:t>
            </w:r>
          </w:p>
        </w:tc>
        <w:tc>
          <w:tcPr>
            <w:tcW w:w="1193" w:type="pct"/>
            <w:noWrap w:val="0"/>
            <w:vAlign w:val="center"/>
          </w:tcPr>
          <w:p>
            <w:pPr>
              <w:pStyle w:val="97"/>
              <w:rPr>
                <w:rFonts w:hint="default" w:eastAsia="宋体"/>
                <w:u w:val="none"/>
                <w:lang w:val="en-US" w:eastAsia="zh-CN"/>
              </w:rPr>
            </w:pPr>
            <w:r>
              <w:rPr>
                <w:rFonts w:hint="eastAsia"/>
                <w:u w:val="none"/>
                <w:lang w:val="en-US" w:eastAsia="zh-CN"/>
              </w:rPr>
              <w:t>0.02</w:t>
            </w:r>
          </w:p>
        </w:tc>
        <w:tc>
          <w:tcPr>
            <w:tcW w:w="746" w:type="pct"/>
            <w:noWrap w:val="0"/>
            <w:vAlign w:val="center"/>
          </w:tcPr>
          <w:p>
            <w:pPr>
              <w:pStyle w:val="97"/>
              <w:rPr>
                <w:rFonts w:hint="default" w:eastAsia="宋体"/>
                <w:u w:val="none"/>
                <w:lang w:val="en-US" w:eastAsia="zh-CN"/>
              </w:rPr>
            </w:pPr>
            <w:r>
              <w:rPr>
                <w:rFonts w:hint="eastAsia"/>
                <w:u w:val="none"/>
                <w:lang w:val="en-US" w:eastAsia="zh-CN"/>
              </w:rPr>
              <w:t>0.01</w:t>
            </w:r>
          </w:p>
        </w:tc>
      </w:tr>
      <w:bookmarkEnd w:id="290"/>
      <w:bookmarkEnd w:id="291"/>
      <w:bookmarkEnd w:id="29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4" w:type="pct"/>
            <w:gridSpan w:val="3"/>
            <w:noWrap w:val="0"/>
            <w:vAlign w:val="center"/>
          </w:tcPr>
          <w:p>
            <w:pPr>
              <w:widowControl w:val="0"/>
              <w:tabs>
                <w:tab w:val="left" w:pos="2976"/>
                <w:tab w:val="left" w:pos="8820"/>
                <w:tab w:val="left" w:pos="9000"/>
              </w:tabs>
              <w:adjustRightInd w:val="0"/>
              <w:snapToGrid w:val="0"/>
              <w:spacing w:line="240" w:lineRule="auto"/>
              <w:ind w:firstLine="0" w:firstLineChars="0"/>
              <w:jc w:val="center"/>
              <w:outlineLvl w:val="4"/>
              <w:rPr>
                <w:color w:val="000000"/>
                <w:kern w:val="0"/>
                <w:sz w:val="21"/>
                <w:szCs w:val="20"/>
                <w:u w:val="none"/>
              </w:rPr>
            </w:pPr>
            <w:r>
              <w:rPr>
                <w:rFonts w:hint="eastAsia"/>
                <w:sz w:val="21"/>
                <w:szCs w:val="21"/>
                <w:u w:val="none"/>
              </w:rPr>
              <w:t>合计</w:t>
            </w:r>
          </w:p>
        </w:tc>
        <w:tc>
          <w:tcPr>
            <w:tcW w:w="746" w:type="pct"/>
            <w:noWrap w:val="0"/>
            <w:vAlign w:val="center"/>
          </w:tcPr>
          <w:p>
            <w:pPr>
              <w:widowControl w:val="0"/>
              <w:tabs>
                <w:tab w:val="left" w:pos="2976"/>
                <w:tab w:val="left" w:pos="8820"/>
                <w:tab w:val="left" w:pos="9000"/>
              </w:tabs>
              <w:adjustRightInd w:val="0"/>
              <w:snapToGrid w:val="0"/>
              <w:spacing w:line="240" w:lineRule="auto"/>
              <w:ind w:firstLine="0" w:firstLineChars="0"/>
              <w:jc w:val="center"/>
              <w:outlineLvl w:val="4"/>
              <w:rPr>
                <w:rFonts w:hint="default" w:eastAsia="宋体"/>
                <w:color w:val="000000"/>
                <w:kern w:val="0"/>
                <w:sz w:val="21"/>
                <w:szCs w:val="20"/>
                <w:u w:val="none"/>
                <w:lang w:val="en-US" w:eastAsia="zh-CN"/>
              </w:rPr>
            </w:pPr>
            <w:r>
              <w:rPr>
                <w:rFonts w:hint="eastAsia"/>
                <w:color w:val="000000"/>
                <w:kern w:val="0"/>
                <w:sz w:val="21"/>
                <w:szCs w:val="20"/>
                <w:u w:val="none"/>
                <w:lang w:val="en-US" w:eastAsia="zh-CN"/>
              </w:rPr>
              <w:t>0.02</w:t>
            </w:r>
          </w:p>
        </w:tc>
      </w:tr>
    </w:tbl>
    <w:p>
      <w:pPr>
        <w:ind w:firstLine="480"/>
        <w:rPr>
          <w:color w:val="000000"/>
          <w:u w:val="none"/>
          <w:lang w:val="zh-CN" w:bidi="zh-CN"/>
        </w:rPr>
      </w:pPr>
      <w:r>
        <w:rPr>
          <w:rFonts w:hint="eastAsia"/>
          <w:color w:val="000000"/>
          <w:u w:val="none"/>
          <w:lang w:val="zh-CN" w:bidi="zh-CN"/>
        </w:rPr>
        <w:t>项目</w:t>
      </w:r>
      <w:r>
        <w:rPr>
          <w:rFonts w:eastAsia="Times New Roman"/>
          <w:color w:val="000000"/>
          <w:u w:val="none"/>
          <w:lang w:val="zh-CN" w:bidi="zh-CN"/>
        </w:rPr>
        <w:t>Q</w:t>
      </w:r>
      <w:r>
        <w:rPr>
          <w:color w:val="000000"/>
          <w:u w:val="none"/>
          <w:lang w:val="zh-CN" w:bidi="zh-CN"/>
        </w:rPr>
        <w:t>＜</w:t>
      </w:r>
      <w:r>
        <w:rPr>
          <w:rFonts w:eastAsia="Times New Roman"/>
          <w:color w:val="000000"/>
          <w:u w:val="none"/>
          <w:lang w:val="zh-CN" w:bidi="zh-CN"/>
        </w:rPr>
        <w:t>1</w:t>
      </w:r>
      <w:r>
        <w:rPr>
          <w:color w:val="000000"/>
          <w:u w:val="none"/>
          <w:lang w:val="zh-CN" w:bidi="zh-CN"/>
        </w:rPr>
        <w:t>，因此该项目环境风险潜势为</w:t>
      </w:r>
      <w:r>
        <w:rPr>
          <w:rFonts w:hint="eastAsia" w:cs="宋体"/>
          <w:color w:val="000000"/>
          <w:u w:val="none"/>
          <w:lang w:val="zh-CN" w:bidi="zh-CN"/>
        </w:rPr>
        <w:t>Ⅰ</w:t>
      </w:r>
      <w:r>
        <w:rPr>
          <w:color w:val="000000"/>
          <w:u w:val="none"/>
          <w:lang w:val="zh-CN" w:bidi="zh-CN"/>
        </w:rPr>
        <w:t>。根据建设项目涉及的物质及工艺系统危险性和所在地的环境敏感性确定环境风险潜势，按照如下表确定评价工作等级。本项目需进行简单分析，简单分析只需在描述危险物质、环境影响途经、环境危害后果、风险防范措施等方面给出定性的说明。</w:t>
      </w:r>
    </w:p>
    <w:p>
      <w:pPr>
        <w:pStyle w:val="103"/>
        <w:rPr>
          <w:color w:val="000000"/>
          <w:u w:val="none"/>
        </w:rPr>
      </w:pPr>
      <w:r>
        <w:rPr>
          <w:rFonts w:hint="eastAsia"/>
          <w:color w:val="000000"/>
          <w:u w:val="none"/>
        </w:rPr>
        <w:t>表</w:t>
      </w:r>
      <w:r>
        <w:rPr>
          <w:rFonts w:hint="eastAsia"/>
          <w:color w:val="000000"/>
          <w:u w:val="none"/>
          <w:lang w:val="en-US" w:eastAsia="zh-CN"/>
        </w:rPr>
        <w:t>.4.4-2</w:t>
      </w:r>
      <w:r>
        <w:rPr>
          <w:color w:val="000000"/>
          <w:u w:val="none"/>
        </w:rPr>
        <w:t xml:space="preserve"> </w:t>
      </w:r>
      <w:r>
        <w:rPr>
          <w:rFonts w:hint="eastAsia"/>
          <w:color w:val="000000"/>
          <w:u w:val="none"/>
        </w:rPr>
        <w:t xml:space="preserve"> 评价工作等级划分</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381"/>
        <w:gridCol w:w="1560"/>
        <w:gridCol w:w="2173"/>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000" w:type="pct"/>
            <w:noWrap w:val="0"/>
            <w:vAlign w:val="center"/>
          </w:tcPr>
          <w:p>
            <w:pPr>
              <w:widowControl w:val="0"/>
              <w:spacing w:line="240" w:lineRule="auto"/>
              <w:ind w:firstLine="0" w:firstLineChars="0"/>
              <w:jc w:val="center"/>
              <w:rPr>
                <w:rFonts w:hint="eastAsia"/>
                <w:color w:val="000000"/>
                <w:sz w:val="21"/>
                <w:szCs w:val="21"/>
                <w:u w:val="none"/>
              </w:rPr>
            </w:pPr>
            <w:r>
              <w:rPr>
                <w:rFonts w:hint="eastAsia"/>
                <w:color w:val="000000"/>
                <w:sz w:val="21"/>
                <w:szCs w:val="21"/>
                <w:u w:val="none"/>
              </w:rPr>
              <w:t>环境风险潜势</w:t>
            </w:r>
          </w:p>
        </w:tc>
        <w:tc>
          <w:tcPr>
            <w:tcW w:w="810" w:type="pct"/>
            <w:noWrap w:val="0"/>
            <w:vAlign w:val="top"/>
          </w:tcPr>
          <w:p>
            <w:pPr>
              <w:widowControl w:val="0"/>
              <w:spacing w:line="240" w:lineRule="auto"/>
              <w:ind w:firstLine="0" w:firstLineChars="0"/>
              <w:jc w:val="center"/>
              <w:rPr>
                <w:b/>
                <w:color w:val="000000"/>
                <w:sz w:val="21"/>
                <w:szCs w:val="21"/>
                <w:u w:val="none"/>
              </w:rPr>
            </w:pPr>
            <w:r>
              <w:rPr>
                <w:rFonts w:hint="eastAsia"/>
                <w:b/>
                <w:color w:val="000000"/>
                <w:sz w:val="21"/>
                <w:szCs w:val="21"/>
                <w:u w:val="none"/>
              </w:rPr>
              <w:t>Ⅳ、Ⅳ+</w:t>
            </w:r>
            <w:r>
              <w:rPr>
                <w:b/>
                <w:color w:val="000000"/>
                <w:sz w:val="21"/>
                <w:szCs w:val="21"/>
                <w:u w:val="none"/>
              </w:rPr>
              <w:t xml:space="preserve"> </w:t>
            </w:r>
          </w:p>
        </w:tc>
        <w:tc>
          <w:tcPr>
            <w:tcW w:w="915" w:type="pct"/>
            <w:noWrap w:val="0"/>
            <w:vAlign w:val="top"/>
          </w:tcPr>
          <w:p>
            <w:pPr>
              <w:widowControl w:val="0"/>
              <w:spacing w:line="240" w:lineRule="auto"/>
              <w:ind w:firstLine="0" w:firstLineChars="0"/>
              <w:jc w:val="center"/>
              <w:rPr>
                <w:b/>
                <w:color w:val="000000"/>
                <w:sz w:val="21"/>
                <w:szCs w:val="21"/>
                <w:u w:val="none"/>
              </w:rPr>
            </w:pPr>
            <w:r>
              <w:rPr>
                <w:b/>
                <w:color w:val="000000"/>
                <w:sz w:val="21"/>
                <w:szCs w:val="21"/>
                <w:u w:val="none"/>
              </w:rPr>
              <w:t xml:space="preserve"> </w:t>
            </w:r>
            <w:r>
              <w:rPr>
                <w:rFonts w:hint="eastAsia"/>
                <w:b/>
                <w:color w:val="000000"/>
                <w:sz w:val="21"/>
                <w:szCs w:val="21"/>
                <w:u w:val="none"/>
              </w:rPr>
              <w:t>Ⅲ</w:t>
            </w:r>
          </w:p>
        </w:tc>
        <w:tc>
          <w:tcPr>
            <w:tcW w:w="1275" w:type="pct"/>
            <w:noWrap w:val="0"/>
            <w:vAlign w:val="center"/>
          </w:tcPr>
          <w:p>
            <w:pPr>
              <w:widowControl w:val="0"/>
              <w:spacing w:line="240" w:lineRule="auto"/>
              <w:ind w:firstLine="0" w:firstLineChars="0"/>
              <w:jc w:val="center"/>
              <w:rPr>
                <w:b/>
                <w:color w:val="000000"/>
                <w:sz w:val="21"/>
                <w:szCs w:val="21"/>
                <w:u w:val="none"/>
              </w:rPr>
            </w:pPr>
            <w:r>
              <w:rPr>
                <w:rFonts w:hint="eastAsia"/>
                <w:b/>
                <w:color w:val="000000"/>
                <w:sz w:val="21"/>
                <w:szCs w:val="21"/>
                <w:u w:val="none"/>
              </w:rPr>
              <w:t>Ⅱ</w:t>
            </w:r>
          </w:p>
        </w:tc>
        <w:tc>
          <w:tcPr>
            <w:tcW w:w="1000" w:type="pct"/>
            <w:noWrap w:val="0"/>
            <w:vAlign w:val="center"/>
          </w:tcPr>
          <w:p>
            <w:pPr>
              <w:widowControl w:val="0"/>
              <w:spacing w:line="240" w:lineRule="auto"/>
              <w:ind w:firstLine="0" w:firstLineChars="0"/>
              <w:jc w:val="center"/>
              <w:rPr>
                <w:b/>
                <w:color w:val="000000"/>
                <w:sz w:val="21"/>
                <w:szCs w:val="21"/>
                <w:u w:val="none"/>
              </w:rPr>
            </w:pPr>
            <w:r>
              <w:rPr>
                <w:rFonts w:hint="eastAsia"/>
                <w:b/>
                <w:color w:val="000000"/>
                <w:sz w:val="21"/>
                <w:szCs w:val="21"/>
                <w:u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000" w:type="pct"/>
            <w:noWrap w:val="0"/>
            <w:vAlign w:val="center"/>
          </w:tcPr>
          <w:p>
            <w:pPr>
              <w:widowControl w:val="0"/>
              <w:spacing w:line="240" w:lineRule="auto"/>
              <w:ind w:firstLine="0" w:firstLineChars="0"/>
              <w:jc w:val="center"/>
              <w:rPr>
                <w:color w:val="000000"/>
                <w:sz w:val="21"/>
                <w:szCs w:val="21"/>
                <w:u w:val="none"/>
              </w:rPr>
            </w:pPr>
            <w:r>
              <w:rPr>
                <w:rFonts w:hint="eastAsia"/>
                <w:color w:val="000000"/>
                <w:sz w:val="21"/>
                <w:szCs w:val="21"/>
                <w:u w:val="none"/>
              </w:rPr>
              <w:t>评价工作等级</w:t>
            </w:r>
          </w:p>
        </w:tc>
        <w:tc>
          <w:tcPr>
            <w:tcW w:w="810" w:type="pct"/>
            <w:noWrap w:val="0"/>
            <w:vAlign w:val="top"/>
          </w:tcPr>
          <w:p>
            <w:pPr>
              <w:widowControl w:val="0"/>
              <w:spacing w:line="240" w:lineRule="auto"/>
              <w:ind w:firstLine="0" w:firstLineChars="0"/>
              <w:jc w:val="center"/>
              <w:rPr>
                <w:b/>
                <w:color w:val="000000"/>
                <w:sz w:val="21"/>
                <w:szCs w:val="21"/>
                <w:u w:val="none"/>
              </w:rPr>
            </w:pPr>
            <w:r>
              <w:rPr>
                <w:rFonts w:hint="eastAsia"/>
                <w:b/>
                <w:color w:val="000000"/>
                <w:sz w:val="21"/>
                <w:szCs w:val="21"/>
                <w:u w:val="none"/>
              </w:rPr>
              <w:t>一</w:t>
            </w:r>
            <w:r>
              <w:rPr>
                <w:b/>
                <w:color w:val="000000"/>
                <w:sz w:val="21"/>
                <w:szCs w:val="21"/>
                <w:u w:val="none"/>
              </w:rPr>
              <w:t xml:space="preserve"> </w:t>
            </w:r>
          </w:p>
        </w:tc>
        <w:tc>
          <w:tcPr>
            <w:tcW w:w="915" w:type="pct"/>
            <w:noWrap w:val="0"/>
            <w:vAlign w:val="top"/>
          </w:tcPr>
          <w:p>
            <w:pPr>
              <w:widowControl w:val="0"/>
              <w:spacing w:line="240" w:lineRule="auto"/>
              <w:ind w:firstLine="0" w:firstLineChars="0"/>
              <w:jc w:val="center"/>
              <w:rPr>
                <w:b/>
                <w:color w:val="000000"/>
                <w:sz w:val="21"/>
                <w:szCs w:val="21"/>
                <w:u w:val="none"/>
              </w:rPr>
            </w:pPr>
            <w:r>
              <w:rPr>
                <w:rFonts w:hint="eastAsia"/>
                <w:b/>
                <w:color w:val="000000"/>
                <w:sz w:val="21"/>
                <w:szCs w:val="21"/>
                <w:u w:val="none"/>
              </w:rPr>
              <w:t>二</w:t>
            </w:r>
            <w:r>
              <w:rPr>
                <w:b/>
                <w:color w:val="000000"/>
                <w:sz w:val="21"/>
                <w:szCs w:val="21"/>
                <w:u w:val="none"/>
              </w:rPr>
              <w:t xml:space="preserve"> </w:t>
            </w:r>
          </w:p>
        </w:tc>
        <w:tc>
          <w:tcPr>
            <w:tcW w:w="1275" w:type="pct"/>
            <w:noWrap w:val="0"/>
            <w:vAlign w:val="center"/>
          </w:tcPr>
          <w:p>
            <w:pPr>
              <w:widowControl w:val="0"/>
              <w:spacing w:line="240" w:lineRule="auto"/>
              <w:ind w:firstLine="0" w:firstLineChars="0"/>
              <w:jc w:val="center"/>
              <w:rPr>
                <w:b/>
                <w:color w:val="000000"/>
                <w:sz w:val="21"/>
                <w:szCs w:val="21"/>
                <w:u w:val="none"/>
              </w:rPr>
            </w:pPr>
            <w:r>
              <w:rPr>
                <w:rFonts w:hint="eastAsia"/>
                <w:b/>
                <w:color w:val="000000"/>
                <w:sz w:val="21"/>
                <w:szCs w:val="21"/>
                <w:u w:val="none"/>
              </w:rPr>
              <w:t>三</w:t>
            </w:r>
          </w:p>
        </w:tc>
        <w:tc>
          <w:tcPr>
            <w:tcW w:w="1000" w:type="pct"/>
            <w:noWrap w:val="0"/>
            <w:vAlign w:val="center"/>
          </w:tcPr>
          <w:p>
            <w:pPr>
              <w:widowControl w:val="0"/>
              <w:spacing w:line="240" w:lineRule="auto"/>
              <w:ind w:firstLine="0" w:firstLineChars="0"/>
              <w:jc w:val="center"/>
              <w:rPr>
                <w:b/>
                <w:color w:val="000000"/>
                <w:sz w:val="21"/>
                <w:szCs w:val="21"/>
                <w:u w:val="none"/>
              </w:rPr>
            </w:pPr>
            <w:r>
              <w:rPr>
                <w:rFonts w:hint="eastAsia"/>
                <w:b/>
                <w:color w:val="000000"/>
                <w:sz w:val="21"/>
                <w:szCs w:val="21"/>
                <w:u w:val="none"/>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noWrap w:val="0"/>
            <w:vAlign w:val="top"/>
          </w:tcPr>
          <w:p>
            <w:pPr>
              <w:widowControl w:val="0"/>
              <w:spacing w:line="240" w:lineRule="auto"/>
              <w:ind w:firstLine="0" w:firstLineChars="0"/>
              <w:jc w:val="center"/>
              <w:rPr>
                <w:rFonts w:hint="eastAsia"/>
                <w:color w:val="000000"/>
                <w:sz w:val="21"/>
                <w:szCs w:val="21"/>
                <w:u w:val="none"/>
              </w:rPr>
            </w:pPr>
            <w:r>
              <w:rPr>
                <w:rFonts w:hint="eastAsia"/>
                <w:color w:val="000000"/>
                <w:sz w:val="21"/>
                <w:szCs w:val="21"/>
                <w:u w:val="none"/>
                <w:vertAlign w:val="superscript"/>
              </w:rPr>
              <w:t>a</w:t>
            </w:r>
            <w:r>
              <w:rPr>
                <w:color w:val="000000"/>
                <w:sz w:val="21"/>
                <w:szCs w:val="21"/>
                <w:u w:val="none"/>
                <w:vertAlign w:val="superscript"/>
              </w:rPr>
              <w:t xml:space="preserve">  </w:t>
            </w:r>
            <w:r>
              <w:rPr>
                <w:rFonts w:hint="eastAsia"/>
                <w:color w:val="000000"/>
                <w:sz w:val="21"/>
                <w:szCs w:val="21"/>
                <w:u w:val="none"/>
              </w:rPr>
              <w:t>是相对于详细评价工作内容而言，在描述危险物质、环境影响途径、环境危害后果、风险防范措施等方面给出定性的说明。见附录A。</w:t>
            </w:r>
          </w:p>
        </w:tc>
      </w:tr>
    </w:tbl>
    <w:p>
      <w:pPr>
        <w:pStyle w:val="6"/>
        <w:bidi w:val="0"/>
      </w:pPr>
      <w:r>
        <w:rPr>
          <w:rFonts w:hint="eastAsia"/>
        </w:rPr>
        <w:t>4.4</w:t>
      </w:r>
      <w:r>
        <w:t>.2</w:t>
      </w:r>
      <w:r>
        <w:rPr>
          <w:rFonts w:hint="eastAsia"/>
        </w:rPr>
        <w:t>环境敏感目标概况</w:t>
      </w:r>
    </w:p>
    <w:p>
      <w:pPr>
        <w:widowControl w:val="0"/>
        <w:suppressAutoHyphens/>
        <w:topLinePunct/>
        <w:ind w:firstLine="480"/>
        <w:jc w:val="both"/>
        <w:rPr>
          <w:color w:val="auto"/>
          <w:u w:val="none"/>
        </w:rPr>
      </w:pPr>
      <w:r>
        <w:rPr>
          <w:rFonts w:hint="eastAsia"/>
          <w:color w:val="auto"/>
          <w:u w:val="none"/>
        </w:rPr>
        <w:t>根据对项目可能产生的环境风险影响分析，可能发生风险的是污水管网破裂、污水处理系统故障等造成的环境污染问题。本项目评价范围取距</w:t>
      </w:r>
      <w:r>
        <w:rPr>
          <w:rFonts w:hint="eastAsia"/>
          <w:color w:val="auto"/>
          <w:szCs w:val="21"/>
          <w:u w:val="none"/>
        </w:rPr>
        <w:t>项目</w:t>
      </w:r>
      <w:r>
        <w:rPr>
          <w:rFonts w:hint="eastAsia"/>
          <w:color w:val="auto"/>
          <w:u w:val="none"/>
        </w:rPr>
        <w:t>边界</w:t>
      </w:r>
      <w:r>
        <w:rPr>
          <w:color w:val="auto"/>
          <w:u w:val="none"/>
        </w:rPr>
        <w:t>2.5km</w:t>
      </w:r>
      <w:r>
        <w:rPr>
          <w:rFonts w:hint="eastAsia"/>
          <w:color w:val="auto"/>
          <w:u w:val="none"/>
        </w:rPr>
        <w:t>区域范围内的居民点作为项目营运期环境风险影响的保护目标</w:t>
      </w:r>
      <w:r>
        <w:rPr>
          <w:rFonts w:hint="eastAsia"/>
          <w:color w:val="auto"/>
          <w:szCs w:val="21"/>
          <w:u w:val="none"/>
        </w:rPr>
        <w:t>范围。风险保护目标见下表表4.4-</w:t>
      </w:r>
      <w:r>
        <w:rPr>
          <w:rFonts w:hint="eastAsia"/>
          <w:color w:val="auto"/>
          <w:szCs w:val="21"/>
          <w:u w:val="none"/>
          <w:lang w:val="en-US" w:eastAsia="zh-CN"/>
        </w:rPr>
        <w:t>3</w:t>
      </w:r>
      <w:r>
        <w:rPr>
          <w:rFonts w:hint="eastAsia"/>
          <w:color w:val="auto"/>
          <w:szCs w:val="21"/>
          <w:u w:val="none"/>
        </w:rPr>
        <w:t>、4.4</w:t>
      </w:r>
      <w:r>
        <w:rPr>
          <w:color w:val="auto"/>
          <w:szCs w:val="21"/>
          <w:u w:val="none"/>
        </w:rPr>
        <w:t>-</w:t>
      </w:r>
      <w:r>
        <w:rPr>
          <w:rFonts w:hint="eastAsia"/>
          <w:color w:val="auto"/>
          <w:szCs w:val="21"/>
          <w:u w:val="none"/>
          <w:lang w:val="en-US" w:eastAsia="zh-CN"/>
        </w:rPr>
        <w:t>4</w:t>
      </w:r>
      <w:r>
        <w:rPr>
          <w:rFonts w:hint="eastAsia"/>
          <w:color w:val="auto"/>
          <w:szCs w:val="21"/>
          <w:u w:val="none"/>
        </w:rPr>
        <w:t>。</w:t>
      </w:r>
    </w:p>
    <w:p>
      <w:pPr>
        <w:pStyle w:val="103"/>
        <w:rPr>
          <w:color w:val="auto"/>
          <w:u w:val="none"/>
        </w:rPr>
      </w:pPr>
      <w:r>
        <w:rPr>
          <w:rFonts w:hint="eastAsia"/>
          <w:color w:val="auto"/>
          <w:u w:val="none"/>
        </w:rPr>
        <w:t>表4.4</w:t>
      </w:r>
      <w:r>
        <w:rPr>
          <w:color w:val="auto"/>
          <w:u w:val="none"/>
        </w:rPr>
        <w:t>-</w:t>
      </w:r>
      <w:r>
        <w:rPr>
          <w:rFonts w:hint="eastAsia"/>
          <w:color w:val="auto"/>
          <w:u w:val="none"/>
          <w:lang w:val="en-US" w:eastAsia="zh-CN"/>
        </w:rPr>
        <w:t>3</w:t>
      </w:r>
      <w:r>
        <w:rPr>
          <w:rFonts w:hint="eastAsia"/>
          <w:color w:val="auto"/>
          <w:u w:val="none"/>
        </w:rPr>
        <w:t>污水处理厂风险保护目标</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1098"/>
        <w:gridCol w:w="1468"/>
        <w:gridCol w:w="1243"/>
        <w:gridCol w:w="1050"/>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58"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环境保护对象名称</w:t>
            </w:r>
          </w:p>
        </w:tc>
        <w:tc>
          <w:tcPr>
            <w:tcW w:w="644"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相对厂址方位</w:t>
            </w:r>
          </w:p>
        </w:tc>
        <w:tc>
          <w:tcPr>
            <w:tcW w:w="861"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厂界</w:t>
            </w:r>
            <w:r>
              <w:rPr>
                <w:rFonts w:hint="eastAsia" w:ascii="Times New Roman" w:hAnsi="Times New Roman" w:cs="Times New Roman"/>
                <w:b/>
                <w:bCs/>
                <w:color w:val="auto"/>
                <w:u w:val="none"/>
                <w:lang w:eastAsia="zh-CN"/>
              </w:rPr>
              <w:t>最近</w:t>
            </w:r>
            <w:r>
              <w:rPr>
                <w:rFonts w:hint="default" w:ascii="Times New Roman" w:hAnsi="Times New Roman" w:cs="Times New Roman"/>
                <w:b/>
                <w:bCs/>
                <w:color w:val="auto"/>
                <w:u w:val="none"/>
              </w:rPr>
              <w:t>距离（m）</w:t>
            </w:r>
          </w:p>
        </w:tc>
        <w:tc>
          <w:tcPr>
            <w:tcW w:w="729"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有无山体阻隔</w:t>
            </w:r>
          </w:p>
        </w:tc>
        <w:tc>
          <w:tcPr>
            <w:tcW w:w="616"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环境</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功能区</w:t>
            </w:r>
          </w:p>
        </w:tc>
        <w:tc>
          <w:tcPr>
            <w:tcW w:w="990"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blHeader/>
          <w:jc w:val="center"/>
        </w:trPr>
        <w:tc>
          <w:tcPr>
            <w:tcW w:w="1158" w:type="pct"/>
            <w:vMerge w:val="continue"/>
            <w:noWrap w:val="0"/>
            <w:vAlign w:val="center"/>
          </w:tcPr>
          <w:p>
            <w:pPr>
              <w:pStyle w:val="73"/>
              <w:rPr>
                <w:rFonts w:hint="default" w:ascii="Times New Roman" w:hAnsi="Times New Roman" w:cs="Times New Roman"/>
                <w:color w:val="auto"/>
                <w:u w:val="none"/>
              </w:rPr>
            </w:pPr>
          </w:p>
        </w:tc>
        <w:tc>
          <w:tcPr>
            <w:tcW w:w="644" w:type="pct"/>
            <w:vMerge w:val="continue"/>
            <w:noWrap w:val="0"/>
            <w:vAlign w:val="center"/>
          </w:tcPr>
          <w:p>
            <w:pPr>
              <w:pStyle w:val="73"/>
              <w:rPr>
                <w:rFonts w:hint="default" w:ascii="Times New Roman" w:hAnsi="Times New Roman" w:cs="Times New Roman"/>
                <w:color w:val="auto"/>
                <w:u w:val="none"/>
              </w:rPr>
            </w:pPr>
          </w:p>
        </w:tc>
        <w:tc>
          <w:tcPr>
            <w:tcW w:w="861" w:type="pct"/>
            <w:vMerge w:val="continue"/>
            <w:noWrap w:val="0"/>
            <w:vAlign w:val="center"/>
          </w:tcPr>
          <w:p>
            <w:pPr>
              <w:pStyle w:val="73"/>
              <w:rPr>
                <w:rFonts w:hint="default" w:ascii="Times New Roman" w:hAnsi="Times New Roman" w:cs="Times New Roman"/>
                <w:color w:val="auto"/>
                <w:u w:val="none"/>
              </w:rPr>
            </w:pPr>
          </w:p>
        </w:tc>
        <w:tc>
          <w:tcPr>
            <w:tcW w:w="729" w:type="pct"/>
            <w:vMerge w:val="continue"/>
            <w:noWrap w:val="0"/>
            <w:vAlign w:val="center"/>
          </w:tcPr>
          <w:p>
            <w:pPr>
              <w:pStyle w:val="73"/>
              <w:rPr>
                <w:rFonts w:hint="default" w:ascii="Times New Roman" w:hAnsi="Times New Roman" w:cs="Times New Roman"/>
                <w:color w:val="auto"/>
                <w:u w:val="none"/>
              </w:rPr>
            </w:pPr>
          </w:p>
        </w:tc>
        <w:tc>
          <w:tcPr>
            <w:tcW w:w="616" w:type="pct"/>
            <w:vMerge w:val="continue"/>
            <w:noWrap w:val="0"/>
            <w:vAlign w:val="center"/>
          </w:tcPr>
          <w:p>
            <w:pPr>
              <w:pStyle w:val="73"/>
              <w:rPr>
                <w:rFonts w:hint="default" w:ascii="Times New Roman" w:hAnsi="Times New Roman" w:cs="Times New Roman"/>
                <w:color w:val="auto"/>
                <w:u w:val="none"/>
              </w:rPr>
            </w:pPr>
          </w:p>
        </w:tc>
        <w:tc>
          <w:tcPr>
            <w:tcW w:w="990" w:type="pct"/>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lang w:eastAsia="zh-CN"/>
              </w:rPr>
            </w:pPr>
            <w:r>
              <w:rPr>
                <w:rFonts w:hint="eastAsia" w:ascii="Times New Roman" w:hAnsi="Times New Roman" w:cs="Times New Roman"/>
                <w:color w:val="auto"/>
                <w:u w:val="none"/>
                <w:lang w:eastAsia="zh-CN"/>
              </w:rPr>
              <w:t>公租房</w:t>
            </w:r>
          </w:p>
        </w:tc>
        <w:tc>
          <w:tcPr>
            <w:tcW w:w="644" w:type="pct"/>
            <w:noWrap w:val="0"/>
            <w:vAlign w:val="center"/>
          </w:tcPr>
          <w:p>
            <w:pPr>
              <w:pStyle w:val="73"/>
              <w:ind w:firstLine="0" w:firstLineChars="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WE</w:t>
            </w:r>
          </w:p>
        </w:tc>
        <w:tc>
          <w:tcPr>
            <w:tcW w:w="861" w:type="pct"/>
            <w:noWrap w:val="0"/>
            <w:vAlign w:val="center"/>
          </w:tcPr>
          <w:p>
            <w:pPr>
              <w:pStyle w:val="73"/>
              <w:ind w:firstLine="0" w:firstLineChars="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50</w:t>
            </w:r>
          </w:p>
        </w:tc>
        <w:tc>
          <w:tcPr>
            <w:tcW w:w="729" w:type="pct"/>
            <w:noWrap w:val="0"/>
            <w:vAlign w:val="center"/>
          </w:tcPr>
          <w:p>
            <w:pPr>
              <w:pStyle w:val="73"/>
              <w:ind w:firstLine="0" w:firstLineChars="0"/>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无</w:t>
            </w:r>
          </w:p>
        </w:tc>
        <w:tc>
          <w:tcPr>
            <w:tcW w:w="616" w:type="pct"/>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100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捺岔</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ES</w:t>
            </w:r>
          </w:p>
        </w:tc>
        <w:tc>
          <w:tcPr>
            <w:tcW w:w="861"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2380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380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eastAsia="宋体" w:cs="Times New Roman"/>
                <w:color w:val="auto"/>
                <w:u w:val="none"/>
                <w:lang w:val="en-US" w:eastAsia="zh-CN"/>
              </w:rPr>
              <w:t>坝科</w:t>
            </w:r>
          </w:p>
        </w:tc>
        <w:tc>
          <w:tcPr>
            <w:tcW w:w="644" w:type="pct"/>
            <w:noWrap w:val="0"/>
            <w:vAlign w:val="center"/>
          </w:tcPr>
          <w:p>
            <w:pPr>
              <w:pStyle w:val="73"/>
              <w:ind w:firstLine="0" w:firstLineChars="0"/>
              <w:rPr>
                <w:rFonts w:hint="default" w:ascii="Times New Roman" w:hAnsi="Times New Roman" w:cs="Times New Roman"/>
                <w:color w:val="auto"/>
                <w:szCs w:val="22"/>
                <w:u w:val="none"/>
              </w:rPr>
            </w:pPr>
            <w:r>
              <w:rPr>
                <w:rFonts w:hint="default" w:ascii="Times New Roman" w:hAnsi="Times New Roman" w:cs="Times New Roman"/>
                <w:color w:val="auto"/>
                <w:u w:val="none"/>
                <w:lang w:val="en-US" w:eastAsia="zh-CN"/>
              </w:rPr>
              <w:t>ES</w:t>
            </w:r>
          </w:p>
        </w:tc>
        <w:tc>
          <w:tcPr>
            <w:tcW w:w="861"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1250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100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石提村</w:t>
            </w:r>
          </w:p>
        </w:tc>
        <w:tc>
          <w:tcPr>
            <w:tcW w:w="644" w:type="pct"/>
            <w:noWrap w:val="0"/>
            <w:vAlign w:val="center"/>
          </w:tcPr>
          <w:p>
            <w:pPr>
              <w:pStyle w:val="73"/>
              <w:ind w:firstLine="0" w:firstLineChars="0"/>
              <w:rPr>
                <w:rFonts w:hint="default" w:ascii="Times New Roman" w:hAnsi="Times New Roman" w:cs="Times New Roman"/>
                <w:color w:val="auto"/>
                <w:szCs w:val="22"/>
                <w:u w:val="none"/>
              </w:rPr>
            </w:pPr>
            <w:r>
              <w:rPr>
                <w:rFonts w:hint="default" w:ascii="Times New Roman" w:hAnsi="Times New Roman" w:cs="Times New Roman"/>
                <w:color w:val="auto"/>
                <w:szCs w:val="22"/>
                <w:u w:val="none"/>
                <w:lang w:val="en-US" w:eastAsia="zh-CN"/>
              </w:rPr>
              <w:t>S</w:t>
            </w:r>
            <w:r>
              <w:rPr>
                <w:rFonts w:hint="default" w:ascii="Times New Roman" w:hAnsi="Times New Roman" w:cs="Times New Roman"/>
                <w:color w:val="auto"/>
                <w:szCs w:val="22"/>
                <w:u w:val="none"/>
              </w:rPr>
              <w:t>W</w:t>
            </w:r>
          </w:p>
        </w:tc>
        <w:tc>
          <w:tcPr>
            <w:tcW w:w="861"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szCs w:val="22"/>
                <w:u w:val="none"/>
                <w:lang w:val="en-US" w:eastAsia="zh-CN"/>
              </w:rPr>
              <w:t>2030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eastAsia="zh-CN"/>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240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埃溪</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szCs w:val="22"/>
                <w:u w:val="none"/>
                <w:lang w:val="en-US" w:eastAsia="zh-CN"/>
              </w:rPr>
              <w:t>S</w:t>
            </w:r>
            <w:r>
              <w:rPr>
                <w:rFonts w:hint="default" w:ascii="Times New Roman" w:hAnsi="Times New Roman" w:cs="Times New Roman"/>
                <w:color w:val="auto"/>
                <w:szCs w:val="22"/>
                <w:u w:val="none"/>
              </w:rPr>
              <w:t>W</w:t>
            </w:r>
          </w:p>
        </w:tc>
        <w:tc>
          <w:tcPr>
            <w:tcW w:w="861"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szCs w:val="22"/>
                <w:u w:val="none"/>
                <w:lang w:val="en-US" w:eastAsia="zh-CN"/>
              </w:rPr>
              <w:t>2110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200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岔包</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S</w:t>
            </w:r>
          </w:p>
        </w:tc>
        <w:tc>
          <w:tcPr>
            <w:tcW w:w="861"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250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eastAsia="zh-CN"/>
              </w:rPr>
              <w:t>无</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120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朱家寨</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W</w:t>
            </w:r>
          </w:p>
        </w:tc>
        <w:tc>
          <w:tcPr>
            <w:tcW w:w="861"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1760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70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老寨</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W</w:t>
            </w:r>
            <w:r>
              <w:rPr>
                <w:rFonts w:hint="default" w:ascii="Times New Roman" w:hAnsi="Times New Roman" w:cs="Times New Roman"/>
                <w:color w:val="auto"/>
                <w:u w:val="none"/>
                <w:lang w:val="en-US" w:eastAsia="zh-CN"/>
              </w:rPr>
              <w:t>E</w:t>
            </w:r>
          </w:p>
        </w:tc>
        <w:tc>
          <w:tcPr>
            <w:tcW w:w="861"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630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50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岔哪村</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E</w:t>
            </w:r>
          </w:p>
        </w:tc>
        <w:tc>
          <w:tcPr>
            <w:tcW w:w="861"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490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eastAsia="zh-CN"/>
              </w:rPr>
              <w:t>无</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300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溪州新城</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W</w:t>
            </w:r>
            <w:r>
              <w:rPr>
                <w:rFonts w:hint="default" w:ascii="Times New Roman" w:hAnsi="Times New Roman" w:cs="Times New Roman"/>
                <w:color w:val="auto"/>
                <w:u w:val="none"/>
                <w:lang w:val="en-US" w:eastAsia="zh-CN"/>
              </w:rPr>
              <w:t>E</w:t>
            </w:r>
          </w:p>
        </w:tc>
        <w:tc>
          <w:tcPr>
            <w:tcW w:w="861"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eastAsia="zh-CN"/>
              </w:rPr>
              <w:t>无</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7210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永顺县城区</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EN</w:t>
            </w:r>
          </w:p>
        </w:tc>
        <w:tc>
          <w:tcPr>
            <w:tcW w:w="861"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1140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eastAsia="zh-CN"/>
              </w:rPr>
              <w:t>无</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137210</w:t>
            </w:r>
            <w:r>
              <w:rPr>
                <w:rFonts w:hint="default" w:ascii="Times New Roman" w:hAnsi="Times New Roman" w:cs="Times New Roman"/>
                <w:color w:val="auto"/>
                <w:u w:val="none"/>
              </w:rPr>
              <w:t>人</w:t>
            </w:r>
          </w:p>
        </w:tc>
      </w:tr>
    </w:tbl>
    <w:p>
      <w:pPr>
        <w:pStyle w:val="103"/>
        <w:bidi w:val="0"/>
        <w:rPr>
          <w:rFonts w:hint="eastAsia"/>
          <w:color w:val="auto"/>
          <w:lang w:val="en-US" w:eastAsia="zh-CN"/>
        </w:rPr>
      </w:pPr>
      <w:r>
        <w:rPr>
          <w:rFonts w:hint="eastAsia"/>
          <w:color w:val="auto"/>
          <w:lang w:val="en-US" w:eastAsia="zh-CN"/>
        </w:rPr>
        <w:t xml:space="preserve"> 4.4-4  管网工程环境保护目标一览表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1098"/>
        <w:gridCol w:w="1468"/>
        <w:gridCol w:w="1243"/>
        <w:gridCol w:w="1050"/>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58"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环境保护对象名称</w:t>
            </w:r>
          </w:p>
        </w:tc>
        <w:tc>
          <w:tcPr>
            <w:tcW w:w="644"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相对厂址方位</w:t>
            </w:r>
          </w:p>
        </w:tc>
        <w:tc>
          <w:tcPr>
            <w:tcW w:w="861"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厂界</w:t>
            </w:r>
            <w:r>
              <w:rPr>
                <w:rFonts w:hint="eastAsia" w:ascii="Times New Roman" w:hAnsi="Times New Roman" w:cs="Times New Roman"/>
                <w:b/>
                <w:bCs/>
                <w:color w:val="auto"/>
                <w:u w:val="none"/>
                <w:lang w:eastAsia="zh-CN"/>
              </w:rPr>
              <w:t>最近</w:t>
            </w:r>
            <w:r>
              <w:rPr>
                <w:rFonts w:hint="default" w:ascii="Times New Roman" w:hAnsi="Times New Roman" w:cs="Times New Roman"/>
                <w:b/>
                <w:bCs/>
                <w:color w:val="auto"/>
                <w:u w:val="none"/>
              </w:rPr>
              <w:t>距离（m）</w:t>
            </w:r>
          </w:p>
        </w:tc>
        <w:tc>
          <w:tcPr>
            <w:tcW w:w="729"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有无山体阻隔</w:t>
            </w:r>
          </w:p>
        </w:tc>
        <w:tc>
          <w:tcPr>
            <w:tcW w:w="616"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环境</w:t>
            </w:r>
          </w:p>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功能区</w:t>
            </w:r>
          </w:p>
        </w:tc>
        <w:tc>
          <w:tcPr>
            <w:tcW w:w="990" w:type="pct"/>
            <w:vMerge w:val="restart"/>
            <w:noWrap w:val="0"/>
            <w:vAlign w:val="center"/>
          </w:tcPr>
          <w:p>
            <w:pPr>
              <w:pStyle w:val="73"/>
              <w:rPr>
                <w:rFonts w:hint="default" w:ascii="Times New Roman" w:hAnsi="Times New Roman" w:cs="Times New Roman"/>
                <w:b/>
                <w:bCs/>
                <w:color w:val="auto"/>
                <w:u w:val="none"/>
              </w:rPr>
            </w:pPr>
            <w:r>
              <w:rPr>
                <w:rFonts w:hint="default" w:ascii="Times New Roman" w:hAnsi="Times New Roman" w:cs="Times New Roman"/>
                <w:b/>
                <w:bCs/>
                <w:color w:val="auto"/>
                <w:u w:val="none"/>
              </w:rPr>
              <w:t>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blHeader/>
          <w:jc w:val="center"/>
        </w:trPr>
        <w:tc>
          <w:tcPr>
            <w:tcW w:w="1158" w:type="pct"/>
            <w:vMerge w:val="continue"/>
            <w:noWrap w:val="0"/>
            <w:vAlign w:val="center"/>
          </w:tcPr>
          <w:p>
            <w:pPr>
              <w:pStyle w:val="73"/>
              <w:rPr>
                <w:rFonts w:hint="default" w:ascii="Times New Roman" w:hAnsi="Times New Roman" w:cs="Times New Roman"/>
                <w:color w:val="auto"/>
                <w:u w:val="none"/>
              </w:rPr>
            </w:pPr>
          </w:p>
        </w:tc>
        <w:tc>
          <w:tcPr>
            <w:tcW w:w="644" w:type="pct"/>
            <w:vMerge w:val="continue"/>
            <w:noWrap w:val="0"/>
            <w:vAlign w:val="center"/>
          </w:tcPr>
          <w:p>
            <w:pPr>
              <w:pStyle w:val="73"/>
              <w:rPr>
                <w:rFonts w:hint="default" w:ascii="Times New Roman" w:hAnsi="Times New Roman" w:cs="Times New Roman"/>
                <w:color w:val="auto"/>
                <w:u w:val="none"/>
              </w:rPr>
            </w:pPr>
          </w:p>
        </w:tc>
        <w:tc>
          <w:tcPr>
            <w:tcW w:w="861" w:type="pct"/>
            <w:vMerge w:val="continue"/>
            <w:noWrap w:val="0"/>
            <w:vAlign w:val="center"/>
          </w:tcPr>
          <w:p>
            <w:pPr>
              <w:pStyle w:val="73"/>
              <w:rPr>
                <w:rFonts w:hint="default" w:ascii="Times New Roman" w:hAnsi="Times New Roman" w:cs="Times New Roman"/>
                <w:color w:val="auto"/>
                <w:u w:val="none"/>
              </w:rPr>
            </w:pPr>
          </w:p>
        </w:tc>
        <w:tc>
          <w:tcPr>
            <w:tcW w:w="729" w:type="pct"/>
            <w:vMerge w:val="continue"/>
            <w:noWrap w:val="0"/>
            <w:vAlign w:val="center"/>
          </w:tcPr>
          <w:p>
            <w:pPr>
              <w:pStyle w:val="73"/>
              <w:rPr>
                <w:rFonts w:hint="default" w:ascii="Times New Roman" w:hAnsi="Times New Roman" w:cs="Times New Roman"/>
                <w:color w:val="auto"/>
                <w:u w:val="none"/>
              </w:rPr>
            </w:pPr>
          </w:p>
        </w:tc>
        <w:tc>
          <w:tcPr>
            <w:tcW w:w="616" w:type="pct"/>
            <w:vMerge w:val="continue"/>
            <w:noWrap w:val="0"/>
            <w:vAlign w:val="center"/>
          </w:tcPr>
          <w:p>
            <w:pPr>
              <w:pStyle w:val="73"/>
              <w:rPr>
                <w:rFonts w:hint="default" w:ascii="Times New Roman" w:hAnsi="Times New Roman" w:cs="Times New Roman"/>
                <w:color w:val="auto"/>
                <w:u w:val="none"/>
              </w:rPr>
            </w:pPr>
          </w:p>
        </w:tc>
        <w:tc>
          <w:tcPr>
            <w:tcW w:w="990" w:type="pct"/>
            <w:vMerge w:val="continue"/>
            <w:noWrap w:val="0"/>
            <w:vAlign w:val="center"/>
          </w:tcPr>
          <w:p>
            <w:pPr>
              <w:pStyle w:val="73"/>
              <w:rPr>
                <w:rFonts w:hint="default" w:ascii="Times New Roman" w:hAnsi="Times New Roman" w:cs="Times New Roman"/>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lang w:eastAsia="zh-CN"/>
              </w:rPr>
            </w:pPr>
            <w:r>
              <w:rPr>
                <w:rFonts w:hint="eastAsia" w:ascii="Times New Roman" w:hAnsi="Times New Roman" w:cs="Times New Roman"/>
                <w:color w:val="auto"/>
                <w:u w:val="none"/>
                <w:lang w:eastAsia="zh-CN"/>
              </w:rPr>
              <w:t>公租房</w:t>
            </w:r>
          </w:p>
        </w:tc>
        <w:tc>
          <w:tcPr>
            <w:tcW w:w="644" w:type="pct"/>
            <w:noWrap w:val="0"/>
            <w:vAlign w:val="center"/>
          </w:tcPr>
          <w:p>
            <w:pPr>
              <w:pStyle w:val="73"/>
              <w:ind w:firstLine="0" w:firstLineChars="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WE</w:t>
            </w:r>
          </w:p>
        </w:tc>
        <w:tc>
          <w:tcPr>
            <w:tcW w:w="861" w:type="pct"/>
            <w:noWrap w:val="0"/>
            <w:vAlign w:val="center"/>
          </w:tcPr>
          <w:p>
            <w:pPr>
              <w:pStyle w:val="73"/>
              <w:ind w:firstLine="0" w:firstLineChars="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50</w:t>
            </w:r>
          </w:p>
        </w:tc>
        <w:tc>
          <w:tcPr>
            <w:tcW w:w="729" w:type="pct"/>
            <w:noWrap w:val="0"/>
            <w:vAlign w:val="center"/>
          </w:tcPr>
          <w:p>
            <w:pPr>
              <w:pStyle w:val="73"/>
              <w:ind w:firstLine="0" w:firstLineChars="0"/>
              <w:rPr>
                <w:rFonts w:hint="default"/>
                <w:color w:val="auto"/>
                <w:lang w:val="en-US" w:eastAsia="zh-CN"/>
              </w:rPr>
            </w:pPr>
            <w:r>
              <w:rPr>
                <w:rFonts w:hint="eastAsia"/>
                <w:color w:val="auto"/>
                <w:lang w:val="en-US" w:eastAsia="zh-CN"/>
              </w:rPr>
              <w:t>无</w:t>
            </w:r>
          </w:p>
        </w:tc>
        <w:tc>
          <w:tcPr>
            <w:tcW w:w="616" w:type="pct"/>
            <w:noWrap w:val="0"/>
            <w:vAlign w:val="center"/>
          </w:tcPr>
          <w:p>
            <w:pPr>
              <w:pStyle w:val="73"/>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居住</w:t>
            </w:r>
          </w:p>
        </w:tc>
        <w:tc>
          <w:tcPr>
            <w:tcW w:w="990" w:type="pct"/>
            <w:noWrap w:val="0"/>
            <w:vAlign w:val="center"/>
          </w:tcPr>
          <w:p>
            <w:pPr>
              <w:pStyle w:val="73"/>
              <w:ind w:firstLine="0" w:firstLineChars="0"/>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eastAsia="zh-CN"/>
              </w:rPr>
              <w:t>约</w:t>
            </w:r>
            <w:r>
              <w:rPr>
                <w:rFonts w:hint="eastAsia" w:ascii="Times New Roman" w:hAnsi="Times New Roman" w:cs="Times New Roman"/>
                <w:color w:val="auto"/>
                <w:u w:val="none"/>
                <w:lang w:val="en-US" w:eastAsia="zh-CN"/>
              </w:rPr>
              <w:t>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捺岔</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ES</w:t>
            </w:r>
          </w:p>
        </w:tc>
        <w:tc>
          <w:tcPr>
            <w:tcW w:w="861" w:type="pct"/>
            <w:noWrap w:val="0"/>
            <w:vAlign w:val="center"/>
          </w:tcPr>
          <w:p>
            <w:pPr>
              <w:pStyle w:val="73"/>
              <w:ind w:firstLine="0" w:firstLineChars="0"/>
              <w:rPr>
                <w:rFonts w:hint="default" w:ascii="Times New Roman" w:hAnsi="Times New Roman" w:cs="Times New Roman"/>
                <w:color w:val="auto"/>
                <w:u w:val="none"/>
                <w:lang w:val="en-US"/>
              </w:rPr>
            </w:pPr>
            <w:r>
              <w:rPr>
                <w:rFonts w:hint="eastAsia" w:ascii="Times New Roman" w:hAnsi="Times New Roman" w:cs="Times New Roman"/>
                <w:color w:val="auto"/>
                <w:u w:val="none"/>
                <w:lang w:val="en-US" w:eastAsia="zh-CN"/>
              </w:rPr>
              <w:t>1500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380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eastAsia="宋体" w:cs="Times New Roman"/>
                <w:color w:val="auto"/>
                <w:u w:val="none"/>
                <w:lang w:val="en-US" w:eastAsia="zh-CN"/>
              </w:rPr>
              <w:t>坝科</w:t>
            </w:r>
          </w:p>
        </w:tc>
        <w:tc>
          <w:tcPr>
            <w:tcW w:w="644" w:type="pct"/>
            <w:noWrap w:val="0"/>
            <w:vAlign w:val="center"/>
          </w:tcPr>
          <w:p>
            <w:pPr>
              <w:pStyle w:val="73"/>
              <w:ind w:firstLine="0" w:firstLineChars="0"/>
              <w:rPr>
                <w:rFonts w:hint="default" w:ascii="Times New Roman" w:hAnsi="Times New Roman" w:cs="Times New Roman"/>
                <w:color w:val="auto"/>
                <w:szCs w:val="22"/>
                <w:u w:val="none"/>
              </w:rPr>
            </w:pPr>
            <w:r>
              <w:rPr>
                <w:rFonts w:hint="default" w:ascii="Times New Roman" w:hAnsi="Times New Roman" w:cs="Times New Roman"/>
                <w:color w:val="auto"/>
                <w:u w:val="none"/>
                <w:lang w:val="en-US" w:eastAsia="zh-CN"/>
              </w:rPr>
              <w:t>ES</w:t>
            </w:r>
          </w:p>
        </w:tc>
        <w:tc>
          <w:tcPr>
            <w:tcW w:w="861" w:type="pct"/>
            <w:noWrap w:val="0"/>
            <w:vAlign w:val="center"/>
          </w:tcPr>
          <w:p>
            <w:pPr>
              <w:pStyle w:val="73"/>
              <w:ind w:firstLine="0" w:firstLineChars="0"/>
              <w:rPr>
                <w:rFonts w:hint="default" w:ascii="Times New Roman" w:hAnsi="Times New Roman" w:cs="Times New Roman"/>
                <w:color w:val="auto"/>
                <w:u w:val="none"/>
                <w:lang w:val="en-US"/>
              </w:rPr>
            </w:pPr>
            <w:r>
              <w:rPr>
                <w:rFonts w:hint="eastAsia" w:ascii="Times New Roman" w:hAnsi="Times New Roman" w:cs="Times New Roman"/>
                <w:color w:val="auto"/>
                <w:u w:val="none"/>
                <w:lang w:val="en-US" w:eastAsia="zh-CN"/>
              </w:rPr>
              <w:t>1100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100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石提村</w:t>
            </w:r>
          </w:p>
        </w:tc>
        <w:tc>
          <w:tcPr>
            <w:tcW w:w="644" w:type="pct"/>
            <w:noWrap w:val="0"/>
            <w:vAlign w:val="center"/>
          </w:tcPr>
          <w:p>
            <w:pPr>
              <w:pStyle w:val="73"/>
              <w:ind w:firstLine="0" w:firstLineChars="0"/>
              <w:rPr>
                <w:rFonts w:hint="default" w:ascii="Times New Roman" w:hAnsi="Times New Roman" w:cs="Times New Roman"/>
                <w:color w:val="auto"/>
                <w:szCs w:val="22"/>
                <w:u w:val="none"/>
              </w:rPr>
            </w:pPr>
            <w:r>
              <w:rPr>
                <w:rFonts w:hint="default" w:ascii="Times New Roman" w:hAnsi="Times New Roman" w:cs="Times New Roman"/>
                <w:color w:val="auto"/>
                <w:szCs w:val="22"/>
                <w:u w:val="none"/>
                <w:lang w:val="en-US" w:eastAsia="zh-CN"/>
              </w:rPr>
              <w:t>S</w:t>
            </w:r>
            <w:r>
              <w:rPr>
                <w:rFonts w:hint="default" w:ascii="Times New Roman" w:hAnsi="Times New Roman" w:cs="Times New Roman"/>
                <w:color w:val="auto"/>
                <w:szCs w:val="22"/>
                <w:u w:val="none"/>
              </w:rPr>
              <w:t>W</w:t>
            </w:r>
          </w:p>
        </w:tc>
        <w:tc>
          <w:tcPr>
            <w:tcW w:w="861" w:type="pct"/>
            <w:noWrap w:val="0"/>
            <w:vAlign w:val="center"/>
          </w:tcPr>
          <w:p>
            <w:pPr>
              <w:pStyle w:val="73"/>
              <w:ind w:firstLine="0" w:firstLineChars="0"/>
              <w:rPr>
                <w:rFonts w:hint="default" w:ascii="Times New Roman" w:hAnsi="Times New Roman" w:cs="Times New Roman"/>
                <w:color w:val="auto"/>
                <w:u w:val="none"/>
                <w:lang w:val="en-US"/>
              </w:rPr>
            </w:pPr>
            <w:r>
              <w:rPr>
                <w:rFonts w:hint="eastAsia" w:ascii="Times New Roman" w:hAnsi="Times New Roman" w:cs="Times New Roman"/>
                <w:color w:val="auto"/>
                <w:szCs w:val="22"/>
                <w:u w:val="none"/>
                <w:lang w:val="en-US" w:eastAsia="zh-CN"/>
              </w:rPr>
              <w:t>1200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eastAsia="zh-CN"/>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240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埃溪</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szCs w:val="22"/>
                <w:u w:val="none"/>
                <w:lang w:val="en-US" w:eastAsia="zh-CN"/>
              </w:rPr>
              <w:t>S</w:t>
            </w:r>
            <w:r>
              <w:rPr>
                <w:rFonts w:hint="default" w:ascii="Times New Roman" w:hAnsi="Times New Roman" w:cs="Times New Roman"/>
                <w:color w:val="auto"/>
                <w:szCs w:val="22"/>
                <w:u w:val="none"/>
              </w:rPr>
              <w:t>W</w:t>
            </w:r>
          </w:p>
        </w:tc>
        <w:tc>
          <w:tcPr>
            <w:tcW w:w="861" w:type="pct"/>
            <w:noWrap w:val="0"/>
            <w:vAlign w:val="center"/>
          </w:tcPr>
          <w:p>
            <w:pPr>
              <w:pStyle w:val="73"/>
              <w:ind w:firstLine="0" w:firstLineChars="0"/>
              <w:rPr>
                <w:rFonts w:hint="default" w:ascii="Times New Roman" w:hAnsi="Times New Roman" w:cs="Times New Roman"/>
                <w:color w:val="auto"/>
                <w:u w:val="none"/>
                <w:lang w:val="en-US"/>
              </w:rPr>
            </w:pPr>
            <w:r>
              <w:rPr>
                <w:rFonts w:hint="eastAsia" w:ascii="Times New Roman" w:hAnsi="Times New Roman" w:cs="Times New Roman"/>
                <w:color w:val="auto"/>
                <w:szCs w:val="22"/>
                <w:u w:val="none"/>
                <w:lang w:val="en-US" w:eastAsia="zh-CN"/>
              </w:rPr>
              <w:t>2200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200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岔包</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S</w:t>
            </w:r>
          </w:p>
        </w:tc>
        <w:tc>
          <w:tcPr>
            <w:tcW w:w="861" w:type="pct"/>
            <w:noWrap w:val="0"/>
            <w:vAlign w:val="center"/>
          </w:tcPr>
          <w:p>
            <w:pPr>
              <w:pStyle w:val="73"/>
              <w:ind w:firstLine="0" w:firstLineChars="0"/>
              <w:rPr>
                <w:rFonts w:hint="default" w:ascii="Times New Roman" w:hAnsi="Times New Roman" w:cs="Times New Roman"/>
                <w:color w:val="auto"/>
                <w:u w:val="none"/>
                <w:lang w:val="en-US"/>
              </w:rPr>
            </w:pPr>
            <w:r>
              <w:rPr>
                <w:rFonts w:hint="eastAsia" w:ascii="Times New Roman" w:hAnsi="Times New Roman" w:cs="Times New Roman"/>
                <w:color w:val="auto"/>
                <w:u w:val="none"/>
                <w:lang w:val="en-US" w:eastAsia="zh-CN"/>
              </w:rPr>
              <w:t>210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eastAsia="zh-CN"/>
              </w:rPr>
              <w:t>无</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120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朱家寨</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W</w:t>
            </w:r>
          </w:p>
        </w:tc>
        <w:tc>
          <w:tcPr>
            <w:tcW w:w="861" w:type="pct"/>
            <w:noWrap w:val="0"/>
            <w:vAlign w:val="center"/>
          </w:tcPr>
          <w:p>
            <w:pPr>
              <w:pStyle w:val="73"/>
              <w:ind w:firstLine="0" w:firstLineChars="0"/>
              <w:rPr>
                <w:rFonts w:hint="default" w:ascii="Times New Roman" w:hAnsi="Times New Roman" w:cs="Times New Roman"/>
                <w:color w:val="auto"/>
                <w:u w:val="none"/>
                <w:lang w:val="en-US"/>
              </w:rPr>
            </w:pPr>
            <w:r>
              <w:rPr>
                <w:rFonts w:hint="eastAsia" w:ascii="Times New Roman" w:hAnsi="Times New Roman" w:cs="Times New Roman"/>
                <w:color w:val="auto"/>
                <w:u w:val="none"/>
                <w:lang w:val="en-US" w:eastAsia="zh-CN"/>
              </w:rPr>
              <w:t>1800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70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老寨</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W</w:t>
            </w:r>
            <w:r>
              <w:rPr>
                <w:rFonts w:hint="default" w:ascii="Times New Roman" w:hAnsi="Times New Roman" w:cs="Times New Roman"/>
                <w:color w:val="auto"/>
                <w:u w:val="none"/>
                <w:lang w:val="en-US" w:eastAsia="zh-CN"/>
              </w:rPr>
              <w:t>E</w:t>
            </w:r>
          </w:p>
        </w:tc>
        <w:tc>
          <w:tcPr>
            <w:tcW w:w="861" w:type="pct"/>
            <w:noWrap w:val="0"/>
            <w:vAlign w:val="center"/>
          </w:tcPr>
          <w:p>
            <w:pPr>
              <w:pStyle w:val="73"/>
              <w:ind w:firstLine="0" w:firstLineChars="0"/>
              <w:rPr>
                <w:rFonts w:hint="default" w:ascii="Times New Roman" w:hAnsi="Times New Roman" w:cs="Times New Roman"/>
                <w:color w:val="auto"/>
                <w:u w:val="none"/>
                <w:lang w:val="en-US"/>
              </w:rPr>
            </w:pPr>
            <w:r>
              <w:rPr>
                <w:rFonts w:hint="eastAsia" w:ascii="Times New Roman" w:hAnsi="Times New Roman" w:cs="Times New Roman"/>
                <w:color w:val="auto"/>
                <w:u w:val="none"/>
                <w:lang w:val="en-US" w:eastAsia="zh-CN"/>
              </w:rPr>
              <w:t>680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有</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50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岔哪村</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E</w:t>
            </w:r>
          </w:p>
        </w:tc>
        <w:tc>
          <w:tcPr>
            <w:tcW w:w="861" w:type="pct"/>
            <w:noWrap w:val="0"/>
            <w:vAlign w:val="center"/>
          </w:tcPr>
          <w:p>
            <w:pPr>
              <w:pStyle w:val="73"/>
              <w:ind w:firstLine="0" w:firstLineChars="0"/>
              <w:rPr>
                <w:rFonts w:hint="default" w:ascii="Times New Roman" w:hAnsi="Times New Roman" w:cs="Times New Roman"/>
                <w:color w:val="auto"/>
                <w:u w:val="none"/>
                <w:lang w:val="en-US"/>
              </w:rPr>
            </w:pPr>
            <w:r>
              <w:rPr>
                <w:rFonts w:hint="eastAsia" w:ascii="Times New Roman" w:hAnsi="Times New Roman" w:cs="Times New Roman"/>
                <w:color w:val="auto"/>
                <w:u w:val="none"/>
                <w:lang w:val="en-US" w:eastAsia="zh-CN"/>
              </w:rPr>
              <w:t>520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eastAsia="zh-CN"/>
              </w:rPr>
              <w:t>无</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300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溪州新城</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W</w:t>
            </w:r>
            <w:r>
              <w:rPr>
                <w:rFonts w:hint="default" w:ascii="Times New Roman" w:hAnsi="Times New Roman" w:cs="Times New Roman"/>
                <w:color w:val="auto"/>
                <w:u w:val="none"/>
                <w:lang w:val="en-US" w:eastAsia="zh-CN"/>
              </w:rPr>
              <w:t>E</w:t>
            </w:r>
          </w:p>
        </w:tc>
        <w:tc>
          <w:tcPr>
            <w:tcW w:w="861" w:type="pct"/>
            <w:noWrap w:val="0"/>
            <w:vAlign w:val="center"/>
          </w:tcPr>
          <w:p>
            <w:pPr>
              <w:pStyle w:val="73"/>
              <w:ind w:firstLine="0" w:firstLineChars="0"/>
              <w:rPr>
                <w:rFonts w:hint="default" w:ascii="Times New Roman" w:hAnsi="Times New Roman" w:cs="Times New Roman"/>
                <w:color w:val="auto"/>
                <w:u w:val="none"/>
                <w:lang w:val="en-US"/>
              </w:rPr>
            </w:pPr>
            <w:r>
              <w:rPr>
                <w:rFonts w:hint="eastAsia" w:ascii="Times New Roman" w:hAnsi="Times New Roman" w:cs="Times New Roman"/>
                <w:color w:val="auto"/>
                <w:u w:val="none"/>
                <w:lang w:val="en-US" w:eastAsia="zh-CN"/>
              </w:rPr>
              <w:t>950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eastAsia="zh-CN"/>
              </w:rPr>
              <w:t>无</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7210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eastAsia="zh-CN"/>
              </w:rPr>
              <w:t>永顺县城区</w:t>
            </w:r>
          </w:p>
        </w:tc>
        <w:tc>
          <w:tcPr>
            <w:tcW w:w="644"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EN</w:t>
            </w:r>
          </w:p>
        </w:tc>
        <w:tc>
          <w:tcPr>
            <w:tcW w:w="861" w:type="pct"/>
            <w:noWrap w:val="0"/>
            <w:vAlign w:val="center"/>
          </w:tcPr>
          <w:p>
            <w:pPr>
              <w:pStyle w:val="73"/>
              <w:ind w:firstLine="0" w:firstLineChars="0"/>
              <w:rPr>
                <w:rFonts w:hint="default" w:ascii="Times New Roman" w:hAnsi="Times New Roman" w:cs="Times New Roman"/>
                <w:color w:val="auto"/>
                <w:u w:val="none"/>
                <w:lang w:val="en-US"/>
              </w:rPr>
            </w:pPr>
            <w:r>
              <w:rPr>
                <w:rFonts w:hint="eastAsia" w:ascii="Times New Roman" w:hAnsi="Times New Roman" w:cs="Times New Roman"/>
                <w:color w:val="auto"/>
                <w:u w:val="none"/>
                <w:lang w:val="en-US" w:eastAsia="zh-CN"/>
              </w:rPr>
              <w:t>1100</w:t>
            </w:r>
          </w:p>
        </w:tc>
        <w:tc>
          <w:tcPr>
            <w:tcW w:w="729" w:type="pct"/>
            <w:noWrap w:val="0"/>
            <w:vAlign w:val="center"/>
          </w:tcPr>
          <w:p>
            <w:pPr>
              <w:pStyle w:val="73"/>
              <w:ind w:firstLine="0" w:firstLineChars="0"/>
              <w:rPr>
                <w:rFonts w:hint="default" w:ascii="Times New Roman" w:hAnsi="Times New Roman" w:cs="Times New Roman"/>
                <w:color w:val="auto"/>
                <w:u w:val="none"/>
              </w:rPr>
            </w:pPr>
            <w:r>
              <w:rPr>
                <w:rFonts w:hint="eastAsia" w:ascii="Times New Roman" w:hAnsi="Times New Roman" w:cs="Times New Roman"/>
                <w:color w:val="auto"/>
                <w:u w:val="none"/>
                <w:lang w:eastAsia="zh-CN"/>
              </w:rPr>
              <w:t>无</w:t>
            </w:r>
          </w:p>
        </w:tc>
        <w:tc>
          <w:tcPr>
            <w:tcW w:w="616" w:type="pct"/>
            <w:noWrap w:val="0"/>
            <w:vAlign w:val="center"/>
          </w:tcPr>
          <w:p>
            <w:pPr>
              <w:pStyle w:val="73"/>
              <w:rPr>
                <w:rFonts w:hint="default" w:ascii="Times New Roman" w:hAnsi="Times New Roman" w:cs="Times New Roman"/>
                <w:color w:val="auto"/>
                <w:u w:val="none"/>
              </w:rPr>
            </w:pPr>
            <w:r>
              <w:rPr>
                <w:rFonts w:hint="default" w:ascii="Times New Roman" w:hAnsi="Times New Roman" w:cs="Times New Roman"/>
                <w:color w:val="auto"/>
                <w:u w:val="none"/>
              </w:rPr>
              <w:t>居住</w:t>
            </w:r>
          </w:p>
        </w:tc>
        <w:tc>
          <w:tcPr>
            <w:tcW w:w="990" w:type="pct"/>
            <w:noWrap w:val="0"/>
            <w:vAlign w:val="center"/>
          </w:tcPr>
          <w:p>
            <w:pPr>
              <w:pStyle w:val="73"/>
              <w:ind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约</w:t>
            </w:r>
            <w:r>
              <w:rPr>
                <w:rFonts w:hint="eastAsia" w:ascii="Times New Roman" w:hAnsi="Times New Roman" w:cs="Times New Roman"/>
                <w:color w:val="auto"/>
                <w:u w:val="none"/>
                <w:lang w:val="en-US" w:eastAsia="zh-CN"/>
              </w:rPr>
              <w:t>137210</w:t>
            </w:r>
            <w:r>
              <w:rPr>
                <w:rFonts w:hint="default" w:ascii="Times New Roman" w:hAnsi="Times New Roman" w:cs="Times New Roman"/>
                <w:color w:val="auto"/>
                <w:u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kern w:val="0"/>
                <w:sz w:val="21"/>
                <w:szCs w:val="21"/>
                <w:u w:val="none"/>
                <w:lang w:val="en-US" w:eastAsia="zh-CN" w:bidi="ar-SA"/>
              </w:rPr>
            </w:pPr>
            <w:r>
              <w:rPr>
                <w:rFonts w:hint="default" w:ascii="Times New Roman" w:hAnsi="Times New Roman" w:cs="Times New Roman"/>
                <w:color w:val="auto"/>
                <w:u w:val="none"/>
                <w:lang w:val="en-US" w:eastAsia="zh-CN"/>
              </w:rPr>
              <w:t>湖南不二门国家级森林公园</w:t>
            </w:r>
          </w:p>
        </w:tc>
        <w:tc>
          <w:tcPr>
            <w:tcW w:w="2850" w:type="pct"/>
            <w:gridSpan w:val="4"/>
            <w:noWrap w:val="0"/>
            <w:vAlign w:val="center"/>
          </w:tcPr>
          <w:p>
            <w:pPr>
              <w:pStyle w:val="73"/>
              <w:ind w:firstLine="0" w:firstLineChars="0"/>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cs="Times New Roman"/>
                <w:color w:val="auto"/>
                <w:u w:val="none"/>
                <w:lang w:eastAsia="zh-CN"/>
              </w:rPr>
              <w:t>本项目排水管约</w:t>
            </w:r>
            <w:r>
              <w:rPr>
                <w:rFonts w:hint="eastAsia" w:ascii="Times New Roman" w:hAnsi="Times New Roman" w:cs="Times New Roman"/>
                <w:color w:val="auto"/>
                <w:u w:val="none"/>
                <w:lang w:val="en-US" w:eastAsia="zh-CN"/>
              </w:rPr>
              <w:t>300m位于</w:t>
            </w:r>
            <w:r>
              <w:rPr>
                <w:rFonts w:hint="default" w:ascii="Times New Roman" w:hAnsi="Times New Roman" w:cs="Times New Roman"/>
                <w:color w:val="auto"/>
                <w:u w:val="none"/>
                <w:lang w:val="en-US" w:eastAsia="zh-CN"/>
              </w:rPr>
              <w:t>湖南不二门国家级森林公园官河保育区</w:t>
            </w:r>
          </w:p>
        </w:tc>
        <w:tc>
          <w:tcPr>
            <w:tcW w:w="990" w:type="pct"/>
            <w:noWrap w:val="0"/>
            <w:vAlign w:val="center"/>
          </w:tcPr>
          <w:p>
            <w:pPr>
              <w:pStyle w:val="73"/>
              <w:ind w:firstLine="0" w:firstLineChars="0"/>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cs="Times New Roman"/>
                <w:color w:val="auto"/>
                <w:u w:val="none"/>
                <w:lang w:eastAsia="zh-CN"/>
              </w:rPr>
              <w:t>国家级森林公园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kern w:val="0"/>
                <w:sz w:val="21"/>
                <w:szCs w:val="21"/>
                <w:u w:val="none"/>
                <w:lang w:val="en-US" w:eastAsia="zh-CN" w:bidi="ar-SA"/>
              </w:rPr>
            </w:pPr>
            <w:r>
              <w:rPr>
                <w:rFonts w:hint="default" w:ascii="Times New Roman" w:hAnsi="Times New Roman" w:cs="Times New Roman"/>
                <w:color w:val="auto"/>
                <w:u w:val="none"/>
                <w:lang w:val="en-US" w:eastAsia="zh-CN"/>
              </w:rPr>
              <w:t>湖南永顺猛洞河地质公园</w:t>
            </w:r>
          </w:p>
        </w:tc>
        <w:tc>
          <w:tcPr>
            <w:tcW w:w="2850" w:type="pct"/>
            <w:gridSpan w:val="4"/>
            <w:noWrap w:val="0"/>
            <w:vAlign w:val="center"/>
          </w:tcPr>
          <w:p>
            <w:pPr>
              <w:pStyle w:val="73"/>
              <w:ind w:firstLine="0" w:firstLineChars="0"/>
              <w:rPr>
                <w:rFonts w:hint="default" w:ascii="Times New Roman" w:hAnsi="Times New Roman" w:cs="Times New Roman"/>
                <w:color w:val="auto"/>
                <w:kern w:val="0"/>
                <w:sz w:val="21"/>
                <w:szCs w:val="21"/>
                <w:u w:val="none"/>
                <w:lang w:val="en-US" w:eastAsia="zh-CN" w:bidi="ar-SA"/>
              </w:rPr>
            </w:pPr>
            <w:r>
              <w:rPr>
                <w:rFonts w:hint="eastAsia" w:ascii="Times New Roman" w:hAnsi="Times New Roman" w:cs="Times New Roman"/>
                <w:color w:val="auto"/>
                <w:u w:val="none"/>
                <w:lang w:eastAsia="zh-CN"/>
              </w:rPr>
              <w:t>本项目排水管约</w:t>
            </w:r>
            <w:r>
              <w:rPr>
                <w:rFonts w:hint="eastAsia" w:ascii="Times New Roman" w:hAnsi="Times New Roman" w:cs="Times New Roman"/>
                <w:color w:val="auto"/>
                <w:u w:val="none"/>
                <w:lang w:val="en-US" w:eastAsia="zh-CN"/>
              </w:rPr>
              <w:t>560m位于湖南永顺猛洞河地质公园地质遗迹三级保护区</w:t>
            </w:r>
          </w:p>
        </w:tc>
        <w:tc>
          <w:tcPr>
            <w:tcW w:w="990" w:type="pct"/>
            <w:noWrap w:val="0"/>
            <w:vAlign w:val="center"/>
          </w:tcPr>
          <w:p>
            <w:pPr>
              <w:pStyle w:val="73"/>
              <w:ind w:firstLine="0" w:firstLineChars="0"/>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cs="Times New Roman"/>
                <w:color w:val="auto"/>
                <w:u w:val="none"/>
                <w:lang w:eastAsia="zh-CN"/>
              </w:rPr>
              <w:t>省级地质公园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58" w:type="pct"/>
            <w:noWrap w:val="0"/>
            <w:vAlign w:val="center"/>
          </w:tcPr>
          <w:p>
            <w:pPr>
              <w:pStyle w:val="73"/>
              <w:ind w:firstLine="0" w:firstLineChars="0"/>
              <w:rPr>
                <w:rFonts w:hint="default" w:ascii="Times New Roman" w:hAnsi="Times New Roman" w:cs="Times New Roman"/>
                <w:color w:val="auto"/>
                <w:kern w:val="0"/>
                <w:sz w:val="21"/>
                <w:szCs w:val="21"/>
                <w:u w:val="none"/>
                <w:lang w:val="en-US" w:eastAsia="zh-CN" w:bidi="ar-SA"/>
              </w:rPr>
            </w:pPr>
            <w:r>
              <w:rPr>
                <w:rFonts w:hint="default" w:ascii="Times New Roman" w:hAnsi="Times New Roman" w:cs="Times New Roman"/>
                <w:color w:val="auto"/>
                <w:u w:val="none"/>
              </w:rPr>
              <w:t>猛洞河国家级风景名胜区</w:t>
            </w:r>
          </w:p>
        </w:tc>
        <w:tc>
          <w:tcPr>
            <w:tcW w:w="2850" w:type="pct"/>
            <w:gridSpan w:val="4"/>
            <w:noWrap w:val="0"/>
            <w:vAlign w:val="center"/>
          </w:tcPr>
          <w:p>
            <w:pPr>
              <w:pStyle w:val="73"/>
              <w:ind w:firstLine="0" w:firstLineChars="0"/>
              <w:rPr>
                <w:rFonts w:hint="default" w:ascii="Times New Roman" w:hAnsi="Times New Roman" w:cs="Times New Roman"/>
                <w:color w:val="auto"/>
                <w:kern w:val="0"/>
                <w:sz w:val="21"/>
                <w:szCs w:val="21"/>
                <w:u w:val="none"/>
                <w:lang w:val="en-US" w:eastAsia="zh-CN" w:bidi="ar-SA"/>
              </w:rPr>
            </w:pPr>
            <w:r>
              <w:rPr>
                <w:rFonts w:hint="eastAsia" w:ascii="Times New Roman" w:hAnsi="Times New Roman" w:cs="Times New Roman"/>
                <w:color w:val="auto"/>
                <w:u w:val="none"/>
                <w:lang w:eastAsia="zh-CN"/>
              </w:rPr>
              <w:t>本项目排水管约</w:t>
            </w:r>
            <w:r>
              <w:rPr>
                <w:rFonts w:hint="eastAsia" w:ascii="Times New Roman" w:hAnsi="Times New Roman" w:cs="Times New Roman"/>
                <w:color w:val="auto"/>
                <w:u w:val="none"/>
                <w:lang w:val="en-US" w:eastAsia="zh-CN"/>
              </w:rPr>
              <w:t>150m位于猛洞河国家级风景名胜区外围保护区</w:t>
            </w:r>
          </w:p>
        </w:tc>
        <w:tc>
          <w:tcPr>
            <w:tcW w:w="990" w:type="pct"/>
            <w:noWrap w:val="0"/>
            <w:vAlign w:val="center"/>
          </w:tcPr>
          <w:p>
            <w:pPr>
              <w:pStyle w:val="73"/>
              <w:ind w:firstLine="0" w:firstLineChars="0"/>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cs="Times New Roman"/>
                <w:color w:val="auto"/>
                <w:u w:val="none"/>
                <w:lang w:eastAsia="zh-CN"/>
              </w:rPr>
              <w:t>国家级风景名胜区</w:t>
            </w:r>
          </w:p>
        </w:tc>
      </w:tr>
    </w:tbl>
    <w:p>
      <w:pPr>
        <w:pStyle w:val="6"/>
        <w:bidi w:val="0"/>
        <w:rPr>
          <w:rFonts w:hint="eastAsia"/>
        </w:rPr>
      </w:pPr>
      <w:r>
        <w:rPr>
          <w:rFonts w:hint="eastAsia"/>
        </w:rPr>
        <w:t>4.4</w:t>
      </w:r>
      <w:r>
        <w:t>.3</w:t>
      </w:r>
      <w:r>
        <w:rPr>
          <w:rFonts w:hint="eastAsia"/>
        </w:rPr>
        <w:t>风险识别</w:t>
      </w:r>
    </w:p>
    <w:p>
      <w:pPr>
        <w:pStyle w:val="69"/>
        <w:rPr>
          <w:color w:val="auto"/>
          <w:u w:val="none"/>
        </w:rPr>
      </w:pPr>
      <w:r>
        <w:rPr>
          <w:rFonts w:hint="eastAsia"/>
          <w:color w:val="auto"/>
          <w:u w:val="none"/>
        </w:rPr>
        <w:t>4.4</w:t>
      </w:r>
      <w:r>
        <w:rPr>
          <w:color w:val="auto"/>
          <w:u w:val="none"/>
        </w:rPr>
        <w:t>.3.1物质危险性识别</w:t>
      </w:r>
    </w:p>
    <w:p>
      <w:pPr>
        <w:ind w:firstLine="480"/>
        <w:jc w:val="both"/>
        <w:rPr>
          <w:rFonts w:hint="eastAsia"/>
          <w:color w:val="auto"/>
          <w:kern w:val="0"/>
          <w:u w:val="none"/>
        </w:rPr>
      </w:pPr>
      <w:r>
        <w:rPr>
          <w:rFonts w:hint="eastAsia"/>
          <w:color w:val="auto"/>
          <w:kern w:val="0"/>
          <w:u w:val="none"/>
        </w:rPr>
        <w:t>（1）本项目存在的主要危险、有害的物质</w:t>
      </w:r>
    </w:p>
    <w:p>
      <w:pPr>
        <w:ind w:firstLine="480"/>
        <w:jc w:val="both"/>
        <w:rPr>
          <w:rFonts w:hint="eastAsia"/>
          <w:color w:val="auto"/>
          <w:kern w:val="0"/>
          <w:u w:val="none"/>
        </w:rPr>
      </w:pPr>
      <w:r>
        <w:rPr>
          <w:color w:val="auto"/>
          <w:kern w:val="0"/>
          <w:u w:val="none"/>
        </w:rPr>
        <w:t>根据《建设项目环境风险评价技术导则》和《危险化学品重大危险源辨识》</w:t>
      </w:r>
      <w:r>
        <w:rPr>
          <w:rFonts w:hint="eastAsia"/>
          <w:color w:val="auto"/>
          <w:kern w:val="0"/>
          <w:u w:val="none"/>
        </w:rPr>
        <w:t>（GB18218-2009）</w:t>
      </w:r>
      <w:r>
        <w:rPr>
          <w:color w:val="auto"/>
          <w:kern w:val="0"/>
          <w:u w:val="none"/>
        </w:rPr>
        <w:t>判别标准，本项目使用的</w:t>
      </w:r>
      <w:r>
        <w:rPr>
          <w:rFonts w:hint="eastAsia"/>
          <w:color w:val="auto"/>
          <w:kern w:val="0"/>
          <w:u w:val="none"/>
        </w:rPr>
        <w:t>PAM、P</w:t>
      </w:r>
      <w:r>
        <w:rPr>
          <w:color w:val="auto"/>
          <w:kern w:val="0"/>
          <w:u w:val="none"/>
        </w:rPr>
        <w:t>AC</w:t>
      </w:r>
      <w:r>
        <w:rPr>
          <w:rFonts w:hint="eastAsia"/>
          <w:color w:val="auto"/>
          <w:kern w:val="0"/>
          <w:u w:val="none"/>
        </w:rPr>
        <w:t>等均</w:t>
      </w:r>
      <w:r>
        <w:rPr>
          <w:color w:val="auto"/>
          <w:kern w:val="0"/>
          <w:u w:val="none"/>
        </w:rPr>
        <w:t>不在附录A1中，均不构成重大危险源。</w:t>
      </w:r>
    </w:p>
    <w:p>
      <w:pPr>
        <w:pStyle w:val="69"/>
        <w:jc w:val="both"/>
        <w:rPr>
          <w:rFonts w:hint="eastAsia"/>
          <w:color w:val="auto"/>
          <w:u w:val="none"/>
        </w:rPr>
      </w:pPr>
      <w:r>
        <w:rPr>
          <w:rFonts w:hint="eastAsia"/>
          <w:color w:val="auto"/>
          <w:u w:val="none"/>
        </w:rPr>
        <w:t>4.4</w:t>
      </w:r>
      <w:r>
        <w:rPr>
          <w:color w:val="auto"/>
          <w:u w:val="none"/>
        </w:rPr>
        <w:t>.3</w:t>
      </w:r>
      <w:r>
        <w:rPr>
          <w:rFonts w:hint="eastAsia"/>
          <w:color w:val="auto"/>
          <w:u w:val="none"/>
        </w:rPr>
        <w:t>.2</w:t>
      </w:r>
      <w:r>
        <w:rPr>
          <w:color w:val="auto"/>
          <w:u w:val="none"/>
        </w:rPr>
        <w:t>污水处理设备风险性识别</w:t>
      </w:r>
    </w:p>
    <w:p>
      <w:pPr>
        <w:ind w:firstLine="480"/>
        <w:jc w:val="both"/>
        <w:rPr>
          <w:rFonts w:hint="eastAsia"/>
          <w:color w:val="auto"/>
          <w:kern w:val="0"/>
          <w:u w:val="none"/>
        </w:rPr>
      </w:pPr>
      <w:r>
        <w:rPr>
          <w:color w:val="auto"/>
          <w:kern w:val="0"/>
          <w:u w:val="none"/>
        </w:rPr>
        <w:t>结合污水处理工程的的运行经验，本项目污水处理设备可能存在的风险主要有：</w:t>
      </w:r>
    </w:p>
    <w:p>
      <w:pPr>
        <w:ind w:firstLine="480"/>
        <w:jc w:val="both"/>
        <w:rPr>
          <w:color w:val="auto"/>
          <w:kern w:val="0"/>
          <w:u w:val="none"/>
        </w:rPr>
      </w:pPr>
      <w:r>
        <w:rPr>
          <w:color w:val="auto"/>
          <w:kern w:val="0"/>
          <w:u w:val="none"/>
        </w:rPr>
        <w:t>（1）进出厂水质、水量发生变化，造成出水水质超标。</w:t>
      </w:r>
    </w:p>
    <w:p>
      <w:pPr>
        <w:ind w:firstLine="480"/>
        <w:jc w:val="both"/>
        <w:rPr>
          <w:rFonts w:hint="eastAsia"/>
          <w:color w:val="auto"/>
          <w:kern w:val="0"/>
          <w:u w:val="none"/>
        </w:rPr>
      </w:pPr>
      <w:r>
        <w:rPr>
          <w:color w:val="auto"/>
          <w:kern w:val="0"/>
          <w:u w:val="none"/>
        </w:rPr>
        <w:t>（2）污水处理厂一旦出现机械故障或停电，处理装置运转不正常而导致出水超标。</w:t>
      </w:r>
    </w:p>
    <w:p>
      <w:pPr>
        <w:ind w:firstLine="480"/>
        <w:jc w:val="both"/>
        <w:rPr>
          <w:color w:val="auto"/>
          <w:kern w:val="0"/>
          <w:u w:val="none"/>
        </w:rPr>
      </w:pPr>
      <w:r>
        <w:rPr>
          <w:color w:val="auto"/>
          <w:kern w:val="0"/>
          <w:u w:val="none"/>
        </w:rPr>
        <w:t>（3）污水管网破裂损坏导致污水直接排放。</w:t>
      </w:r>
    </w:p>
    <w:p>
      <w:pPr>
        <w:ind w:firstLine="480"/>
        <w:jc w:val="both"/>
        <w:rPr>
          <w:color w:val="auto"/>
          <w:kern w:val="0"/>
          <w:u w:val="none"/>
        </w:rPr>
      </w:pPr>
      <w:r>
        <w:rPr>
          <w:color w:val="auto"/>
          <w:kern w:val="0"/>
          <w:u w:val="none"/>
        </w:rPr>
        <w:t>（4）污泥膨胀会严重影响污水处理设施的处理效果，甚至完全失效。</w:t>
      </w:r>
    </w:p>
    <w:p>
      <w:pPr>
        <w:ind w:firstLine="480"/>
        <w:jc w:val="both"/>
        <w:rPr>
          <w:rFonts w:hint="eastAsia"/>
          <w:color w:val="auto"/>
          <w:kern w:val="0"/>
          <w:u w:val="none"/>
        </w:rPr>
      </w:pPr>
      <w:r>
        <w:rPr>
          <w:color w:val="auto"/>
          <w:kern w:val="0"/>
          <w:u w:val="none"/>
        </w:rPr>
        <w:t>（5）管道、集水井和污泥处理系统维修风险。</w:t>
      </w:r>
    </w:p>
    <w:p>
      <w:pPr>
        <w:pStyle w:val="6"/>
        <w:bidi w:val="0"/>
        <w:rPr>
          <w:rFonts w:hint="eastAsia"/>
          <w:u w:val="single"/>
        </w:rPr>
      </w:pPr>
      <w:r>
        <w:rPr>
          <w:rFonts w:hint="eastAsia"/>
          <w:u w:val="single"/>
        </w:rPr>
        <w:t>4.4</w:t>
      </w:r>
      <w:r>
        <w:rPr>
          <w:u w:val="single"/>
        </w:rPr>
        <w:t>.4</w:t>
      </w:r>
      <w:r>
        <w:rPr>
          <w:rFonts w:hint="eastAsia"/>
          <w:u w:val="single"/>
        </w:rPr>
        <w:t>环境风险分析</w:t>
      </w:r>
    </w:p>
    <w:p>
      <w:pPr>
        <w:pStyle w:val="69"/>
        <w:rPr>
          <w:color w:val="auto"/>
          <w:u w:val="single"/>
        </w:rPr>
      </w:pPr>
      <w:r>
        <w:rPr>
          <w:rFonts w:hint="eastAsia"/>
          <w:color w:val="auto"/>
          <w:u w:val="single"/>
        </w:rPr>
        <w:t>4.4</w:t>
      </w:r>
      <w:r>
        <w:rPr>
          <w:color w:val="auto"/>
          <w:u w:val="single"/>
        </w:rPr>
        <w:t>.4</w:t>
      </w:r>
      <w:r>
        <w:rPr>
          <w:rFonts w:hint="eastAsia"/>
          <w:color w:val="auto"/>
          <w:u w:val="single"/>
        </w:rPr>
        <w:t>.1</w:t>
      </w:r>
      <w:r>
        <w:rPr>
          <w:color w:val="auto"/>
          <w:u w:val="single"/>
        </w:rPr>
        <w:t>污水管网系统风险分析</w:t>
      </w:r>
    </w:p>
    <w:p>
      <w:pPr>
        <w:ind w:firstLine="480"/>
        <w:rPr>
          <w:color w:val="auto"/>
          <w:kern w:val="0"/>
          <w:u w:val="single"/>
        </w:rPr>
      </w:pPr>
      <w:r>
        <w:rPr>
          <w:color w:val="auto"/>
          <w:kern w:val="0"/>
          <w:u w:val="single"/>
        </w:rPr>
        <w:t>污水管网破裂损坏导致污水直接排放，其原因可能是人为的损坏，也可能是自然不可抗拒的外力影响，如地震、特大暴雨等自然灾害的影响，造成污水外溢直接污染河流。</w:t>
      </w:r>
    </w:p>
    <w:p>
      <w:pPr>
        <w:ind w:firstLine="480"/>
        <w:rPr>
          <w:color w:val="auto"/>
          <w:kern w:val="0"/>
          <w:u w:val="single"/>
        </w:rPr>
      </w:pPr>
      <w:r>
        <w:rPr>
          <w:color w:val="auto"/>
          <w:kern w:val="0"/>
          <w:u w:val="single"/>
        </w:rPr>
        <w:t>本工程区域地震基本烈度小于6度，厂区内的建（构）筑地震基本烈度按6度设防，自然因素对污水处理厂的影响较小。</w:t>
      </w:r>
    </w:p>
    <w:p>
      <w:pPr>
        <w:pStyle w:val="69"/>
        <w:rPr>
          <w:color w:val="auto"/>
          <w:u w:val="single"/>
        </w:rPr>
      </w:pPr>
      <w:r>
        <w:rPr>
          <w:rFonts w:hint="eastAsia"/>
          <w:color w:val="auto"/>
          <w:u w:val="single"/>
        </w:rPr>
        <w:t>4.4.</w:t>
      </w:r>
      <w:r>
        <w:rPr>
          <w:color w:val="auto"/>
          <w:u w:val="single"/>
        </w:rPr>
        <w:t>4</w:t>
      </w:r>
      <w:r>
        <w:rPr>
          <w:rFonts w:hint="eastAsia"/>
          <w:color w:val="auto"/>
          <w:u w:val="single"/>
        </w:rPr>
        <w:t>.2</w:t>
      </w:r>
      <w:r>
        <w:rPr>
          <w:color w:val="auto"/>
          <w:u w:val="single"/>
        </w:rPr>
        <w:t>污水处理厂风险分析</w:t>
      </w:r>
    </w:p>
    <w:p>
      <w:pPr>
        <w:ind w:firstLine="480"/>
        <w:rPr>
          <w:color w:val="auto"/>
          <w:kern w:val="0"/>
          <w:u w:val="single"/>
        </w:rPr>
      </w:pPr>
      <w:r>
        <w:rPr>
          <w:color w:val="auto"/>
          <w:kern w:val="0"/>
          <w:u w:val="single"/>
        </w:rPr>
        <w:t>（1）电力及机械故障</w:t>
      </w:r>
    </w:p>
    <w:p>
      <w:pPr>
        <w:ind w:firstLine="480"/>
        <w:rPr>
          <w:color w:val="auto"/>
          <w:kern w:val="0"/>
          <w:u w:val="single"/>
        </w:rPr>
      </w:pPr>
      <w:r>
        <w:rPr>
          <w:color w:val="auto"/>
          <w:kern w:val="0"/>
          <w:u w:val="single"/>
        </w:rPr>
        <w:t>污水处理厂单套处理设备一旦出现机械故障或停电，会直接影响污水处埋厂的正常运行，尤其是遇到机械故障或长时间停电不运转会造成生物反应池内微生物大批死亡，而微生物培养需很长一段时间，这段时间污水只能从厂区进水井直接溢流排入</w:t>
      </w:r>
      <w:r>
        <w:rPr>
          <w:rFonts w:hint="eastAsia"/>
          <w:color w:val="auto"/>
          <w:kern w:val="0"/>
          <w:u w:val="single"/>
          <w:lang w:eastAsia="zh-CN"/>
        </w:rPr>
        <w:t>猛洞河</w:t>
      </w:r>
      <w:r>
        <w:rPr>
          <w:color w:val="auto"/>
          <w:kern w:val="0"/>
          <w:u w:val="single"/>
        </w:rPr>
        <w:t>，使水体受到严重污染。本污水处理厂采用双路电源，设有一路备用电源，减少停电机率，并提高设备的备用率，以确保污水处理厂的正常运行；污水处理厂管理人员加强运行管埋，从而尽可能的降低这种风险。</w:t>
      </w:r>
    </w:p>
    <w:p>
      <w:pPr>
        <w:ind w:firstLine="480"/>
        <w:rPr>
          <w:color w:val="auto"/>
          <w:kern w:val="0"/>
          <w:u w:val="single"/>
        </w:rPr>
      </w:pPr>
      <w:r>
        <w:rPr>
          <w:color w:val="auto"/>
          <w:kern w:val="0"/>
          <w:u w:val="single"/>
        </w:rPr>
        <w:t>（2）污水处理厂停车检修</w:t>
      </w:r>
    </w:p>
    <w:p>
      <w:pPr>
        <w:ind w:firstLine="480"/>
        <w:rPr>
          <w:color w:val="auto"/>
          <w:kern w:val="0"/>
          <w:u w:val="single"/>
        </w:rPr>
      </w:pPr>
      <w:r>
        <w:rPr>
          <w:color w:val="auto"/>
          <w:kern w:val="0"/>
          <w:u w:val="single"/>
        </w:rPr>
        <w:t>在管道和集水井等设备或构筑物中，因平日所贮污水内含各种污染物，经微生物作用等因素产生有毒有害气体，如H</w:t>
      </w:r>
      <w:r>
        <w:rPr>
          <w:rFonts w:hint="eastAsia"/>
          <w:color w:val="auto"/>
          <w:kern w:val="0"/>
          <w:u w:val="single"/>
          <w:vertAlign w:val="subscript"/>
        </w:rPr>
        <w:t>2</w:t>
      </w:r>
      <w:r>
        <w:rPr>
          <w:color w:val="auto"/>
          <w:kern w:val="0"/>
          <w:u w:val="single"/>
        </w:rPr>
        <w:t>S等，由于通风不畅，长年积累，浓度较高，可能对维修人员产生中毒影响。</w:t>
      </w:r>
    </w:p>
    <w:p>
      <w:pPr>
        <w:ind w:firstLine="480"/>
        <w:rPr>
          <w:color w:val="auto"/>
          <w:kern w:val="0"/>
          <w:u w:val="single"/>
        </w:rPr>
      </w:pPr>
      <w:r>
        <w:rPr>
          <w:color w:val="auto"/>
          <w:kern w:val="0"/>
          <w:u w:val="single"/>
        </w:rPr>
        <w:t>（3）污泥膨胀、污泥解体</w:t>
      </w:r>
    </w:p>
    <w:p>
      <w:pPr>
        <w:ind w:firstLine="480"/>
        <w:rPr>
          <w:color w:val="auto"/>
          <w:kern w:val="0"/>
          <w:u w:val="single"/>
        </w:rPr>
      </w:pPr>
      <w:r>
        <w:rPr>
          <w:color w:val="auto"/>
          <w:kern w:val="0"/>
          <w:u w:val="single"/>
        </w:rPr>
        <w:t>正常的活性污泥沉降性能很好，含水率一般在99%左右，当活性污泥变质时，污泥就不易沉淀，含水率上升，体积膨胀，澄清液减少，这就是污泥膨胀。根据国内外活性污泥系统调查结果，无论是普通活性污泥系统，还是生物脱氮除磷系统都会发污泥膨胀，污泥膨胀是自活性污泥法问世以来在运行管理上一直困扰人们的难题之一。污泥膨胀一般是由丝状菌和真菌引起的，其中由丝状菌过量繁殖引起的污泥膨胀最为常见。目前已知的近30种丝状菌中，与污泥膨胀问题密切相关的有十几种。有的丝状菌引起的污泥膨胀发展迅速，2～4d就可达到非常严重的结果，而且非常持久。当发生污泥膨胀时，会严重影响污水处理设施的处理效果，甚至完全失效。</w:t>
      </w:r>
    </w:p>
    <w:p>
      <w:pPr>
        <w:pStyle w:val="69"/>
        <w:rPr>
          <w:color w:val="auto"/>
          <w:u w:val="single"/>
        </w:rPr>
      </w:pPr>
      <w:r>
        <w:rPr>
          <w:rFonts w:hint="eastAsia"/>
          <w:color w:val="auto"/>
          <w:u w:val="single"/>
        </w:rPr>
        <w:t>4.4.</w:t>
      </w:r>
      <w:r>
        <w:rPr>
          <w:color w:val="auto"/>
          <w:u w:val="single"/>
        </w:rPr>
        <w:t>4.4恶臭处理设施运行不正常风险分析</w:t>
      </w:r>
    </w:p>
    <w:p>
      <w:pPr>
        <w:ind w:firstLine="480"/>
        <w:rPr>
          <w:rFonts w:hint="eastAsia"/>
          <w:color w:val="auto"/>
          <w:kern w:val="0"/>
          <w:u w:val="single"/>
        </w:rPr>
      </w:pPr>
      <w:r>
        <w:rPr>
          <w:color w:val="auto"/>
          <w:kern w:val="0"/>
          <w:u w:val="single"/>
        </w:rPr>
        <w:t>建设项目恶臭污染物经抽风机后，通过除臭装置处理后排放，如果</w:t>
      </w:r>
      <w:r>
        <w:rPr>
          <w:rFonts w:hint="eastAsia"/>
          <w:color w:val="auto"/>
          <w:kern w:val="0"/>
          <w:u w:val="single"/>
          <w:lang w:eastAsia="zh-CN"/>
        </w:rPr>
        <w:t>处理</w:t>
      </w:r>
      <w:r>
        <w:rPr>
          <w:color w:val="auto"/>
          <w:kern w:val="0"/>
          <w:u w:val="single"/>
        </w:rPr>
        <w:t>装置运行不正常，易造成恶臭污染物的局部污染。</w:t>
      </w:r>
    </w:p>
    <w:p>
      <w:pPr>
        <w:pStyle w:val="6"/>
        <w:bidi w:val="0"/>
        <w:rPr>
          <w:rFonts w:hint="eastAsia"/>
          <w:u w:val="single"/>
        </w:rPr>
      </w:pPr>
      <w:r>
        <w:rPr>
          <w:rFonts w:hint="eastAsia"/>
          <w:u w:val="single"/>
        </w:rPr>
        <w:t>4.4.5风险防范措施及应急要求</w:t>
      </w:r>
    </w:p>
    <w:p>
      <w:pPr>
        <w:pStyle w:val="69"/>
        <w:rPr>
          <w:rFonts w:hint="eastAsia"/>
          <w:color w:val="auto"/>
          <w:u w:val="single"/>
        </w:rPr>
      </w:pPr>
      <w:r>
        <w:rPr>
          <w:rFonts w:hint="eastAsia"/>
          <w:color w:val="auto"/>
          <w:u w:val="single"/>
        </w:rPr>
        <w:t>4.4.5.1</w:t>
      </w:r>
      <w:r>
        <w:rPr>
          <w:color w:val="auto"/>
          <w:u w:val="single"/>
        </w:rPr>
        <w:t>对化学药品的风险事故管理</w:t>
      </w:r>
    </w:p>
    <w:p>
      <w:pPr>
        <w:ind w:firstLine="480"/>
        <w:rPr>
          <w:rFonts w:hint="eastAsia"/>
          <w:color w:val="auto"/>
          <w:kern w:val="0"/>
          <w:u w:val="single"/>
        </w:rPr>
      </w:pPr>
      <w:r>
        <w:rPr>
          <w:color w:val="auto"/>
          <w:kern w:val="0"/>
          <w:u w:val="single"/>
        </w:rPr>
        <w:t>应严格执行国家《危险化学品安全管理条例》（第344号令）的规定。根据国家有关规定，化学性质相互抵触的化学危险品不能存放在同一房间内。</w:t>
      </w:r>
      <w:r>
        <w:rPr>
          <w:rFonts w:hint="eastAsia"/>
          <w:color w:val="auto"/>
          <w:kern w:val="0"/>
          <w:u w:val="single"/>
          <w:lang w:eastAsia="zh-CN"/>
        </w:rPr>
        <w:t>虽然</w:t>
      </w:r>
      <w:r>
        <w:rPr>
          <w:rFonts w:hint="eastAsia"/>
          <w:color w:val="auto"/>
          <w:kern w:val="0"/>
          <w:u w:val="single"/>
          <w:lang w:val="en-US" w:eastAsia="zh-CN"/>
        </w:rPr>
        <w:t>PAC与PAM相互不抵触，但为了防治化学品混合影响药效，</w:t>
      </w:r>
      <w:r>
        <w:rPr>
          <w:color w:val="auto"/>
          <w:kern w:val="0"/>
          <w:u w:val="single"/>
        </w:rPr>
        <w:t>所以</w:t>
      </w:r>
      <w:r>
        <w:rPr>
          <w:rFonts w:hint="eastAsia"/>
          <w:color w:val="auto"/>
          <w:kern w:val="0"/>
          <w:u w:val="single"/>
          <w:lang w:eastAsia="zh-CN"/>
        </w:rPr>
        <w:t>化学品应该使用单独的容器储存，储存间</w:t>
      </w:r>
      <w:r>
        <w:rPr>
          <w:color w:val="auto"/>
          <w:kern w:val="0"/>
          <w:u w:val="single"/>
        </w:rPr>
        <w:t>必须有良好通风，以防造成事故隐患。</w:t>
      </w:r>
    </w:p>
    <w:p>
      <w:pPr>
        <w:ind w:firstLine="480"/>
        <w:rPr>
          <w:rFonts w:hint="eastAsia"/>
          <w:color w:val="auto"/>
          <w:kern w:val="0"/>
          <w:u w:val="single"/>
        </w:rPr>
      </w:pPr>
      <w:r>
        <w:rPr>
          <w:color w:val="auto"/>
          <w:kern w:val="0"/>
          <w:u w:val="single"/>
        </w:rPr>
        <w:t>凡有毒及腐蚀性的化学物品，必须建立严格的发放贮存制度，要有专人管理，贮存量有一定限度。在使用</w:t>
      </w:r>
      <w:r>
        <w:rPr>
          <w:rFonts w:hint="eastAsia"/>
          <w:color w:val="auto"/>
          <w:kern w:val="0"/>
          <w:u w:val="single"/>
          <w:lang w:eastAsia="zh-CN"/>
        </w:rPr>
        <w:t>化学品</w:t>
      </w:r>
      <w:r>
        <w:rPr>
          <w:color w:val="auto"/>
          <w:kern w:val="0"/>
          <w:u w:val="single"/>
        </w:rPr>
        <w:t>时，为防止</w:t>
      </w:r>
      <w:r>
        <w:rPr>
          <w:rFonts w:hint="eastAsia"/>
          <w:color w:val="auto"/>
          <w:kern w:val="0"/>
          <w:u w:val="single"/>
          <w:lang w:eastAsia="zh-CN"/>
        </w:rPr>
        <w:t>损伤</w:t>
      </w:r>
      <w:r>
        <w:rPr>
          <w:color w:val="auto"/>
          <w:kern w:val="0"/>
          <w:u w:val="single"/>
        </w:rPr>
        <w:t>人体，操作时必须穿戴好防护用品，并严格按操作规程操作</w:t>
      </w:r>
      <w:r>
        <w:rPr>
          <w:rFonts w:hint="eastAsia"/>
          <w:color w:val="auto"/>
          <w:kern w:val="0"/>
          <w:u w:val="single"/>
        </w:rPr>
        <w:t>，对</w:t>
      </w:r>
      <w:r>
        <w:rPr>
          <w:rFonts w:hint="eastAsia"/>
          <w:color w:val="auto"/>
          <w:kern w:val="0"/>
          <w:u w:val="single"/>
          <w:lang w:eastAsia="zh-CN"/>
        </w:rPr>
        <w:t>相</w:t>
      </w:r>
      <w:r>
        <w:rPr>
          <w:rFonts w:hint="eastAsia"/>
          <w:color w:val="auto"/>
          <w:kern w:val="0"/>
          <w:u w:val="single"/>
        </w:rPr>
        <w:t>关工作人员进行化学药品用药培训，充分让其了解化学药品的危害性以及化学药品的重要性，杜绝化学药品泄露以及在其使用过程中危险事故的发生。</w:t>
      </w:r>
    </w:p>
    <w:p>
      <w:pPr>
        <w:pStyle w:val="69"/>
        <w:rPr>
          <w:rFonts w:hint="eastAsia"/>
          <w:color w:val="auto"/>
          <w:u w:val="single"/>
        </w:rPr>
      </w:pPr>
      <w:r>
        <w:rPr>
          <w:rFonts w:hint="eastAsia"/>
          <w:color w:val="auto"/>
          <w:u w:val="single"/>
        </w:rPr>
        <w:t>4.4.5.2</w:t>
      </w:r>
      <w:r>
        <w:rPr>
          <w:color w:val="auto"/>
          <w:u w:val="single"/>
        </w:rPr>
        <w:t>污水处理厂风险防范措施</w:t>
      </w:r>
    </w:p>
    <w:p>
      <w:pPr>
        <w:ind w:firstLine="480"/>
        <w:rPr>
          <w:rFonts w:hint="eastAsia"/>
          <w:color w:val="auto"/>
          <w:kern w:val="0"/>
          <w:u w:val="single"/>
        </w:rPr>
      </w:pPr>
      <w:r>
        <w:rPr>
          <w:color w:val="auto"/>
          <w:kern w:val="0"/>
          <w:u w:val="single"/>
        </w:rPr>
        <w:t>针对人为因素导致污水处理厂事故排放，制定污水处理厂事故排污的防治措施与对策。主要要求如下：</w:t>
      </w:r>
    </w:p>
    <w:p>
      <w:pPr>
        <w:ind w:firstLine="480"/>
        <w:rPr>
          <w:rFonts w:hint="eastAsia"/>
          <w:color w:val="auto"/>
          <w:kern w:val="0"/>
          <w:u w:val="single"/>
        </w:rPr>
      </w:pPr>
      <w:r>
        <w:rPr>
          <w:color w:val="auto"/>
          <w:kern w:val="0"/>
          <w:u w:val="single"/>
        </w:rPr>
        <w:t>（1）严格进水水质管理</w:t>
      </w:r>
      <w:r>
        <w:rPr>
          <w:rFonts w:hint="eastAsia"/>
          <w:color w:val="auto"/>
          <w:kern w:val="0"/>
          <w:u w:val="single"/>
        </w:rPr>
        <w:t>，</w:t>
      </w:r>
      <w:r>
        <w:rPr>
          <w:color w:val="auto"/>
          <w:kern w:val="0"/>
          <w:u w:val="single"/>
        </w:rPr>
        <w:t>本项目规划汇水区内各企业排水性质目前有较大的不确定性。当其排放的废水水质或水量超过本项目设计的处理能力时，将会直接影响本项目的正常运行。为尽可能降低这种风险，本污水处理厂汇水区内工业企业须出水标准应达到《</w:t>
      </w:r>
      <w:r>
        <w:rPr>
          <w:rFonts w:hint="eastAsia"/>
          <w:color w:val="auto"/>
          <w:kern w:val="0"/>
          <w:u w:val="single"/>
          <w:lang w:val="en-US" w:eastAsia="zh-CN"/>
        </w:rPr>
        <w:t>永顺县经开区</w:t>
      </w:r>
      <w:r>
        <w:rPr>
          <w:rFonts w:hint="eastAsia"/>
          <w:color w:val="auto"/>
          <w:kern w:val="0"/>
          <w:u w:val="single"/>
        </w:rPr>
        <w:t>污水处理站</w:t>
      </w:r>
      <w:r>
        <w:rPr>
          <w:rFonts w:hint="eastAsia"/>
          <w:color w:val="auto"/>
          <w:kern w:val="0"/>
          <w:u w:val="single"/>
          <w:lang w:val="en-US" w:eastAsia="zh-CN"/>
        </w:rPr>
        <w:t>建设</w:t>
      </w:r>
      <w:r>
        <w:rPr>
          <w:rFonts w:hint="eastAsia"/>
          <w:color w:val="auto"/>
          <w:kern w:val="0"/>
          <w:u w:val="single"/>
        </w:rPr>
        <w:t>项目技术方案</w:t>
      </w:r>
      <w:r>
        <w:rPr>
          <w:color w:val="auto"/>
          <w:kern w:val="0"/>
          <w:u w:val="single"/>
        </w:rPr>
        <w:t>》中的污水处理厂进水水质要求。加强对进水水质水量的监测与分析，发现超标，及时查明原因，采取应急封堵措施。</w:t>
      </w:r>
    </w:p>
    <w:p>
      <w:pPr>
        <w:ind w:firstLine="480"/>
        <w:rPr>
          <w:rFonts w:hint="eastAsia"/>
          <w:color w:val="auto"/>
          <w:kern w:val="0"/>
          <w:u w:val="single"/>
        </w:rPr>
      </w:pPr>
      <w:r>
        <w:rPr>
          <w:color w:val="auto"/>
          <w:kern w:val="0"/>
          <w:u w:val="single"/>
        </w:rPr>
        <w:t>（2）严格规范化操作污水处理厂不能达标排放的机率较小，只要加强管理完全可以防止。为此，污水处理厂要制定污水处理厂装置操作管理规程、岗位责任制、奖惩条例等规章制度，对污水处理厂实现规范化、制度化管理，操作人员必须持证上岗，严格执行操作管理规定，最大限度控制由于操作失误因素造成的废水事故性排放发生机率。</w:t>
      </w:r>
    </w:p>
    <w:p>
      <w:pPr>
        <w:pStyle w:val="3"/>
        <w:ind w:left="0" w:firstLine="480" w:firstLineChars="200"/>
        <w:rPr>
          <w:rFonts w:hint="eastAsia" w:ascii="Times New Roman" w:hAnsi="Times New Roman" w:cs="Times New Roman"/>
          <w:color w:val="auto"/>
          <w:u w:val="single"/>
          <w:lang w:eastAsia="zh-CN"/>
        </w:rPr>
      </w:pPr>
      <w:r>
        <w:rPr>
          <w:rFonts w:ascii="Times New Roman" w:hAnsi="Times New Roman" w:cs="Times New Roman"/>
          <w:color w:val="auto"/>
          <w:u w:val="single"/>
          <w:lang w:eastAsia="zh-CN"/>
        </w:rPr>
        <w:t>（3）建立必要的预备系统或设备</w:t>
      </w:r>
    </w:p>
    <w:p>
      <w:pPr>
        <w:ind w:firstLine="480"/>
        <w:rPr>
          <w:rFonts w:hint="eastAsia"/>
          <w:color w:val="auto"/>
          <w:kern w:val="0"/>
          <w:u w:val="single"/>
        </w:rPr>
      </w:pPr>
      <w:r>
        <w:rPr>
          <w:color w:val="auto"/>
          <w:kern w:val="0"/>
          <w:u w:val="single"/>
        </w:rPr>
        <w:t>A</w:t>
      </w:r>
      <w:r>
        <w:rPr>
          <w:rFonts w:hint="eastAsia"/>
          <w:color w:val="auto"/>
          <w:kern w:val="0"/>
          <w:u w:val="single"/>
        </w:rPr>
        <w:t>、</w:t>
      </w:r>
      <w:r>
        <w:rPr>
          <w:color w:val="auto"/>
          <w:kern w:val="0"/>
          <w:u w:val="single"/>
        </w:rPr>
        <w:t>污水处理厂内应设超越管线，以便在事故发生时，使污水能超越一部分或全部构筑物，进入下一级构筑物或事故应急池。</w:t>
      </w:r>
    </w:p>
    <w:p>
      <w:pPr>
        <w:ind w:firstLine="480"/>
        <w:rPr>
          <w:rFonts w:hint="eastAsia"/>
          <w:color w:val="auto"/>
          <w:kern w:val="0"/>
          <w:u w:val="single"/>
        </w:rPr>
      </w:pPr>
      <w:r>
        <w:rPr>
          <w:color w:val="auto"/>
          <w:kern w:val="0"/>
          <w:u w:val="single"/>
        </w:rPr>
        <w:t>B</w:t>
      </w:r>
      <w:r>
        <w:rPr>
          <w:rFonts w:hint="eastAsia"/>
          <w:color w:val="auto"/>
          <w:kern w:val="0"/>
          <w:u w:val="single"/>
        </w:rPr>
        <w:t>、</w:t>
      </w:r>
      <w:r>
        <w:rPr>
          <w:color w:val="auto"/>
          <w:kern w:val="0"/>
          <w:u w:val="single"/>
        </w:rPr>
        <w:t>污水处理厂主要动力设备，如水泵、污泥泵等应设1-2台备用设备，以备设备出现事故时，及时更换。</w:t>
      </w:r>
    </w:p>
    <w:p>
      <w:pPr>
        <w:ind w:firstLine="480"/>
        <w:rPr>
          <w:color w:val="auto"/>
          <w:kern w:val="0"/>
          <w:u w:val="single"/>
        </w:rPr>
      </w:pPr>
      <w:r>
        <w:rPr>
          <w:color w:val="auto"/>
          <w:kern w:val="0"/>
          <w:u w:val="single"/>
        </w:rPr>
        <w:t>C、污水处理厂应采用双电源供电，以便尽可能减少停电事故的发生。</w:t>
      </w:r>
    </w:p>
    <w:p>
      <w:pPr>
        <w:ind w:firstLine="480"/>
        <w:rPr>
          <w:color w:val="auto"/>
          <w:kern w:val="0"/>
          <w:u w:val="single"/>
        </w:rPr>
      </w:pPr>
      <w:r>
        <w:rPr>
          <w:color w:val="auto"/>
          <w:kern w:val="0"/>
          <w:u w:val="single"/>
        </w:rPr>
        <w:t>D、为了使污水能在处理构筑物之间通畅流动，必须确定各处理构筑物的高程，特别是两个以上并联运行的构筑物，应考虑到某一构筑物发生故障时，其余构筑物须负担全部流量的情况。因此高程的确定必须留有充分的余地，以防止水头不够而发生涌水现象，影响构筑物正常运行。</w:t>
      </w:r>
    </w:p>
    <w:p>
      <w:pPr>
        <w:ind w:firstLine="480"/>
        <w:rPr>
          <w:color w:val="auto"/>
          <w:kern w:val="0"/>
          <w:u w:val="single"/>
        </w:rPr>
      </w:pPr>
      <w:r>
        <w:rPr>
          <w:color w:val="auto"/>
          <w:kern w:val="0"/>
          <w:u w:val="single"/>
        </w:rPr>
        <w:t>E、污水处理厂在设计时，厂内应设雨水管，及时将雨水排入雨水处理系统，以免发生积水事故及污染环境。</w:t>
      </w:r>
    </w:p>
    <w:p>
      <w:pPr>
        <w:ind w:firstLine="480"/>
        <w:rPr>
          <w:color w:val="auto"/>
          <w:kern w:val="0"/>
          <w:u w:val="single"/>
        </w:rPr>
      </w:pPr>
      <w:r>
        <w:rPr>
          <w:color w:val="auto"/>
          <w:kern w:val="0"/>
          <w:u w:val="single"/>
        </w:rPr>
        <w:t>F、污水处理厂出水管渠高程，需不受水体洪水的顶托，并能自流通畅排水。</w:t>
      </w:r>
    </w:p>
    <w:p>
      <w:pPr>
        <w:ind w:firstLine="480"/>
        <w:rPr>
          <w:rFonts w:hint="eastAsia"/>
          <w:color w:val="auto"/>
          <w:kern w:val="0"/>
          <w:u w:val="single"/>
        </w:rPr>
      </w:pPr>
      <w:r>
        <w:rPr>
          <w:color w:val="auto"/>
          <w:kern w:val="0"/>
          <w:u w:val="single"/>
        </w:rPr>
        <w:t>（4）制定事故及时处理计划制定事故处理应急计划，建立事故处理机构，落实各部分、各岗位、各操作管理人员的责任，一旦发生事故，及时采取处理措施并通知环保、市政、水利管理部门在最短时间内排除故障。</w:t>
      </w:r>
    </w:p>
    <w:p>
      <w:pPr>
        <w:pStyle w:val="69"/>
        <w:rPr>
          <w:color w:val="auto"/>
          <w:u w:val="single"/>
        </w:rPr>
      </w:pPr>
      <w:r>
        <w:rPr>
          <w:rFonts w:hint="eastAsia"/>
          <w:color w:val="auto"/>
          <w:u w:val="single"/>
        </w:rPr>
        <w:t>4.4.5.3</w:t>
      </w:r>
      <w:r>
        <w:rPr>
          <w:color w:val="auto"/>
          <w:u w:val="single"/>
        </w:rPr>
        <w:t>格栅渣及剩余污泥非正常排放对环境影响的防护措施</w:t>
      </w:r>
    </w:p>
    <w:p>
      <w:pPr>
        <w:ind w:firstLine="480"/>
        <w:rPr>
          <w:rFonts w:hint="eastAsia"/>
          <w:color w:val="auto"/>
          <w:kern w:val="0"/>
          <w:u w:val="single"/>
        </w:rPr>
      </w:pPr>
      <w:r>
        <w:rPr>
          <w:color w:val="auto"/>
          <w:kern w:val="0"/>
          <w:u w:val="single"/>
        </w:rPr>
        <w:t>污水处理厂格栅渣及污泥经脱水处理后，应及时清运，采用专用密闭运输车辆，避免散发臭气，撒落，污染环境。污水处理厂一旦发生格栅渣及污泥非正常排放的事故，应及时进行设备维修，争取在</w:t>
      </w:r>
      <w:r>
        <w:rPr>
          <w:rFonts w:hint="eastAsia"/>
          <w:color w:val="auto"/>
          <w:kern w:val="0"/>
          <w:u w:val="single"/>
          <w:lang w:eastAsia="zh-CN"/>
        </w:rPr>
        <w:t>污泥</w:t>
      </w:r>
      <w:r>
        <w:rPr>
          <w:color w:val="auto"/>
          <w:kern w:val="0"/>
          <w:u w:val="single"/>
        </w:rPr>
        <w:t>池存放污泥的限度内修好，并及时投加药剂，，防止发生污泥发酵，减少恶臭气体排放。</w:t>
      </w:r>
    </w:p>
    <w:p>
      <w:pPr>
        <w:pStyle w:val="69"/>
        <w:rPr>
          <w:rFonts w:hint="eastAsia"/>
          <w:color w:val="auto"/>
          <w:u w:val="single"/>
        </w:rPr>
      </w:pPr>
      <w:r>
        <w:rPr>
          <w:rFonts w:hint="eastAsia"/>
          <w:color w:val="auto"/>
          <w:u w:val="single"/>
        </w:rPr>
        <w:t>4.4.5.4</w:t>
      </w:r>
      <w:r>
        <w:rPr>
          <w:color w:val="auto"/>
          <w:u w:val="single"/>
        </w:rPr>
        <w:t>污水管网系统风险防范措</w:t>
      </w:r>
    </w:p>
    <w:p>
      <w:pPr>
        <w:ind w:firstLine="480"/>
        <w:rPr>
          <w:rFonts w:hint="eastAsia"/>
          <w:color w:val="auto"/>
          <w:kern w:val="0"/>
          <w:u w:val="single"/>
        </w:rPr>
      </w:pPr>
      <w:r>
        <w:rPr>
          <w:color w:val="auto"/>
          <w:kern w:val="0"/>
          <w:u w:val="single"/>
        </w:rPr>
        <w:t>污水管网损坏</w:t>
      </w:r>
      <w:r>
        <w:rPr>
          <w:rFonts w:hint="eastAsia"/>
          <w:color w:val="auto"/>
          <w:kern w:val="0"/>
          <w:u w:val="single"/>
          <w:lang w:eastAsia="zh-CN"/>
        </w:rPr>
        <w:t>、</w:t>
      </w:r>
      <w:r>
        <w:rPr>
          <w:color w:val="auto"/>
          <w:kern w:val="0"/>
          <w:u w:val="single"/>
        </w:rPr>
        <w:t>破裂，应采取应急措施，及时关泵或有关阀门，及时向当地环保部门汇报，并通知</w:t>
      </w:r>
      <w:r>
        <w:rPr>
          <w:rFonts w:hint="eastAsia"/>
          <w:color w:val="auto"/>
          <w:kern w:val="0"/>
          <w:u w:val="single"/>
          <w:lang w:eastAsia="zh-CN"/>
        </w:rPr>
        <w:t>各企业</w:t>
      </w:r>
      <w:r>
        <w:rPr>
          <w:color w:val="auto"/>
          <w:kern w:val="0"/>
          <w:u w:val="single"/>
        </w:rPr>
        <w:t>停止或减少向污水厂排污，抢修维护，尽量能减少污水外溢量及对周围环境的影响。在管网设计时应考虑做好控制污水措施（设置污水应急控制阀门），在不利的条件下，减轻和保护污水处理厂的处理设施。</w:t>
      </w:r>
    </w:p>
    <w:p>
      <w:pPr>
        <w:pStyle w:val="69"/>
        <w:rPr>
          <w:rFonts w:hint="eastAsia"/>
          <w:color w:val="auto"/>
          <w:u w:val="single"/>
        </w:rPr>
      </w:pPr>
      <w:r>
        <w:rPr>
          <w:rFonts w:hint="eastAsia"/>
          <w:color w:val="auto"/>
          <w:u w:val="single"/>
        </w:rPr>
        <w:t>4.4.5.5</w:t>
      </w:r>
      <w:r>
        <w:rPr>
          <w:color w:val="auto"/>
          <w:u w:val="single"/>
        </w:rPr>
        <w:t>系统维修风险防范措施</w:t>
      </w:r>
    </w:p>
    <w:p>
      <w:pPr>
        <w:ind w:firstLine="480"/>
        <w:rPr>
          <w:rFonts w:hint="eastAsia"/>
          <w:color w:val="auto"/>
          <w:kern w:val="0"/>
          <w:u w:val="single"/>
        </w:rPr>
      </w:pPr>
      <w:r>
        <w:rPr>
          <w:color w:val="auto"/>
          <w:kern w:val="0"/>
          <w:u w:val="single"/>
        </w:rPr>
        <w:t>本工程在设计中对经常需要维修、自然通风条件差的构筑物、</w:t>
      </w:r>
      <w:r>
        <w:rPr>
          <w:rFonts w:hint="eastAsia"/>
          <w:color w:val="auto"/>
          <w:kern w:val="0"/>
          <w:u w:val="single"/>
          <w:lang w:eastAsia="zh-CN"/>
        </w:rPr>
        <w:t>污泥脱水间</w:t>
      </w:r>
      <w:r>
        <w:rPr>
          <w:color w:val="auto"/>
          <w:kern w:val="0"/>
          <w:u w:val="single"/>
        </w:rPr>
        <w:t>等设置通风装置，尽可能降低这种风险。污水处理厂要对工人进行安全教育，建立一套合乎操作规程的管理制度。本报告建议采取如下措施：</w:t>
      </w:r>
    </w:p>
    <w:p>
      <w:pPr>
        <w:ind w:firstLine="480"/>
        <w:rPr>
          <w:rFonts w:hint="eastAsia"/>
          <w:color w:val="auto"/>
          <w:kern w:val="0"/>
          <w:u w:val="single"/>
        </w:rPr>
      </w:pPr>
      <w:r>
        <w:rPr>
          <w:color w:val="auto"/>
          <w:kern w:val="0"/>
          <w:u w:val="single"/>
        </w:rPr>
        <w:t>（1）需要检修的工段由专人在工作场地负责，并备有必要的急救措施。</w:t>
      </w:r>
    </w:p>
    <w:p>
      <w:pPr>
        <w:ind w:firstLine="480"/>
        <w:rPr>
          <w:rFonts w:hint="eastAsia"/>
          <w:color w:val="auto"/>
          <w:kern w:val="0"/>
          <w:u w:val="single"/>
        </w:rPr>
      </w:pPr>
      <w:r>
        <w:rPr>
          <w:color w:val="auto"/>
          <w:kern w:val="0"/>
          <w:u w:val="single"/>
        </w:rPr>
        <w:t>（2）在管道和集水井等设备或构筑物中，因平日所贮污水内含各种污染物，经微生物作用等因素产生有毒气体，如H</w:t>
      </w:r>
      <w:r>
        <w:rPr>
          <w:rFonts w:hint="eastAsia"/>
          <w:color w:val="auto"/>
          <w:kern w:val="0"/>
          <w:u w:val="single"/>
          <w:vertAlign w:val="subscript"/>
        </w:rPr>
        <w:t>2</w:t>
      </w:r>
      <w:r>
        <w:rPr>
          <w:color w:val="auto"/>
          <w:kern w:val="0"/>
          <w:u w:val="single"/>
        </w:rPr>
        <w:t>S，由于通风不畅，常年积累，浓度较高，可能对维修人员产生中毒影响。因此，采取通风措施，让有害气体彻底消散使作业空间充满新鲜空气，倘若无法做到充分通风，则应该避免进入危险空间，确需进入时则必须佩带有效的防护设备。防护设备有防毒面具、送风面罩等，检测设备有气体检测仪器、检测试纸。检修戴防毒面具下井，并与地面保持通讯联系，一感不适立即返回地面。</w:t>
      </w:r>
    </w:p>
    <w:p>
      <w:pPr>
        <w:ind w:firstLine="480"/>
        <w:rPr>
          <w:rFonts w:hint="eastAsia"/>
          <w:color w:val="auto"/>
          <w:kern w:val="0"/>
          <w:u w:val="none"/>
        </w:rPr>
      </w:pPr>
      <w:r>
        <w:rPr>
          <w:color w:val="auto"/>
          <w:kern w:val="0"/>
          <w:u w:val="single"/>
        </w:rPr>
        <w:t>（3）污水处理装置</w:t>
      </w:r>
      <w:r>
        <w:rPr>
          <w:rFonts w:hint="eastAsia"/>
          <w:color w:val="auto"/>
          <w:kern w:val="0"/>
          <w:u w:val="single"/>
          <w:lang w:eastAsia="zh-CN"/>
        </w:rPr>
        <w:t>应</w:t>
      </w:r>
      <w:r>
        <w:rPr>
          <w:color w:val="auto"/>
          <w:kern w:val="0"/>
          <w:u w:val="single"/>
        </w:rPr>
        <w:t>安装自动报警装置及通风设施。污水厂应制定尾水超标排放应急预案，应包括如下内容：a、事故应急指挥机构，职责及分工；b、应急处理原则；c、事故预防措施；d、事故应急措施及注意事项</w:t>
      </w:r>
      <w:r>
        <w:rPr>
          <w:rFonts w:hint="eastAsia"/>
          <w:color w:val="auto"/>
          <w:kern w:val="0"/>
          <w:u w:val="single"/>
        </w:rPr>
        <w:t>；e、</w:t>
      </w:r>
      <w:r>
        <w:rPr>
          <w:color w:val="auto"/>
          <w:kern w:val="0"/>
          <w:u w:val="single"/>
        </w:rPr>
        <w:t>事故后的清消、恢复，重新恢复到正常运行状态。</w:t>
      </w:r>
      <w:bookmarkStart w:id="295" w:name="_bookmark48"/>
      <w:bookmarkEnd w:id="295"/>
    </w:p>
    <w:p>
      <w:pPr>
        <w:pStyle w:val="69"/>
        <w:rPr>
          <w:rFonts w:hint="eastAsia"/>
          <w:color w:val="auto"/>
          <w:u w:val="none"/>
        </w:rPr>
      </w:pPr>
      <w:r>
        <w:rPr>
          <w:rFonts w:hint="eastAsia"/>
          <w:color w:val="auto"/>
          <w:u w:val="none"/>
        </w:rPr>
        <w:t>4.4</w:t>
      </w:r>
      <w:r>
        <w:rPr>
          <w:color w:val="auto"/>
          <w:u w:val="none"/>
        </w:rPr>
        <w:t>.5.6</w:t>
      </w:r>
      <w:r>
        <w:rPr>
          <w:rFonts w:hint="eastAsia"/>
          <w:color w:val="auto"/>
          <w:u w:val="none"/>
        </w:rPr>
        <w:t>事故应急预案</w:t>
      </w:r>
    </w:p>
    <w:p>
      <w:pPr>
        <w:ind w:firstLine="480"/>
        <w:rPr>
          <w:rFonts w:hint="eastAsia"/>
          <w:color w:val="auto"/>
          <w:kern w:val="0"/>
          <w:u w:val="none"/>
        </w:rPr>
      </w:pPr>
      <w:r>
        <w:rPr>
          <w:rFonts w:hint="eastAsia"/>
          <w:color w:val="auto"/>
          <w:kern w:val="0"/>
          <w:u w:val="none"/>
        </w:rPr>
        <w:t>（1）</w:t>
      </w:r>
      <w:r>
        <w:rPr>
          <w:color w:val="auto"/>
          <w:kern w:val="0"/>
          <w:u w:val="none"/>
        </w:rPr>
        <w:t>应急预案的一般内容与管理要求</w:t>
      </w:r>
    </w:p>
    <w:p>
      <w:pPr>
        <w:ind w:firstLine="480"/>
        <w:rPr>
          <w:rFonts w:hint="eastAsia"/>
          <w:color w:val="auto"/>
          <w:kern w:val="0"/>
          <w:u w:val="none"/>
        </w:rPr>
      </w:pPr>
      <w:r>
        <w:rPr>
          <w:color w:val="auto"/>
          <w:kern w:val="0"/>
          <w:u w:val="none"/>
        </w:rPr>
        <w:t>项目应该制订详细的事故应急预案，将应急预案要点细化列入，并上报当地政府，其主要内容和要求见表</w:t>
      </w:r>
      <w:r>
        <w:rPr>
          <w:rFonts w:hint="eastAsia"/>
          <w:color w:val="auto"/>
          <w:kern w:val="0"/>
          <w:u w:val="none"/>
        </w:rPr>
        <w:t>4.4-1</w:t>
      </w:r>
      <w:r>
        <w:rPr>
          <w:color w:val="auto"/>
          <w:kern w:val="0"/>
          <w:u w:val="none"/>
        </w:rPr>
        <w:t>0。</w:t>
      </w:r>
    </w:p>
    <w:p>
      <w:pPr>
        <w:ind w:firstLine="480"/>
        <w:rPr>
          <w:rFonts w:hint="eastAsia"/>
          <w:color w:val="auto"/>
          <w:kern w:val="0"/>
          <w:u w:val="none"/>
        </w:rPr>
      </w:pPr>
      <w:r>
        <w:rPr>
          <w:rFonts w:hint="eastAsia"/>
          <w:color w:val="auto"/>
          <w:kern w:val="0"/>
          <w:u w:val="none"/>
        </w:rPr>
        <w:t>（2）应急计划</w:t>
      </w:r>
    </w:p>
    <w:p>
      <w:pPr>
        <w:ind w:firstLine="480"/>
        <w:rPr>
          <w:rFonts w:hint="eastAsia"/>
          <w:color w:val="auto"/>
          <w:kern w:val="0"/>
          <w:u w:val="none"/>
        </w:rPr>
      </w:pPr>
      <w:r>
        <w:rPr>
          <w:rFonts w:hint="eastAsia"/>
          <w:color w:val="auto"/>
          <w:kern w:val="0"/>
          <w:u w:val="none"/>
        </w:rPr>
        <w:t>①机构与职责</w:t>
      </w:r>
    </w:p>
    <w:p>
      <w:pPr>
        <w:ind w:firstLine="480"/>
        <w:rPr>
          <w:rFonts w:hint="eastAsia"/>
          <w:color w:val="auto"/>
          <w:kern w:val="0"/>
          <w:u w:val="none"/>
        </w:rPr>
      </w:pPr>
      <w:r>
        <w:rPr>
          <w:color w:val="auto"/>
          <w:kern w:val="0"/>
          <w:u w:val="none"/>
        </w:rPr>
        <w:t>A</w:t>
      </w:r>
      <w:r>
        <w:rPr>
          <w:rFonts w:hint="eastAsia"/>
          <w:color w:val="auto"/>
          <w:kern w:val="0"/>
          <w:u w:val="none"/>
        </w:rPr>
        <w:t>、</w:t>
      </w:r>
      <w:r>
        <w:rPr>
          <w:color w:val="auto"/>
          <w:kern w:val="0"/>
          <w:u w:val="none"/>
        </w:rPr>
        <w:t>应急全领导小组和应急指挥部门：明确其负责人和组成人员，规定其指责，包括制定并实施应急计划，组建应急队伍和组织应急行动，发布和解除应急信号，通报事故情况，必要时请求支援，组织抢修抢建，分析事故原因并作出处理；</w:t>
      </w:r>
    </w:p>
    <w:p>
      <w:pPr>
        <w:ind w:firstLine="480"/>
        <w:rPr>
          <w:rFonts w:hint="eastAsia"/>
          <w:color w:val="auto"/>
          <w:kern w:val="0"/>
          <w:u w:val="none"/>
        </w:rPr>
      </w:pPr>
      <w:r>
        <w:rPr>
          <w:color w:val="auto"/>
          <w:kern w:val="0"/>
          <w:u w:val="none"/>
        </w:rPr>
        <w:t>B</w:t>
      </w:r>
      <w:r>
        <w:rPr>
          <w:rFonts w:hint="eastAsia"/>
          <w:color w:val="auto"/>
          <w:kern w:val="0"/>
          <w:u w:val="none"/>
        </w:rPr>
        <w:t>、</w:t>
      </w:r>
      <w:r>
        <w:rPr>
          <w:color w:val="auto"/>
          <w:kern w:val="0"/>
          <w:u w:val="none"/>
        </w:rPr>
        <w:t>组织应急专业队：包括消防、清污、救护等，并明确其职责。</w:t>
      </w:r>
    </w:p>
    <w:p>
      <w:pPr>
        <w:ind w:firstLine="480"/>
        <w:rPr>
          <w:rFonts w:hint="eastAsia"/>
          <w:color w:val="auto"/>
          <w:kern w:val="0"/>
          <w:u w:val="none"/>
        </w:rPr>
      </w:pPr>
      <w:r>
        <w:rPr>
          <w:rFonts w:hint="eastAsia" w:cs="宋体"/>
          <w:color w:val="auto"/>
          <w:kern w:val="0"/>
          <w:u w:val="none"/>
        </w:rPr>
        <w:t>②</w:t>
      </w:r>
      <w:r>
        <w:rPr>
          <w:color w:val="auto"/>
          <w:kern w:val="0"/>
          <w:u w:val="none"/>
        </w:rPr>
        <w:t>急报告程序和通讯联络系统</w:t>
      </w:r>
    </w:p>
    <w:p>
      <w:pPr>
        <w:ind w:firstLine="480"/>
        <w:rPr>
          <w:rFonts w:hint="eastAsia"/>
          <w:color w:val="auto"/>
          <w:kern w:val="0"/>
          <w:u w:val="none"/>
        </w:rPr>
      </w:pPr>
      <w:r>
        <w:rPr>
          <w:color w:val="auto"/>
          <w:kern w:val="0"/>
          <w:u w:val="none"/>
        </w:rPr>
        <w:t>应急报告程序，包括企业内部的报告程序和要点，外部的报告程序和要点</w:t>
      </w:r>
      <w:r>
        <w:rPr>
          <w:rFonts w:hint="eastAsia"/>
          <w:color w:val="auto"/>
          <w:kern w:val="0"/>
          <w:u w:val="none"/>
        </w:rPr>
        <w:t>。</w:t>
      </w:r>
      <w:r>
        <w:rPr>
          <w:color w:val="auto"/>
          <w:kern w:val="0"/>
          <w:u w:val="none"/>
        </w:rPr>
        <w:t>列出企业安全领导小组、应急指挥部、应急专业队负责人名单及联络方式和政府主管机关、职责部门、友好单位以及社区负责人名单及联络方式。</w:t>
      </w:r>
    </w:p>
    <w:p>
      <w:pPr>
        <w:ind w:firstLine="422"/>
        <w:jc w:val="center"/>
        <w:rPr>
          <w:rFonts w:hint="eastAsia"/>
          <w:b/>
          <w:color w:val="auto"/>
          <w:kern w:val="0"/>
          <w:sz w:val="21"/>
          <w:szCs w:val="21"/>
          <w:u w:val="none"/>
        </w:rPr>
      </w:pPr>
      <w:r>
        <w:rPr>
          <w:rFonts w:hint="eastAsia"/>
          <w:b/>
          <w:color w:val="auto"/>
          <w:kern w:val="0"/>
          <w:sz w:val="21"/>
          <w:szCs w:val="21"/>
          <w:u w:val="none"/>
        </w:rPr>
        <w:t>表4.4-</w:t>
      </w:r>
      <w:r>
        <w:rPr>
          <w:rFonts w:hint="eastAsia"/>
          <w:b/>
          <w:color w:val="auto"/>
          <w:kern w:val="0"/>
          <w:sz w:val="21"/>
          <w:szCs w:val="21"/>
          <w:u w:val="none"/>
          <w:lang w:val="en-US" w:eastAsia="zh-CN"/>
        </w:rPr>
        <w:t>5</w:t>
      </w:r>
      <w:r>
        <w:rPr>
          <w:rFonts w:hint="eastAsia"/>
          <w:b/>
          <w:color w:val="auto"/>
          <w:kern w:val="0"/>
          <w:sz w:val="21"/>
          <w:szCs w:val="21"/>
          <w:u w:val="none"/>
        </w:rPr>
        <w:t>环境事故应急预案</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552"/>
        <w:gridCol w:w="5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b/>
                <w:bCs/>
                <w:color w:val="auto"/>
                <w:u w:val="none"/>
              </w:rPr>
            </w:pPr>
            <w:r>
              <w:rPr>
                <w:rFonts w:hint="eastAsia"/>
                <w:b/>
                <w:bCs/>
                <w:color w:val="auto"/>
                <w:u w:val="none"/>
              </w:rPr>
              <w:t>序号</w:t>
            </w:r>
          </w:p>
        </w:tc>
        <w:tc>
          <w:tcPr>
            <w:tcW w:w="2552" w:type="dxa"/>
            <w:noWrap w:val="0"/>
            <w:vAlign w:val="center"/>
          </w:tcPr>
          <w:p>
            <w:pPr>
              <w:pStyle w:val="73"/>
              <w:rPr>
                <w:rFonts w:hint="eastAsia"/>
                <w:b/>
                <w:bCs/>
                <w:color w:val="auto"/>
                <w:u w:val="none"/>
              </w:rPr>
            </w:pPr>
            <w:r>
              <w:rPr>
                <w:rFonts w:hint="eastAsia"/>
                <w:b/>
                <w:bCs/>
                <w:color w:val="auto"/>
                <w:u w:val="none"/>
              </w:rPr>
              <w:t>项目</w:t>
            </w:r>
          </w:p>
        </w:tc>
        <w:tc>
          <w:tcPr>
            <w:tcW w:w="5153" w:type="dxa"/>
            <w:noWrap w:val="0"/>
            <w:vAlign w:val="center"/>
          </w:tcPr>
          <w:p>
            <w:pPr>
              <w:pStyle w:val="73"/>
              <w:rPr>
                <w:rFonts w:hint="eastAsia"/>
                <w:b/>
                <w:bCs/>
                <w:color w:val="auto"/>
                <w:u w:val="none"/>
              </w:rPr>
            </w:pPr>
            <w:r>
              <w:rPr>
                <w:rFonts w:hint="eastAsia"/>
                <w:b/>
                <w:bCs/>
                <w:color w:val="auto"/>
                <w:u w:val="none"/>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1</w:t>
            </w:r>
          </w:p>
        </w:tc>
        <w:tc>
          <w:tcPr>
            <w:tcW w:w="2552" w:type="dxa"/>
            <w:noWrap w:val="0"/>
            <w:vAlign w:val="center"/>
          </w:tcPr>
          <w:p>
            <w:pPr>
              <w:pStyle w:val="73"/>
              <w:rPr>
                <w:rFonts w:hint="eastAsia"/>
                <w:color w:val="auto"/>
                <w:u w:val="none"/>
              </w:rPr>
            </w:pPr>
            <w:r>
              <w:rPr>
                <w:rFonts w:hint="eastAsia"/>
                <w:color w:val="auto"/>
                <w:u w:val="none"/>
              </w:rPr>
              <w:t>应急计划区</w:t>
            </w:r>
          </w:p>
        </w:tc>
        <w:tc>
          <w:tcPr>
            <w:tcW w:w="5153" w:type="dxa"/>
            <w:noWrap w:val="0"/>
            <w:vAlign w:val="center"/>
          </w:tcPr>
          <w:p>
            <w:pPr>
              <w:pStyle w:val="73"/>
              <w:rPr>
                <w:rFonts w:hint="eastAsia"/>
                <w:color w:val="auto"/>
                <w:u w:val="none"/>
              </w:rPr>
            </w:pPr>
            <w:r>
              <w:rPr>
                <w:color w:val="auto"/>
                <w:u w:val="none"/>
              </w:rPr>
              <w:t>危险目标：污水处理站环境保护目标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2</w:t>
            </w:r>
          </w:p>
        </w:tc>
        <w:tc>
          <w:tcPr>
            <w:tcW w:w="2552" w:type="dxa"/>
            <w:noWrap w:val="0"/>
            <w:vAlign w:val="center"/>
          </w:tcPr>
          <w:p>
            <w:pPr>
              <w:pStyle w:val="73"/>
              <w:rPr>
                <w:rFonts w:hint="eastAsia"/>
                <w:color w:val="auto"/>
                <w:u w:val="none"/>
              </w:rPr>
            </w:pPr>
            <w:r>
              <w:rPr>
                <w:rFonts w:hint="eastAsia"/>
                <w:color w:val="auto"/>
                <w:u w:val="none"/>
              </w:rPr>
              <w:t>应急组织机构、人员</w:t>
            </w:r>
          </w:p>
        </w:tc>
        <w:tc>
          <w:tcPr>
            <w:tcW w:w="5153" w:type="dxa"/>
            <w:noWrap w:val="0"/>
            <w:vAlign w:val="center"/>
          </w:tcPr>
          <w:p>
            <w:pPr>
              <w:pStyle w:val="73"/>
              <w:rPr>
                <w:rFonts w:hint="eastAsia"/>
                <w:color w:val="auto"/>
                <w:u w:val="none"/>
              </w:rPr>
            </w:pPr>
            <w:r>
              <w:rPr>
                <w:color w:val="auto"/>
                <w:u w:val="none"/>
              </w:rPr>
              <w:t>企业、地区应急组织机构、人员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3</w:t>
            </w:r>
          </w:p>
        </w:tc>
        <w:tc>
          <w:tcPr>
            <w:tcW w:w="2552" w:type="dxa"/>
            <w:noWrap w:val="0"/>
            <w:vAlign w:val="center"/>
          </w:tcPr>
          <w:p>
            <w:pPr>
              <w:pStyle w:val="73"/>
              <w:rPr>
                <w:rFonts w:hint="eastAsia"/>
                <w:color w:val="auto"/>
                <w:u w:val="none"/>
              </w:rPr>
            </w:pPr>
            <w:r>
              <w:rPr>
                <w:rFonts w:hint="eastAsia"/>
                <w:color w:val="auto"/>
                <w:u w:val="none"/>
              </w:rPr>
              <w:t>预案分级响应条件</w:t>
            </w:r>
          </w:p>
        </w:tc>
        <w:tc>
          <w:tcPr>
            <w:tcW w:w="5153" w:type="dxa"/>
            <w:noWrap w:val="0"/>
            <w:vAlign w:val="center"/>
          </w:tcPr>
          <w:p>
            <w:pPr>
              <w:pStyle w:val="73"/>
              <w:rPr>
                <w:rFonts w:hint="eastAsia"/>
                <w:color w:val="auto"/>
                <w:u w:val="none"/>
              </w:rPr>
            </w:pPr>
            <w:r>
              <w:rPr>
                <w:color w:val="auto"/>
                <w:u w:val="none"/>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4</w:t>
            </w:r>
          </w:p>
        </w:tc>
        <w:tc>
          <w:tcPr>
            <w:tcW w:w="2552" w:type="dxa"/>
            <w:noWrap w:val="0"/>
            <w:vAlign w:val="center"/>
          </w:tcPr>
          <w:p>
            <w:pPr>
              <w:pStyle w:val="73"/>
              <w:rPr>
                <w:rFonts w:hint="eastAsia"/>
                <w:color w:val="auto"/>
                <w:u w:val="none"/>
              </w:rPr>
            </w:pPr>
            <w:r>
              <w:rPr>
                <w:rFonts w:hint="eastAsia"/>
                <w:color w:val="auto"/>
                <w:u w:val="none"/>
              </w:rPr>
              <w:t>应急救援保障</w:t>
            </w:r>
          </w:p>
        </w:tc>
        <w:tc>
          <w:tcPr>
            <w:tcW w:w="5153" w:type="dxa"/>
            <w:noWrap w:val="0"/>
            <w:vAlign w:val="center"/>
          </w:tcPr>
          <w:p>
            <w:pPr>
              <w:pStyle w:val="73"/>
              <w:rPr>
                <w:rFonts w:hint="eastAsia"/>
                <w:color w:val="auto"/>
                <w:u w:val="none"/>
              </w:rPr>
            </w:pPr>
            <w:r>
              <w:rPr>
                <w:color w:val="auto"/>
                <w:u w:val="none"/>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5</w:t>
            </w:r>
          </w:p>
        </w:tc>
        <w:tc>
          <w:tcPr>
            <w:tcW w:w="2552" w:type="dxa"/>
            <w:noWrap w:val="0"/>
            <w:vAlign w:val="center"/>
          </w:tcPr>
          <w:p>
            <w:pPr>
              <w:pStyle w:val="73"/>
              <w:rPr>
                <w:rFonts w:hint="eastAsia"/>
                <w:color w:val="auto"/>
                <w:u w:val="none"/>
              </w:rPr>
            </w:pPr>
            <w:r>
              <w:rPr>
                <w:rFonts w:hint="eastAsia"/>
                <w:color w:val="auto"/>
                <w:u w:val="none"/>
              </w:rPr>
              <w:t>报警、通讯联系方式</w:t>
            </w:r>
          </w:p>
        </w:tc>
        <w:tc>
          <w:tcPr>
            <w:tcW w:w="5153" w:type="dxa"/>
            <w:noWrap w:val="0"/>
            <w:vAlign w:val="center"/>
          </w:tcPr>
          <w:p>
            <w:pPr>
              <w:pStyle w:val="73"/>
              <w:rPr>
                <w:rFonts w:hint="eastAsia"/>
                <w:color w:val="auto"/>
                <w:u w:val="none"/>
              </w:rPr>
            </w:pPr>
            <w:r>
              <w:rPr>
                <w:color w:val="auto"/>
                <w:u w:val="none"/>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6</w:t>
            </w:r>
          </w:p>
        </w:tc>
        <w:tc>
          <w:tcPr>
            <w:tcW w:w="2552" w:type="dxa"/>
            <w:noWrap w:val="0"/>
            <w:vAlign w:val="center"/>
          </w:tcPr>
          <w:p>
            <w:pPr>
              <w:pStyle w:val="73"/>
              <w:rPr>
                <w:rFonts w:hint="eastAsia"/>
                <w:color w:val="auto"/>
                <w:u w:val="none"/>
              </w:rPr>
            </w:pPr>
            <w:r>
              <w:rPr>
                <w:rFonts w:hint="eastAsia"/>
                <w:color w:val="auto"/>
                <w:u w:val="none"/>
              </w:rPr>
              <w:t>应急环境监控、抢险、救援及控制措施</w:t>
            </w:r>
          </w:p>
        </w:tc>
        <w:tc>
          <w:tcPr>
            <w:tcW w:w="5153" w:type="dxa"/>
            <w:noWrap w:val="0"/>
            <w:vAlign w:val="center"/>
          </w:tcPr>
          <w:p>
            <w:pPr>
              <w:pStyle w:val="73"/>
              <w:rPr>
                <w:rFonts w:hint="eastAsia"/>
                <w:color w:val="auto"/>
                <w:u w:val="none"/>
              </w:rPr>
            </w:pPr>
            <w:r>
              <w:rPr>
                <w:color w:val="auto"/>
                <w:u w:val="none"/>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7</w:t>
            </w:r>
          </w:p>
        </w:tc>
        <w:tc>
          <w:tcPr>
            <w:tcW w:w="2552" w:type="dxa"/>
            <w:noWrap w:val="0"/>
            <w:vAlign w:val="center"/>
          </w:tcPr>
          <w:p>
            <w:pPr>
              <w:pStyle w:val="73"/>
              <w:rPr>
                <w:rFonts w:hint="eastAsia"/>
                <w:color w:val="auto"/>
                <w:u w:val="none"/>
              </w:rPr>
            </w:pPr>
            <w:r>
              <w:rPr>
                <w:rFonts w:hint="eastAsia"/>
                <w:color w:val="auto"/>
                <w:u w:val="none"/>
              </w:rPr>
              <w:t>应急检测、防护措施、清除泄露措施和器材</w:t>
            </w:r>
          </w:p>
        </w:tc>
        <w:tc>
          <w:tcPr>
            <w:tcW w:w="5153" w:type="dxa"/>
            <w:noWrap w:val="0"/>
            <w:vAlign w:val="center"/>
          </w:tcPr>
          <w:p>
            <w:pPr>
              <w:pStyle w:val="73"/>
              <w:rPr>
                <w:rFonts w:hint="eastAsia"/>
                <w:color w:val="auto"/>
                <w:u w:val="none"/>
              </w:rPr>
            </w:pPr>
            <w:r>
              <w:rPr>
                <w:color w:val="auto"/>
                <w:u w:val="none"/>
              </w:rPr>
              <w:t>事故现场、邻近区域、控制区域，控制和清除污染措施及相应设备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8</w:t>
            </w:r>
          </w:p>
        </w:tc>
        <w:tc>
          <w:tcPr>
            <w:tcW w:w="2552" w:type="dxa"/>
            <w:noWrap w:val="0"/>
            <w:vAlign w:val="center"/>
          </w:tcPr>
          <w:p>
            <w:pPr>
              <w:pStyle w:val="73"/>
              <w:rPr>
                <w:rFonts w:hint="eastAsia"/>
                <w:color w:val="auto"/>
                <w:u w:val="none"/>
              </w:rPr>
            </w:pPr>
            <w:r>
              <w:rPr>
                <w:rFonts w:hint="eastAsia"/>
                <w:color w:val="auto"/>
                <w:u w:val="none"/>
              </w:rPr>
              <w:t>人员紧急撤离、疏散应急剂量控制、策划力组织计划</w:t>
            </w:r>
          </w:p>
        </w:tc>
        <w:tc>
          <w:tcPr>
            <w:tcW w:w="5153" w:type="dxa"/>
            <w:noWrap w:val="0"/>
            <w:vAlign w:val="center"/>
          </w:tcPr>
          <w:p>
            <w:pPr>
              <w:pStyle w:val="73"/>
              <w:rPr>
                <w:rFonts w:hint="eastAsia"/>
                <w:color w:val="auto"/>
                <w:u w:val="none"/>
              </w:rPr>
            </w:pPr>
            <w:r>
              <w:rPr>
                <w:color w:val="auto"/>
                <w:u w:val="none"/>
              </w:rPr>
              <w:t>事故现场、邻近区、受事故影响的区域人员及公众对毒物应急剂量控制规定，撤离组织计划及救护，医疗救护与公众健康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9</w:t>
            </w:r>
          </w:p>
        </w:tc>
        <w:tc>
          <w:tcPr>
            <w:tcW w:w="2552" w:type="dxa"/>
            <w:noWrap w:val="0"/>
            <w:vAlign w:val="center"/>
          </w:tcPr>
          <w:p>
            <w:pPr>
              <w:pStyle w:val="73"/>
              <w:rPr>
                <w:rFonts w:hint="eastAsia"/>
                <w:color w:val="auto"/>
                <w:u w:val="none"/>
              </w:rPr>
            </w:pPr>
            <w:r>
              <w:rPr>
                <w:rFonts w:hint="eastAsia"/>
                <w:color w:val="auto"/>
                <w:u w:val="none"/>
              </w:rPr>
              <w:t>事故应急救援关闭程序与恢复措施</w:t>
            </w:r>
          </w:p>
        </w:tc>
        <w:tc>
          <w:tcPr>
            <w:tcW w:w="5153" w:type="dxa"/>
            <w:noWrap w:val="0"/>
            <w:vAlign w:val="center"/>
          </w:tcPr>
          <w:p>
            <w:pPr>
              <w:pStyle w:val="73"/>
              <w:rPr>
                <w:rFonts w:hint="eastAsia"/>
                <w:color w:val="auto"/>
                <w:u w:val="none"/>
              </w:rPr>
            </w:pPr>
            <w:r>
              <w:rPr>
                <w:rFonts w:hint="eastAsia"/>
                <w:color w:val="auto"/>
                <w:u w:val="none"/>
              </w:rPr>
              <w:t>规定应急状态终止程序；事故现场善后处理，恢复措施；临近区域解除事故警戒及善后恢复措施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10</w:t>
            </w:r>
          </w:p>
        </w:tc>
        <w:tc>
          <w:tcPr>
            <w:tcW w:w="2552" w:type="dxa"/>
            <w:noWrap w:val="0"/>
            <w:vAlign w:val="center"/>
          </w:tcPr>
          <w:p>
            <w:pPr>
              <w:pStyle w:val="73"/>
              <w:rPr>
                <w:rFonts w:hint="eastAsia"/>
                <w:color w:val="auto"/>
                <w:u w:val="none"/>
              </w:rPr>
            </w:pPr>
            <w:r>
              <w:rPr>
                <w:rFonts w:hint="eastAsia"/>
                <w:color w:val="auto"/>
                <w:u w:val="none"/>
              </w:rPr>
              <w:t>应急培训计划</w:t>
            </w:r>
          </w:p>
        </w:tc>
        <w:tc>
          <w:tcPr>
            <w:tcW w:w="5153" w:type="dxa"/>
            <w:noWrap w:val="0"/>
            <w:vAlign w:val="center"/>
          </w:tcPr>
          <w:p>
            <w:pPr>
              <w:pStyle w:val="73"/>
              <w:rPr>
                <w:rFonts w:hint="eastAsia"/>
                <w:color w:val="auto"/>
                <w:u w:val="none"/>
              </w:rPr>
            </w:pPr>
            <w:r>
              <w:rPr>
                <w:rFonts w:hint="eastAsia"/>
                <w:color w:val="auto"/>
                <w:u w:val="none"/>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 w:type="dxa"/>
            <w:noWrap w:val="0"/>
            <w:vAlign w:val="center"/>
          </w:tcPr>
          <w:p>
            <w:pPr>
              <w:pStyle w:val="73"/>
              <w:rPr>
                <w:rFonts w:hint="eastAsia"/>
                <w:color w:val="auto"/>
                <w:u w:val="none"/>
              </w:rPr>
            </w:pPr>
            <w:r>
              <w:rPr>
                <w:rFonts w:hint="eastAsia"/>
                <w:color w:val="auto"/>
                <w:u w:val="none"/>
              </w:rPr>
              <w:t>11</w:t>
            </w:r>
          </w:p>
        </w:tc>
        <w:tc>
          <w:tcPr>
            <w:tcW w:w="2552" w:type="dxa"/>
            <w:noWrap w:val="0"/>
            <w:vAlign w:val="center"/>
          </w:tcPr>
          <w:p>
            <w:pPr>
              <w:pStyle w:val="73"/>
              <w:rPr>
                <w:rFonts w:hint="eastAsia"/>
                <w:color w:val="auto"/>
                <w:u w:val="none"/>
              </w:rPr>
            </w:pPr>
            <w:r>
              <w:rPr>
                <w:rFonts w:hint="eastAsia"/>
                <w:color w:val="auto"/>
                <w:u w:val="none"/>
              </w:rPr>
              <w:t>公众教育和信息</w:t>
            </w:r>
          </w:p>
        </w:tc>
        <w:tc>
          <w:tcPr>
            <w:tcW w:w="5153" w:type="dxa"/>
            <w:noWrap w:val="0"/>
            <w:vAlign w:val="center"/>
          </w:tcPr>
          <w:p>
            <w:pPr>
              <w:pStyle w:val="73"/>
              <w:rPr>
                <w:rFonts w:hint="eastAsia"/>
                <w:color w:val="auto"/>
                <w:u w:val="none"/>
              </w:rPr>
            </w:pPr>
            <w:r>
              <w:rPr>
                <w:rFonts w:hint="eastAsia"/>
                <w:color w:val="auto"/>
                <w:u w:val="none"/>
              </w:rPr>
              <w:t>对邻地地区开展公众教育、训和发布有关信息</w:t>
            </w:r>
          </w:p>
        </w:tc>
      </w:tr>
    </w:tbl>
    <w:p>
      <w:pPr>
        <w:ind w:firstLine="480"/>
        <w:rPr>
          <w:rFonts w:hint="eastAsia"/>
          <w:color w:val="auto"/>
          <w:u w:val="none"/>
        </w:rPr>
      </w:pPr>
      <w:r>
        <w:rPr>
          <w:rFonts w:hint="eastAsia"/>
          <w:color w:val="auto"/>
          <w:u w:val="none"/>
        </w:rPr>
        <w:t>（3）应急程序</w:t>
      </w:r>
    </w:p>
    <w:p>
      <w:pPr>
        <w:pStyle w:val="3"/>
        <w:ind w:left="0" w:firstLine="480" w:firstLineChars="20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①确</w:t>
      </w:r>
      <w:r>
        <w:rPr>
          <w:rFonts w:ascii="Times New Roman" w:hAnsi="Times New Roman" w:cs="Times New Roman"/>
          <w:color w:val="auto"/>
          <w:u w:val="none"/>
          <w:lang w:eastAsia="zh-CN"/>
        </w:rPr>
        <w:t>定应急等级</w:t>
      </w:r>
    </w:p>
    <w:p>
      <w:pPr>
        <w:pStyle w:val="3"/>
        <w:ind w:left="0" w:firstLine="480" w:firstLineChars="200"/>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根据污染事故危害程度和区域，区分一般、重大、特大事故，决定应急行动等级、规模、方法和器材。</w:t>
      </w:r>
    </w:p>
    <w:p>
      <w:pPr>
        <w:pStyle w:val="3"/>
        <w:ind w:left="0" w:firstLine="480" w:firstLineChars="20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②</w:t>
      </w:r>
      <w:r>
        <w:rPr>
          <w:rFonts w:ascii="Times New Roman" w:hAnsi="Times New Roman" w:cs="Times New Roman"/>
          <w:color w:val="auto"/>
          <w:u w:val="none"/>
          <w:lang w:eastAsia="zh-CN"/>
        </w:rPr>
        <w:t>重点保护敏感区域，如</w:t>
      </w:r>
      <w:r>
        <w:rPr>
          <w:rFonts w:hint="eastAsia" w:ascii="Times New Roman" w:hAnsi="Times New Roman" w:cs="Times New Roman"/>
          <w:color w:val="auto"/>
          <w:u w:val="none"/>
          <w:lang w:eastAsia="zh-CN"/>
        </w:rPr>
        <w:t>居民点、自然保护地</w:t>
      </w:r>
      <w:r>
        <w:rPr>
          <w:rFonts w:ascii="Times New Roman" w:hAnsi="Times New Roman" w:cs="Times New Roman"/>
          <w:color w:val="auto"/>
          <w:u w:val="none"/>
          <w:lang w:eastAsia="zh-CN"/>
        </w:rPr>
        <w:t>等。</w:t>
      </w:r>
    </w:p>
    <w:p>
      <w:pPr>
        <w:pStyle w:val="3"/>
        <w:ind w:left="0" w:firstLine="480" w:firstLineChars="20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③</w:t>
      </w:r>
      <w:r>
        <w:rPr>
          <w:rFonts w:ascii="Times New Roman" w:hAnsi="Times New Roman" w:cs="Times New Roman"/>
          <w:color w:val="auto"/>
          <w:u w:val="none"/>
          <w:lang w:eastAsia="zh-CN"/>
        </w:rPr>
        <w:t>应急</w:t>
      </w:r>
      <w:r>
        <w:rPr>
          <w:rFonts w:hint="eastAsia" w:ascii="Times New Roman" w:hAnsi="Times New Roman" w:cs="Times New Roman"/>
          <w:color w:val="auto"/>
          <w:u w:val="none"/>
          <w:lang w:eastAsia="zh-CN"/>
        </w:rPr>
        <w:t>程序</w:t>
      </w:r>
    </w:p>
    <w:p>
      <w:pPr>
        <w:pStyle w:val="3"/>
        <w:ind w:left="0" w:firstLine="480" w:firstLineChars="200"/>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急程序包括报警、接报、发出应急救援命令、应急救援行动、现场处置、结束应急行动。</w:t>
      </w:r>
    </w:p>
    <w:p>
      <w:pPr>
        <w:pStyle w:val="3"/>
        <w:ind w:left="0" w:firstLine="480" w:firstLineChars="200"/>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A</w:t>
      </w: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报警事故发生后立即打报警电话，报警内容包括：事故详细地点、现场伤亡人员数量、事故原因、性质、危害程度、事故的现状、采取的措施、其他相关情况。</w:t>
      </w:r>
    </w:p>
    <w:p>
      <w:pPr>
        <w:pStyle w:val="3"/>
        <w:ind w:left="0" w:firstLine="480" w:firstLineChars="200"/>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B</w:t>
      </w: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接报人一般由值班人员担任，其任务是：接到报警电话后，问清报告人姓名和联系电话；事故发生时间、地点、事故原因、事故性质、危害程度、范围等；做好记录；通知救援队伍；向上级报告。</w:t>
      </w:r>
    </w:p>
    <w:p>
      <w:pPr>
        <w:pStyle w:val="3"/>
        <w:ind w:left="0" w:firstLine="480" w:firstLineChars="200"/>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C</w:t>
      </w: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发出应急救援命令当事故规模较小（无人员伤亡、事故情况简单、现场救援力量充分）、接警人员熟悉救援部署的情况下，救援命令可由接警值班人员直接发出。当事故规模较大，具有同时通知各救援分队的通讯手段时，也可由接警值班人员直接发出救援命令。当事故情况复杂难以判断，应报告指挥中心，由指挥中心分别通知。无论何种情况，接报人员在发出救援通知后，必须报告指挥中心（指挥部）。</w:t>
      </w:r>
    </w:p>
    <w:p>
      <w:pPr>
        <w:pStyle w:val="3"/>
        <w:ind w:left="0" w:firstLine="480" w:firstLineChars="200"/>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D</w:t>
      </w: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应急救援行动接到应急救援命令后，确定选择相应专业应急预案，制定并组织实施。监督抢险、抢救人员穿戴好防护用品。应急疏散人员，进入相应岗位。建立疏散和营救遇险者可以进入的安全区域。事故处理（危险排除、工程抢险、灭火等）。现场救护，现场处置等。</w:t>
      </w:r>
    </w:p>
    <w:p>
      <w:pPr>
        <w:pStyle w:val="3"/>
        <w:ind w:left="0" w:firstLine="480" w:firstLineChars="200"/>
        <w:rPr>
          <w:rFonts w:ascii="Times New Roman" w:hAnsi="Times New Roman" w:cs="Times New Roman"/>
          <w:color w:val="auto"/>
          <w:u w:val="none"/>
          <w:lang w:eastAsia="zh-CN"/>
        </w:rPr>
      </w:pPr>
      <w:r>
        <w:rPr>
          <w:rFonts w:ascii="Times New Roman" w:hAnsi="Times New Roman" w:cs="Times New Roman"/>
          <w:color w:val="auto"/>
          <w:u w:val="none"/>
          <w:lang w:eastAsia="zh-CN"/>
        </w:rPr>
        <w:t>具体程序见图</w:t>
      </w:r>
      <w:r>
        <w:rPr>
          <w:rFonts w:hint="eastAsia" w:ascii="Times New Roman" w:hAnsi="Times New Roman" w:cs="Times New Roman"/>
          <w:color w:val="auto"/>
          <w:u w:val="none"/>
          <w:lang w:eastAsia="zh-CN"/>
        </w:rPr>
        <w:t>4.4</w:t>
      </w:r>
      <w:r>
        <w:rPr>
          <w:rFonts w:ascii="Times New Roman" w:hAnsi="Times New Roman" w:cs="Times New Roman"/>
          <w:color w:val="auto"/>
          <w:u w:val="none"/>
          <w:lang w:eastAsia="zh-CN"/>
        </w:rPr>
        <w:t>-1。</w:t>
      </w:r>
    </w:p>
    <w:p>
      <w:pPr>
        <w:ind w:left="-360" w:leftChars="-150" w:firstLine="480"/>
        <w:rPr>
          <w:rFonts w:hint="eastAsia"/>
          <w:color w:val="auto"/>
          <w:kern w:val="0"/>
          <w:u w:val="none"/>
        </w:rPr>
      </w:pPr>
      <w:r>
        <w:rPr>
          <w:rFonts w:hint="eastAsia"/>
          <w:color w:val="auto"/>
          <w:kern w:val="0"/>
          <w:u w:val="none"/>
        </w:rPr>
        <w:drawing>
          <wp:inline distT="0" distB="0" distL="114300" distR="114300">
            <wp:extent cx="5175885" cy="2303780"/>
            <wp:effectExtent l="0" t="0" r="5715" b="12700"/>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1"/>
                    </pic:cNvPicPr>
                  </pic:nvPicPr>
                  <pic:blipFill>
                    <a:blip r:embed="rId74"/>
                    <a:stretch>
                      <a:fillRect/>
                    </a:stretch>
                  </pic:blipFill>
                  <pic:spPr>
                    <a:xfrm>
                      <a:off x="0" y="0"/>
                      <a:ext cx="5175885" cy="2303780"/>
                    </a:xfrm>
                    <a:prstGeom prst="rect">
                      <a:avLst/>
                    </a:prstGeom>
                    <a:noFill/>
                    <a:ln>
                      <a:noFill/>
                    </a:ln>
                  </pic:spPr>
                </pic:pic>
              </a:graphicData>
            </a:graphic>
          </wp:inline>
        </w:drawing>
      </w:r>
    </w:p>
    <w:p>
      <w:pPr>
        <w:ind w:firstLine="422"/>
        <w:jc w:val="center"/>
        <w:rPr>
          <w:rFonts w:hint="eastAsia"/>
          <w:b/>
          <w:color w:val="auto"/>
          <w:kern w:val="0"/>
          <w:sz w:val="21"/>
          <w:szCs w:val="21"/>
          <w:u w:val="none"/>
        </w:rPr>
      </w:pPr>
      <w:r>
        <w:rPr>
          <w:rFonts w:hint="eastAsia"/>
          <w:b/>
          <w:color w:val="auto"/>
          <w:kern w:val="0"/>
          <w:sz w:val="21"/>
          <w:szCs w:val="21"/>
          <w:u w:val="none"/>
        </w:rPr>
        <w:t>图4.4</w:t>
      </w:r>
      <w:r>
        <w:rPr>
          <w:b/>
          <w:color w:val="auto"/>
          <w:kern w:val="0"/>
          <w:sz w:val="21"/>
          <w:szCs w:val="21"/>
          <w:u w:val="none"/>
        </w:rPr>
        <w:t>-1</w:t>
      </w:r>
      <w:r>
        <w:rPr>
          <w:rFonts w:hint="eastAsia"/>
          <w:b/>
          <w:color w:val="auto"/>
          <w:kern w:val="0"/>
          <w:sz w:val="21"/>
          <w:szCs w:val="21"/>
          <w:u w:val="none"/>
        </w:rPr>
        <w:t>应急预案程序示意图</w:t>
      </w:r>
    </w:p>
    <w:p>
      <w:pPr>
        <w:pStyle w:val="3"/>
        <w:ind w:firstLine="480" w:firstLineChars="200"/>
        <w:rPr>
          <w:rFonts w:ascii="Times New Roman" w:hAnsi="Times New Roman" w:cs="Times New Roman"/>
          <w:color w:val="auto"/>
          <w:u w:val="none"/>
          <w:lang w:eastAsia="zh-CN"/>
        </w:rPr>
      </w:pPr>
      <w:r>
        <w:rPr>
          <w:rFonts w:hint="eastAsia" w:ascii="Times New Roman" w:hAnsi="Times New Roman" w:cs="Times New Roman"/>
          <w:color w:val="auto"/>
          <w:u w:val="none"/>
          <w:lang w:eastAsia="zh-CN"/>
        </w:rPr>
        <w:t>（4）</w:t>
      </w:r>
      <w:r>
        <w:rPr>
          <w:rFonts w:ascii="Times New Roman" w:hAnsi="Times New Roman" w:cs="Times New Roman"/>
          <w:color w:val="auto"/>
          <w:u w:val="none"/>
          <w:lang w:eastAsia="zh-CN"/>
        </w:rPr>
        <w:t>应急行动</w:t>
      </w:r>
    </w:p>
    <w:p>
      <w:pPr>
        <w:pStyle w:val="3"/>
        <w:ind w:firstLine="480" w:firstLineChars="200"/>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包括及时控制事故源和防止事故扩大，抢救受害人员和组织民众撤离，消除危害后果等。</w:t>
      </w:r>
    </w:p>
    <w:p>
      <w:pPr>
        <w:pStyle w:val="3"/>
        <w:ind w:firstLine="480" w:firstLineChars="20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（5）</w:t>
      </w:r>
      <w:r>
        <w:rPr>
          <w:rFonts w:ascii="Times New Roman" w:hAnsi="Times New Roman" w:cs="Times New Roman"/>
          <w:color w:val="auto"/>
          <w:u w:val="none"/>
          <w:lang w:eastAsia="zh-CN"/>
        </w:rPr>
        <w:t>应急设备和器材清单</w:t>
      </w:r>
    </w:p>
    <w:p>
      <w:pPr>
        <w:pStyle w:val="3"/>
        <w:ind w:firstLine="480" w:firstLineChars="200"/>
        <w:rPr>
          <w:rFonts w:hint="eastAsia" w:ascii="Times New Roman" w:hAnsi="Times New Roman" w:cs="Times New Roman"/>
          <w:color w:val="auto"/>
          <w:u w:val="none"/>
          <w:lang w:eastAsia="zh-CN"/>
        </w:rPr>
      </w:pPr>
      <w:r>
        <w:rPr>
          <w:rFonts w:ascii="Times New Roman" w:hAnsi="Times New Roman" w:cs="Times New Roman"/>
          <w:color w:val="auto"/>
          <w:u w:val="none"/>
          <w:lang w:eastAsia="zh-CN"/>
        </w:rPr>
        <w:t>包括消防、医疗急救、污染物处理和处置、通讯联络、交通运输等设备和器材。</w:t>
      </w:r>
      <w:bookmarkStart w:id="296" w:name="_bookmark49"/>
      <w:bookmarkEnd w:id="296"/>
    </w:p>
    <w:p>
      <w:pPr>
        <w:pStyle w:val="6"/>
        <w:bidi w:val="0"/>
      </w:pPr>
      <w:r>
        <w:rPr>
          <w:rFonts w:hint="eastAsia"/>
        </w:rPr>
        <w:t>4.4</w:t>
      </w:r>
      <w:r>
        <w:t>.6环境风险评价结论</w:t>
      </w:r>
    </w:p>
    <w:p>
      <w:pPr>
        <w:ind w:firstLine="480"/>
        <w:rPr>
          <w:rFonts w:hint="eastAsia"/>
          <w:color w:val="auto"/>
          <w:kern w:val="0"/>
          <w:u w:val="none"/>
        </w:rPr>
      </w:pPr>
      <w:r>
        <w:rPr>
          <w:color w:val="auto"/>
          <w:kern w:val="0"/>
          <w:u w:val="none"/>
        </w:rPr>
        <w:t>综合以上分析，本项目污水处理具有潜在的事故风险，尽管事故概率较小，但要从建设、生产、贮运等各方面积极采取防护措施，为了防范事故和减少危害，需要制定灾害事故的具体应急预案。当出现事故时，要采取紧急的工程应急措施，如有必要，要采取社会应急措施，以控制事故和减少对环境造成的危害。在落实上述环境风险防范措施后，项目存在的环境风险可接受。</w:t>
      </w:r>
    </w:p>
    <w:p>
      <w:pPr>
        <w:pStyle w:val="4"/>
        <w:ind w:firstLine="643"/>
        <w:rPr>
          <w:color w:val="auto"/>
          <w:kern w:val="0"/>
          <w:u w:val="none"/>
        </w:rPr>
      </w:pPr>
      <w:r>
        <w:rPr>
          <w:color w:val="auto"/>
          <w:kern w:val="0"/>
          <w:u w:val="none"/>
        </w:rPr>
        <w:br w:type="page"/>
      </w:r>
      <w:bookmarkStart w:id="297" w:name="_Toc9682"/>
      <w:r>
        <w:rPr>
          <w:rFonts w:hint="eastAsia"/>
          <w:color w:val="auto"/>
          <w:kern w:val="0"/>
          <w:u w:val="none"/>
        </w:rPr>
        <w:t>第5章 环境保护措施及其可行性论证</w:t>
      </w:r>
      <w:bookmarkEnd w:id="297"/>
    </w:p>
    <w:p>
      <w:pPr>
        <w:pStyle w:val="76"/>
        <w:spacing w:before="163" w:after="163"/>
        <w:rPr>
          <w:rFonts w:hint="eastAsia"/>
          <w:color w:val="auto"/>
          <w:kern w:val="0"/>
          <w:u w:val="none"/>
        </w:rPr>
      </w:pPr>
      <w:bookmarkStart w:id="298" w:name="_Toc3648"/>
      <w:r>
        <w:rPr>
          <w:rFonts w:hint="eastAsia"/>
          <w:color w:val="auto"/>
          <w:kern w:val="0"/>
          <w:u w:val="none"/>
        </w:rPr>
        <w:t>5.1施工期环境保护措施分析</w:t>
      </w:r>
      <w:bookmarkEnd w:id="298"/>
    </w:p>
    <w:p>
      <w:pPr>
        <w:bidi w:val="0"/>
        <w:rPr>
          <w:rFonts w:hint="eastAsia"/>
          <w:u w:val="single"/>
          <w:lang w:eastAsia="zh-CN"/>
        </w:rPr>
      </w:pPr>
      <w:r>
        <w:rPr>
          <w:rFonts w:hint="eastAsia"/>
          <w:u w:val="single"/>
          <w:lang w:eastAsia="zh-CN"/>
        </w:rPr>
        <w:t>本项目分两期建设，所有土建工程均在一期完成，且预留二期设备基台，故施工期即针对一期工程进行分析。</w:t>
      </w:r>
    </w:p>
    <w:p>
      <w:pPr>
        <w:pStyle w:val="6"/>
        <w:bidi w:val="0"/>
        <w:rPr>
          <w:rFonts w:hint="eastAsia"/>
        </w:rPr>
      </w:pPr>
      <w:r>
        <w:rPr>
          <w:rFonts w:hint="eastAsia"/>
        </w:rPr>
        <w:t>5.1.1施工期大气污染防治措施</w:t>
      </w:r>
    </w:p>
    <w:p>
      <w:pPr>
        <w:pStyle w:val="69"/>
        <w:rPr>
          <w:rFonts w:hint="eastAsia"/>
          <w:color w:val="auto"/>
          <w:u w:val="none"/>
        </w:rPr>
      </w:pPr>
      <w:r>
        <w:rPr>
          <w:rFonts w:hint="eastAsia"/>
          <w:color w:val="auto"/>
          <w:u w:val="none"/>
        </w:rPr>
        <w:t>5</w:t>
      </w:r>
      <w:r>
        <w:rPr>
          <w:color w:val="auto"/>
          <w:u w:val="none"/>
        </w:rPr>
        <w:t>.1.1.1</w:t>
      </w:r>
      <w:r>
        <w:rPr>
          <w:rFonts w:hint="eastAsia"/>
          <w:color w:val="auto"/>
          <w:u w:val="none"/>
        </w:rPr>
        <w:t>污水处理厂施工期大气污染防治措施</w:t>
      </w:r>
    </w:p>
    <w:p>
      <w:pPr>
        <w:ind w:firstLine="480"/>
        <w:jc w:val="both"/>
        <w:rPr>
          <w:rFonts w:hint="eastAsia"/>
          <w:color w:val="auto"/>
          <w:kern w:val="0"/>
          <w:u w:val="none"/>
        </w:rPr>
      </w:pPr>
      <w:r>
        <w:rPr>
          <w:rFonts w:hint="eastAsia"/>
          <w:color w:val="auto"/>
          <w:kern w:val="0"/>
          <w:u w:val="none"/>
        </w:rPr>
        <w:t>污水处理厂工程中的大气污染物主要为机械、车辆施工工程中的施工扬尘、车辆汽车尾气以及机械燃油废气和施工过程中建筑材料堆放产生的堆场扬尘、装修废气等。</w:t>
      </w:r>
    </w:p>
    <w:p>
      <w:pPr>
        <w:ind w:firstLine="480"/>
        <w:jc w:val="both"/>
        <w:rPr>
          <w:rFonts w:hint="eastAsia"/>
          <w:color w:val="auto"/>
          <w:kern w:val="0"/>
          <w:u w:val="none"/>
        </w:rPr>
      </w:pPr>
      <w:r>
        <w:rPr>
          <w:rFonts w:hint="eastAsia"/>
          <w:color w:val="auto"/>
          <w:kern w:val="0"/>
          <w:u w:val="none"/>
        </w:rPr>
        <w:t>对于汽车尾气的污染，要求使用污染物排放符合国家标准的运输车辆和施工设备，加强设备、车辆的维修保养，使机械、车辆处于良好的工作状态，严禁使用报废车辆和淘汰设备，一般情况下，符合上述要求后此部分污染不会对大气环境造成太大影响；对于装修废气，建筑装修阶段应遵守装修工程施工规范，通过采用符合国家标准的环保材料、加强室内通风，在装修未完成之前禁止入住，装修废气对周围环境影响较小；施工过程中的最严重的大气污染物为扬尘污染，包括车辆、机械运转所产生的扬尘以及建筑材料堆放产生的风力扬尘，对于施工期否扬尘污染，建议采用以下措施减轻污染：</w:t>
      </w:r>
    </w:p>
    <w:p>
      <w:pPr>
        <w:ind w:firstLine="480"/>
        <w:jc w:val="both"/>
        <w:rPr>
          <w:color w:val="auto"/>
          <w:kern w:val="0"/>
          <w:u w:val="none"/>
        </w:rPr>
      </w:pPr>
      <w:r>
        <w:rPr>
          <w:rFonts w:hint="eastAsia"/>
          <w:color w:val="auto"/>
          <w:kern w:val="0"/>
          <w:u w:val="none"/>
        </w:rPr>
        <w:t>①</w:t>
      </w:r>
      <w:r>
        <w:rPr>
          <w:color w:val="auto"/>
          <w:kern w:val="0"/>
          <w:u w:val="none"/>
        </w:rPr>
        <w:t>施工现场必须设置封闭围挡，高度不小于2</w:t>
      </w:r>
      <w:r>
        <w:rPr>
          <w:rFonts w:hint="eastAsia"/>
          <w:color w:val="auto"/>
          <w:kern w:val="0"/>
          <w:u w:val="none"/>
        </w:rPr>
        <w:t>.0</w:t>
      </w:r>
      <w:r>
        <w:rPr>
          <w:color w:val="auto"/>
          <w:kern w:val="0"/>
          <w:u w:val="none"/>
        </w:rPr>
        <w:t>m</w:t>
      </w:r>
      <w:r>
        <w:rPr>
          <w:rFonts w:hint="eastAsia"/>
          <w:color w:val="auto"/>
          <w:kern w:val="0"/>
          <w:u w:val="none"/>
        </w:rPr>
        <w:t>。</w:t>
      </w:r>
    </w:p>
    <w:p>
      <w:pPr>
        <w:ind w:firstLine="480"/>
        <w:jc w:val="both"/>
        <w:rPr>
          <w:color w:val="auto"/>
          <w:kern w:val="0"/>
          <w:u w:val="none"/>
        </w:rPr>
      </w:pPr>
      <w:r>
        <w:rPr>
          <w:rFonts w:hint="eastAsia"/>
          <w:color w:val="auto"/>
          <w:kern w:val="0"/>
          <w:u w:val="none"/>
        </w:rPr>
        <w:t>②严格执行《湘西自治州大气污染防治实施方案》的六个不开工和六个100%，即：审批手续不全部开工、围挡不合要求不开工、地面硬化不到位不开工、冲洗设备不到位不开工、保洁人员不到位不开工、不签订《市容市貌安全责任书》不开工。</w:t>
      </w:r>
      <w:r>
        <w:rPr>
          <w:color w:val="auto"/>
          <w:kern w:val="0"/>
          <w:u w:val="none"/>
        </w:rPr>
        <w:t>工地内非施工区裸土覆盖率100%、施工现场围挡率100%、工地路面硬化率100%、拆除工地（非爆破拆除）拆除与建筑垃圾装载湿式作业法100%、工程车辆驶离工地车轮冲洗100%、暂不建设场地绿化率100%</w:t>
      </w:r>
      <w:r>
        <w:rPr>
          <w:rFonts w:hint="eastAsia"/>
          <w:color w:val="auto"/>
          <w:kern w:val="0"/>
          <w:u w:val="none"/>
        </w:rPr>
        <w:t>。</w:t>
      </w:r>
    </w:p>
    <w:p>
      <w:pPr>
        <w:ind w:firstLine="480"/>
        <w:rPr>
          <w:color w:val="auto"/>
          <w:kern w:val="0"/>
          <w:u w:val="none"/>
        </w:rPr>
      </w:pPr>
      <w:r>
        <w:rPr>
          <w:rFonts w:hint="eastAsia"/>
          <w:color w:val="auto"/>
          <w:kern w:val="0"/>
          <w:u w:val="none"/>
        </w:rPr>
        <w:t>③</w:t>
      </w:r>
      <w:r>
        <w:rPr>
          <w:color w:val="auto"/>
          <w:kern w:val="0"/>
          <w:u w:val="none"/>
        </w:rPr>
        <w:t>采用密闭式运输车辆进行渣土、垃圾、废渣等运输；水泥等易于飞扬的细颗粒建筑材料应密闭存放或进行覆盖，混凝土应采用商品砼，并对施工场地定时洒水降尘。在施工期间，应根据不同空气污染指数范围和大风、高温、干燥、晴天、雨天等各种不同气象条件要求，明确保洁制度，包括洒水、清扫方式、频率等。当空气质量轻微污染（污染指数大于100）或4级以上大风干燥天气不许爆破、拆迁、土方作业和人工干扫。在空气质量良好（污染指数80~100）时，应每隔</w:t>
      </w:r>
      <w:r>
        <w:rPr>
          <w:rFonts w:hint="eastAsia"/>
          <w:color w:val="auto"/>
          <w:kern w:val="0"/>
          <w:u w:val="none"/>
        </w:rPr>
        <w:t>4</w:t>
      </w:r>
      <w:r>
        <w:rPr>
          <w:color w:val="auto"/>
          <w:kern w:val="0"/>
          <w:u w:val="none"/>
        </w:rPr>
        <w:t>小时保洁一次，洒水与清扫交替使用。当空气质量轻微污染（污染指数大于100）应加密保洁。当空气质量优良（污染指数低于50）时，可以在保持清洁的前提下适度降低保洁强度。</w:t>
      </w:r>
    </w:p>
    <w:p>
      <w:pPr>
        <w:ind w:firstLine="480"/>
        <w:rPr>
          <w:rFonts w:hint="eastAsia"/>
          <w:color w:val="auto"/>
          <w:kern w:val="0"/>
          <w:u w:val="none"/>
        </w:rPr>
      </w:pPr>
      <w:r>
        <w:rPr>
          <w:rFonts w:hint="eastAsia"/>
          <w:color w:val="auto"/>
          <w:kern w:val="0"/>
          <w:u w:val="none"/>
        </w:rPr>
        <w:t>④运输车辆的载重等应符合《道路管理条例》有关规定，防止超载，防止路面破损引起运输过程颠簸遗撒。运送建筑原料的车辆应实行密闭运输，装载的物料、渣土高度不得超过车辆槽帮上沿，车斗用苫布遮盖或者采用密闭车斗，若车斗用苫布遮盖，应当严实密闭，苫布边缘至少要遮住槽帮上沿以下</w:t>
      </w:r>
      <w:r>
        <w:rPr>
          <w:color w:val="auto"/>
          <w:kern w:val="0"/>
          <w:u w:val="none"/>
        </w:rPr>
        <w:t>15</w:t>
      </w:r>
      <w:r>
        <w:rPr>
          <w:rFonts w:hint="eastAsia"/>
          <w:color w:val="auto"/>
          <w:kern w:val="0"/>
          <w:u w:val="none"/>
        </w:rPr>
        <w:t>公分，避免在运输过程中发生遗撒或泄漏，同时要求运输车辆应尽量避开人口密集的运输路段；若必须穿越此段路段时，应当天傍晚定时清扫地面，避免在干燥天气条件下装卸和运输等。出入工地车辆必须清洗。</w:t>
      </w:r>
    </w:p>
    <w:p>
      <w:pPr>
        <w:ind w:firstLine="480"/>
        <w:rPr>
          <w:color w:val="auto"/>
          <w:kern w:val="0"/>
          <w:u w:val="none"/>
        </w:rPr>
      </w:pPr>
      <w:r>
        <w:rPr>
          <w:rFonts w:hint="eastAsia"/>
          <w:color w:val="auto"/>
          <w:kern w:val="0"/>
          <w:u w:val="none"/>
        </w:rPr>
        <w:t>⑤</w:t>
      </w:r>
      <w:r>
        <w:rPr>
          <w:color w:val="auto"/>
          <w:kern w:val="0"/>
          <w:u w:val="none"/>
        </w:rPr>
        <w:t>建筑垃圾、工程渣土在48小时内不能完成清运的，在施工工地内设置临时堆放场，临时堆放场采取围档、覆盖、洒水等防尘措施。</w:t>
      </w:r>
    </w:p>
    <w:p>
      <w:pPr>
        <w:ind w:firstLine="480"/>
        <w:rPr>
          <w:rFonts w:hint="eastAsia"/>
          <w:color w:val="auto"/>
          <w:kern w:val="0"/>
          <w:u w:val="none"/>
        </w:rPr>
      </w:pPr>
      <w:r>
        <w:rPr>
          <w:rFonts w:hint="eastAsia"/>
          <w:color w:val="auto"/>
          <w:kern w:val="0"/>
          <w:u w:val="none"/>
        </w:rPr>
        <w:t>⑥</w:t>
      </w:r>
      <w:r>
        <w:rPr>
          <w:color w:val="auto"/>
          <w:kern w:val="0"/>
          <w:u w:val="none"/>
        </w:rPr>
        <w:t>分段施工、合理安排施工工期，尽量减少同一时间内的挖土量</w:t>
      </w:r>
      <w:r>
        <w:rPr>
          <w:rFonts w:hint="eastAsia"/>
          <w:color w:val="auto"/>
          <w:kern w:val="0"/>
          <w:u w:val="none"/>
        </w:rPr>
        <w:t>。</w:t>
      </w:r>
    </w:p>
    <w:p>
      <w:pPr>
        <w:ind w:firstLine="480"/>
        <w:rPr>
          <w:rFonts w:hint="eastAsia"/>
          <w:color w:val="auto"/>
          <w:kern w:val="0"/>
          <w:u w:val="none"/>
        </w:rPr>
      </w:pPr>
      <w:r>
        <w:rPr>
          <w:rFonts w:hint="eastAsia"/>
          <w:bCs/>
          <w:color w:val="auto"/>
          <w:kern w:val="0"/>
          <w:u w:val="none"/>
          <w:lang w:eastAsia="zh-CN"/>
        </w:rPr>
        <w:t>⑦</w:t>
      </w:r>
      <w:r>
        <w:rPr>
          <w:color w:val="auto"/>
          <w:kern w:val="0"/>
          <w:u w:val="none"/>
        </w:rPr>
        <w:t>施工单位应根据《建设工程施工现场管理规定》的规定设置现场平面布置图、工程概况牌、安全生产牌、消防保卫牌、文明施工牌、环境保护牌、管理人员名单及监督电话牌等。</w:t>
      </w:r>
    </w:p>
    <w:p>
      <w:pPr>
        <w:ind w:firstLine="480"/>
        <w:rPr>
          <w:rFonts w:hint="eastAsia"/>
          <w:color w:val="auto"/>
          <w:kern w:val="0"/>
          <w:u w:val="none"/>
        </w:rPr>
      </w:pPr>
      <w:r>
        <w:rPr>
          <w:rFonts w:hint="eastAsia"/>
          <w:color w:val="auto"/>
          <w:kern w:val="0"/>
          <w:u w:val="none"/>
          <w:lang w:eastAsia="zh-CN"/>
        </w:rPr>
        <w:t>⑧</w:t>
      </w:r>
      <w:r>
        <w:rPr>
          <w:rFonts w:hint="eastAsia"/>
          <w:bCs/>
          <w:color w:val="auto"/>
          <w:kern w:val="0"/>
          <w:u w:val="none"/>
        </w:rPr>
        <w:t>施工场内车行道路须采用钢板、混凝土、礁渣或细石等进行路面硬化，宽度</w:t>
      </w:r>
      <w:r>
        <w:rPr>
          <w:bCs/>
          <w:color w:val="auto"/>
          <w:kern w:val="0"/>
          <w:u w:val="none"/>
        </w:rPr>
        <w:t>3～5m</w:t>
      </w:r>
      <w:r>
        <w:rPr>
          <w:rFonts w:hint="eastAsia"/>
          <w:bCs/>
          <w:color w:val="auto"/>
          <w:kern w:val="0"/>
          <w:u w:val="none"/>
        </w:rPr>
        <w:t>，并辅以洒水、喷洒抑尘剂等措施加强保洁清扫；运输渣土、泥浆、建筑垃圾及砂石等散体建筑材料，应采用密闭运输车辆或采取篷覆式遮盖等措施，严禁发生抛、洒、滴、漏现象。</w:t>
      </w:r>
    </w:p>
    <w:p>
      <w:pPr>
        <w:ind w:firstLine="480"/>
        <w:rPr>
          <w:rFonts w:hint="eastAsia"/>
          <w:color w:val="auto"/>
          <w:kern w:val="0"/>
          <w:u w:val="none"/>
        </w:rPr>
      </w:pPr>
      <w:r>
        <w:rPr>
          <w:color w:val="auto"/>
          <w:kern w:val="0"/>
          <w:u w:val="none"/>
        </w:rPr>
        <w:t>通过采取以上措施，加强施工管理，可减少各类施工废气的产生，并使地面扬尘减少70%左右，大大减少施工扬尘对环境的影响，措施可行。</w:t>
      </w:r>
    </w:p>
    <w:p>
      <w:pPr>
        <w:pStyle w:val="69"/>
        <w:widowControl w:val="0"/>
        <w:rPr>
          <w:rFonts w:hint="eastAsia"/>
          <w:color w:val="auto"/>
          <w:u w:val="none"/>
        </w:rPr>
      </w:pPr>
      <w:r>
        <w:rPr>
          <w:rFonts w:hint="eastAsia"/>
          <w:color w:val="auto"/>
          <w:u w:val="none"/>
        </w:rPr>
        <w:t>5</w:t>
      </w:r>
      <w:r>
        <w:rPr>
          <w:color w:val="auto"/>
          <w:u w:val="none"/>
        </w:rPr>
        <w:t>.1.1.2</w:t>
      </w:r>
      <w:r>
        <w:rPr>
          <w:rFonts w:hint="eastAsia"/>
          <w:color w:val="auto"/>
          <w:u w:val="none"/>
        </w:rPr>
        <w:t>管道铺设工程施工期大气污染防治措施</w:t>
      </w:r>
    </w:p>
    <w:p>
      <w:pPr>
        <w:ind w:firstLine="480"/>
        <w:rPr>
          <w:rFonts w:hint="eastAsia"/>
          <w:color w:val="auto"/>
          <w:kern w:val="0"/>
          <w:u w:val="none"/>
        </w:rPr>
      </w:pPr>
      <w:r>
        <w:rPr>
          <w:rFonts w:hint="eastAsia"/>
          <w:color w:val="auto"/>
          <w:kern w:val="0"/>
          <w:u w:val="none"/>
        </w:rPr>
        <w:t>管道铺设过程的大气污染物主要为扬尘以及汽车尾气、机械燃油废气，扬尘主要来自</w:t>
      </w:r>
      <w:r>
        <w:rPr>
          <w:color w:val="auto"/>
          <w:kern w:val="0"/>
          <w:u w:val="none"/>
        </w:rPr>
        <w:t>土方的挖掘及堆放、建筑材料的搬运及堆放、施工垃圾的堆放及清理</w:t>
      </w:r>
      <w:r>
        <w:rPr>
          <w:rFonts w:hint="eastAsia"/>
          <w:color w:val="auto"/>
          <w:kern w:val="0"/>
          <w:u w:val="none"/>
        </w:rPr>
        <w:t>，汽车尾气、机械燃油废气尾气主要产生于汽车运输以及机械运转过程。</w:t>
      </w:r>
    </w:p>
    <w:p>
      <w:pPr>
        <w:ind w:firstLine="480"/>
        <w:rPr>
          <w:rFonts w:hint="eastAsia"/>
          <w:bCs/>
          <w:color w:val="auto"/>
          <w:kern w:val="0"/>
          <w:u w:val="none"/>
        </w:rPr>
      </w:pPr>
      <w:r>
        <w:rPr>
          <w:rFonts w:hint="eastAsia"/>
          <w:color w:val="auto"/>
          <w:kern w:val="0"/>
          <w:u w:val="none"/>
        </w:rPr>
        <w:t>建设方在严格要求使用污染物排放符合国家标准的运输车辆和施工设备，加强设备、车辆的维修保养，使机械、车辆处于良好的工作状态，严禁使用报废车辆和淘汰设备，一般情况下汽车尾气以及燃油废气不会对大气环境造成太大影响；管道铺设过程中的扬尘防治措施参考污水处理厂工程中的扬尘防治措施，通过对道路</w:t>
      </w:r>
      <w:r>
        <w:rPr>
          <w:rFonts w:hint="eastAsia"/>
          <w:bCs/>
          <w:color w:val="auto"/>
          <w:kern w:val="0"/>
          <w:u w:val="none"/>
        </w:rPr>
        <w:t>路面进行硬化，并辅以洒水、喷洒抑尘剂等措施加强保洁清扫；运输渣土、泥浆、建筑垃圾及砂石等散体建筑材料，应采用密闭运输车辆或采取篷覆式遮盖等措施后管道铺设过程中是扬尘污染对环境影响较小。</w:t>
      </w:r>
    </w:p>
    <w:p>
      <w:pPr>
        <w:pStyle w:val="6"/>
        <w:bidi w:val="0"/>
        <w:rPr>
          <w:rFonts w:hint="eastAsia"/>
        </w:rPr>
      </w:pPr>
      <w:r>
        <w:rPr>
          <w:rFonts w:hint="eastAsia"/>
        </w:rPr>
        <w:t>5.1.2施工期水污染防治措施</w:t>
      </w:r>
    </w:p>
    <w:p>
      <w:pPr>
        <w:ind w:firstLine="480"/>
        <w:rPr>
          <w:rFonts w:hint="eastAsia"/>
          <w:color w:val="auto"/>
          <w:kern w:val="0"/>
          <w:u w:val="none"/>
        </w:rPr>
      </w:pPr>
      <w:r>
        <w:rPr>
          <w:rFonts w:hint="eastAsia"/>
          <w:color w:val="auto"/>
          <w:kern w:val="0"/>
          <w:u w:val="none"/>
        </w:rPr>
        <w:t>施工期水污染主要来自污水处理厂建设工程</w:t>
      </w:r>
      <w:r>
        <w:rPr>
          <w:rFonts w:hint="eastAsia"/>
          <w:color w:val="auto"/>
          <w:kern w:val="0"/>
          <w:u w:val="none"/>
          <w:lang w:eastAsia="zh-CN"/>
        </w:rPr>
        <w:t>及管道铺设过程中产生的</w:t>
      </w:r>
      <w:r>
        <w:rPr>
          <w:rFonts w:hint="eastAsia"/>
          <w:color w:val="auto"/>
          <w:kern w:val="0"/>
          <w:u w:val="none"/>
        </w:rPr>
        <w:t>施工废水、开挖废水以及管道铺设后管道闭水实验废水。</w:t>
      </w:r>
    </w:p>
    <w:p>
      <w:pPr>
        <w:pStyle w:val="69"/>
        <w:rPr>
          <w:rFonts w:hint="eastAsia"/>
          <w:color w:val="auto"/>
          <w:u w:val="none"/>
        </w:rPr>
      </w:pPr>
      <w:r>
        <w:rPr>
          <w:rFonts w:hint="eastAsia"/>
          <w:color w:val="auto"/>
          <w:u w:val="none"/>
        </w:rPr>
        <w:t>5</w:t>
      </w:r>
      <w:r>
        <w:rPr>
          <w:color w:val="auto"/>
          <w:u w:val="none"/>
        </w:rPr>
        <w:t>.1.2.1</w:t>
      </w:r>
      <w:r>
        <w:rPr>
          <w:rFonts w:hint="eastAsia"/>
          <w:color w:val="auto"/>
          <w:u w:val="none"/>
        </w:rPr>
        <w:t>污水处理厂施工期水污染防治措施</w:t>
      </w:r>
    </w:p>
    <w:p>
      <w:pPr>
        <w:ind w:firstLine="480"/>
        <w:rPr>
          <w:rFonts w:hint="eastAsia"/>
          <w:color w:val="auto"/>
          <w:kern w:val="0"/>
          <w:u w:val="none"/>
        </w:rPr>
      </w:pPr>
      <w:r>
        <w:rPr>
          <w:rFonts w:hint="eastAsia"/>
          <w:color w:val="auto"/>
          <w:kern w:val="0"/>
          <w:u w:val="none"/>
        </w:rPr>
        <w:t>①</w:t>
      </w:r>
      <w:r>
        <w:rPr>
          <w:color w:val="auto"/>
          <w:kern w:val="0"/>
          <w:u w:val="none"/>
        </w:rPr>
        <w:t>施工期间，应对地面水的排放进行组织设计，严禁乱排、乱流污染道路、环境或淹没市政设施；施工上要尽量求得土石方工程的平衡，减少弃土，做好各项排水、截水、防止水土流失的设计。工程施工区设置完善的配套排水系统、泥浆沉淀设施，施工场地的渣土车辆经过冲洗干净后方可出行，冲洗废水经过沉淀处理后回用。在洗车台四周设置污水排水沟连接沉淀池，设计沉淀时间为2h以上，为保证沉淀效果，可适当延长沉淀时间。沉淀池的设计容量考虑一定的调节系数，设计容量可取</w:t>
      </w:r>
      <w:r>
        <w:rPr>
          <w:rFonts w:hint="eastAsia"/>
          <w:color w:val="auto"/>
          <w:kern w:val="0"/>
          <w:u w:val="none"/>
          <w:lang w:val="en-US" w:eastAsia="zh-CN"/>
        </w:rPr>
        <w:t>15</w:t>
      </w:r>
      <w:r>
        <w:rPr>
          <w:color w:val="auto"/>
          <w:kern w:val="0"/>
          <w:u w:val="none"/>
        </w:rPr>
        <w:t>m</w:t>
      </w:r>
      <w:r>
        <w:rPr>
          <w:rFonts w:hint="eastAsia"/>
          <w:color w:val="auto"/>
          <w:kern w:val="0"/>
          <w:u w:val="none"/>
          <w:vertAlign w:val="superscript"/>
        </w:rPr>
        <w:t>3</w:t>
      </w:r>
      <w:r>
        <w:rPr>
          <w:rFonts w:hint="eastAsia"/>
          <w:color w:val="auto"/>
          <w:kern w:val="0"/>
          <w:u w:val="none"/>
        </w:rPr>
        <w:t>，</w:t>
      </w:r>
      <w:r>
        <w:rPr>
          <w:color w:val="auto"/>
          <w:kern w:val="0"/>
          <w:u w:val="none"/>
        </w:rPr>
        <w:t>沉淀池尺寸</w:t>
      </w:r>
      <w:r>
        <w:rPr>
          <w:rFonts w:hint="eastAsia"/>
          <w:color w:val="auto"/>
          <w:kern w:val="0"/>
          <w:u w:val="none"/>
          <w:lang w:val="en-US" w:eastAsia="zh-CN"/>
        </w:rPr>
        <w:t>3</w:t>
      </w:r>
      <w:r>
        <w:rPr>
          <w:color w:val="auto"/>
          <w:kern w:val="0"/>
          <w:u w:val="none"/>
        </w:rPr>
        <w:t>×</w:t>
      </w:r>
      <w:r>
        <w:rPr>
          <w:rFonts w:hint="eastAsia"/>
          <w:color w:val="auto"/>
          <w:kern w:val="0"/>
          <w:u w:val="none"/>
          <w:lang w:val="en-US" w:eastAsia="zh-CN"/>
        </w:rPr>
        <w:t>3</w:t>
      </w:r>
      <w:r>
        <w:rPr>
          <w:color w:val="auto"/>
          <w:kern w:val="0"/>
          <w:u w:val="none"/>
        </w:rPr>
        <w:t>×</w:t>
      </w:r>
      <w:r>
        <w:rPr>
          <w:rFonts w:hint="eastAsia"/>
          <w:color w:val="auto"/>
          <w:kern w:val="0"/>
          <w:u w:val="none"/>
          <w:lang w:val="en-US" w:eastAsia="zh-CN"/>
        </w:rPr>
        <w:t>2.2</w:t>
      </w:r>
      <w:r>
        <w:rPr>
          <w:color w:val="auto"/>
          <w:kern w:val="0"/>
          <w:u w:val="none"/>
        </w:rPr>
        <w:t>m（长×宽×高），沉淀池留0.5m的安全超高，</w:t>
      </w:r>
      <w:r>
        <w:rPr>
          <w:rFonts w:hint="eastAsia"/>
          <w:color w:val="auto"/>
          <w:kern w:val="0"/>
          <w:u w:val="none"/>
          <w:lang w:eastAsia="zh-CN"/>
        </w:rPr>
        <w:t>出入口</w:t>
      </w:r>
      <w:r>
        <w:rPr>
          <w:color w:val="auto"/>
          <w:kern w:val="0"/>
          <w:u w:val="none"/>
        </w:rPr>
        <w:t>设置一套。</w:t>
      </w:r>
    </w:p>
    <w:p>
      <w:pPr>
        <w:ind w:firstLine="480"/>
        <w:rPr>
          <w:color w:val="auto"/>
          <w:kern w:val="0"/>
          <w:u w:val="none"/>
        </w:rPr>
      </w:pPr>
      <w:r>
        <w:rPr>
          <w:rFonts w:hint="eastAsia"/>
          <w:color w:val="auto"/>
          <w:kern w:val="0"/>
          <w:u w:val="none"/>
        </w:rPr>
        <w:t>②</w:t>
      </w:r>
      <w:r>
        <w:rPr>
          <w:color w:val="auto"/>
          <w:kern w:val="0"/>
          <w:u w:val="none"/>
        </w:rPr>
        <w:t>在施工中，应合理安排施工计划、施工程序，协调好各个施工步骤，雨季中尽量减少地面坡度，减少开挖面，并争取土料随挖、随运，减少堆土裸土的暴露时间，以避免受降雨的直接冲刷，在暴雨期，还应采取应急措施，尽量用覆盖物覆盖新开挖的陡坡，防止冲刷和塌崩。</w:t>
      </w:r>
    </w:p>
    <w:p>
      <w:pPr>
        <w:ind w:firstLine="480"/>
        <w:rPr>
          <w:color w:val="auto"/>
          <w:kern w:val="0"/>
          <w:u w:val="none"/>
        </w:rPr>
      </w:pPr>
      <w:r>
        <w:rPr>
          <w:rFonts w:hint="eastAsia"/>
          <w:color w:val="auto"/>
          <w:kern w:val="0"/>
          <w:u w:val="none"/>
        </w:rPr>
        <w:t>③</w:t>
      </w:r>
      <w:r>
        <w:rPr>
          <w:color w:val="auto"/>
          <w:kern w:val="0"/>
          <w:u w:val="none"/>
        </w:rPr>
        <w:t>在厂区施工场地，争取做到土料随填随压，不留松土。同时，要开边沟，边坡要用石块铺砌，填土场的上游要设置导流沟，防止上游的径流通过，填土作业应尽量集中和避开暴雨期。</w:t>
      </w:r>
    </w:p>
    <w:p>
      <w:pPr>
        <w:ind w:firstLine="480"/>
        <w:rPr>
          <w:color w:val="auto"/>
          <w:kern w:val="0"/>
          <w:u w:val="none"/>
        </w:rPr>
      </w:pPr>
      <w:r>
        <w:rPr>
          <w:rFonts w:hint="eastAsia"/>
          <w:color w:val="auto"/>
          <w:kern w:val="0"/>
          <w:u w:val="none"/>
        </w:rPr>
        <w:t>④</w:t>
      </w:r>
      <w:r>
        <w:rPr>
          <w:color w:val="auto"/>
          <w:kern w:val="0"/>
          <w:u w:val="none"/>
        </w:rPr>
        <w:t>在工程施工场地内需构筑相应容量的集水沉砂池和排水沟，以收集地表径流和施工过程产生的泥浆水、废水和污水，经过沉沙、除渣和隔油等处理后，回用施工建设。</w:t>
      </w:r>
    </w:p>
    <w:p>
      <w:pPr>
        <w:ind w:firstLine="480"/>
        <w:rPr>
          <w:color w:val="auto"/>
          <w:kern w:val="0"/>
          <w:u w:val="none"/>
        </w:rPr>
      </w:pPr>
      <w:r>
        <w:rPr>
          <w:rFonts w:hint="eastAsia"/>
          <w:color w:val="auto"/>
          <w:kern w:val="0"/>
          <w:u w:val="none"/>
        </w:rPr>
        <w:t>⑤</w:t>
      </w:r>
      <w:r>
        <w:rPr>
          <w:color w:val="auto"/>
          <w:kern w:val="0"/>
          <w:u w:val="none"/>
        </w:rPr>
        <w:t>运输、施工机械机修油污应集中处理，擦有油污的固体废弃物不得随意乱扔，要妥善处理，以减少石油类对水环境的污染。</w:t>
      </w:r>
    </w:p>
    <w:p>
      <w:pPr>
        <w:pStyle w:val="69"/>
        <w:rPr>
          <w:rFonts w:hint="eastAsia"/>
          <w:color w:val="auto"/>
          <w:u w:val="none"/>
        </w:rPr>
      </w:pPr>
      <w:r>
        <w:rPr>
          <w:rFonts w:hint="eastAsia"/>
          <w:color w:val="auto"/>
          <w:u w:val="none"/>
        </w:rPr>
        <w:t>5</w:t>
      </w:r>
      <w:r>
        <w:rPr>
          <w:color w:val="auto"/>
          <w:u w:val="none"/>
        </w:rPr>
        <w:t>.1.2.2</w:t>
      </w:r>
      <w:r>
        <w:rPr>
          <w:rFonts w:hint="eastAsia"/>
          <w:color w:val="auto"/>
          <w:u w:val="none"/>
        </w:rPr>
        <w:t>管道铺设工程施工期水污染防治措施</w:t>
      </w:r>
    </w:p>
    <w:p>
      <w:pPr>
        <w:ind w:firstLine="600" w:firstLineChars="250"/>
        <w:rPr>
          <w:rFonts w:hint="eastAsia"/>
          <w:b/>
          <w:color w:val="auto"/>
          <w:kern w:val="0"/>
          <w:u w:val="none"/>
        </w:rPr>
      </w:pPr>
      <w:r>
        <w:rPr>
          <w:rFonts w:hint="eastAsia"/>
          <w:bCs/>
          <w:color w:val="auto"/>
          <w:kern w:val="0"/>
          <w:u w:val="none"/>
        </w:rPr>
        <w:t>针对管道铺设工程中的水污染物产生情况，对于防治工程施工期水污染物提出以下水污染物防治措施：</w:t>
      </w:r>
    </w:p>
    <w:p>
      <w:pPr>
        <w:pStyle w:val="104"/>
        <w:ind w:firstLine="480"/>
        <w:rPr>
          <w:rFonts w:ascii="Times New Roman" w:hAnsi="Times New Roman"/>
          <w:bCs/>
          <w:color w:val="auto"/>
          <w:szCs w:val="24"/>
          <w:u w:val="none"/>
        </w:rPr>
      </w:pPr>
      <w:r>
        <w:rPr>
          <w:rFonts w:ascii="Times New Roman" w:hAnsi="Times New Roman"/>
          <w:bCs/>
          <w:color w:val="auto"/>
          <w:szCs w:val="24"/>
          <w:u w:val="none"/>
        </w:rPr>
        <w:t>（1）弃土临时堆放处、开挖裸露的土地等在大雨冲刷时泥土会随雨水流失，形成含泥沙的废水；为减少雨天在项目施工场地形成的地面径流对周围环境的影响，项目应在施工场地内开挖临时雨水排水沟，在雨水排水口处设置沉淀池，对场地内的雨水径流进行简易沉淀处理，并在排水口设置细格栅，拦截大的块状物。经沉淀处理后的废水可</w:t>
      </w:r>
      <w:r>
        <w:rPr>
          <w:rFonts w:hint="eastAsia" w:ascii="Times New Roman" w:hAnsi="Times New Roman"/>
          <w:bCs/>
          <w:color w:val="auto"/>
          <w:szCs w:val="24"/>
          <w:u w:val="none"/>
        </w:rPr>
        <w:t>用于施工场地的洒水降尘</w:t>
      </w:r>
      <w:r>
        <w:rPr>
          <w:rFonts w:ascii="Times New Roman" w:hAnsi="Times New Roman"/>
          <w:bCs/>
          <w:color w:val="auto"/>
          <w:szCs w:val="24"/>
          <w:u w:val="none"/>
        </w:rPr>
        <w:t>。</w:t>
      </w:r>
    </w:p>
    <w:p>
      <w:pPr>
        <w:ind w:firstLine="480"/>
        <w:rPr>
          <w:bCs/>
          <w:color w:val="auto"/>
          <w:u w:val="none"/>
        </w:rPr>
      </w:pPr>
      <w:r>
        <w:rPr>
          <w:rFonts w:ascii="Times New Roman" w:hAnsi="Times New Roman"/>
          <w:color w:val="auto"/>
          <w:u w:val="none"/>
        </w:rPr>
        <w:t>（2）</w:t>
      </w:r>
      <w:r>
        <w:rPr>
          <w:rFonts w:hint="eastAsia" w:ascii="Times New Roman" w:hAnsi="Times New Roman"/>
          <w:bCs/>
          <w:color w:val="auto"/>
          <w:szCs w:val="24"/>
          <w:u w:val="none"/>
        </w:rPr>
        <w:t>管道闭水试验废水排入合理安置的排放口，在排放口出设置沉淀池，试验废水经沉淀池处理后可回用于降尘，不会对周边环境造成不良影响。</w:t>
      </w:r>
    </w:p>
    <w:p>
      <w:pPr>
        <w:ind w:firstLine="480"/>
        <w:rPr>
          <w:rFonts w:hint="eastAsia"/>
          <w:color w:val="auto"/>
          <w:kern w:val="0"/>
          <w:u w:val="none"/>
        </w:rPr>
      </w:pPr>
      <w:r>
        <w:rPr>
          <w:rFonts w:hint="eastAsia"/>
          <w:color w:val="auto"/>
          <w:kern w:val="0"/>
          <w:u w:val="none"/>
        </w:rPr>
        <w:t>综上所述，本项目污水处理厂工程、管道铺设过程</w:t>
      </w:r>
      <w:r>
        <w:rPr>
          <w:rFonts w:hint="eastAsia"/>
          <w:color w:val="auto"/>
          <w:kern w:val="0"/>
          <w:u w:val="none"/>
          <w:lang w:eastAsia="zh-CN"/>
        </w:rPr>
        <w:t>中</w:t>
      </w:r>
      <w:r>
        <w:rPr>
          <w:rFonts w:hint="eastAsia"/>
          <w:color w:val="auto"/>
          <w:kern w:val="0"/>
          <w:u w:val="none"/>
        </w:rPr>
        <w:t>建设方在严格按照上述措施执行后，施工人员</w:t>
      </w:r>
      <w:r>
        <w:rPr>
          <w:rFonts w:hint="eastAsia"/>
          <w:color w:val="auto"/>
          <w:kern w:val="0"/>
          <w:u w:val="none"/>
          <w:lang w:eastAsia="zh-CN"/>
        </w:rPr>
        <w:t>食宿依靠园区办公楼，不在场内食宿，故施工场地不排放生活废水</w:t>
      </w:r>
      <w:r>
        <w:rPr>
          <w:rFonts w:hint="eastAsia"/>
          <w:color w:val="auto"/>
          <w:kern w:val="0"/>
          <w:u w:val="none"/>
        </w:rPr>
        <w:t>，施工废水合理排放，设计</w:t>
      </w:r>
      <w:r>
        <w:rPr>
          <w:rFonts w:hint="eastAsia"/>
          <w:color w:val="auto"/>
          <w:kern w:val="0"/>
          <w:u w:val="none"/>
          <w:lang w:eastAsia="zh-CN"/>
        </w:rPr>
        <w:t>沉淀</w:t>
      </w:r>
      <w:r>
        <w:rPr>
          <w:rFonts w:hint="eastAsia"/>
          <w:color w:val="auto"/>
          <w:kern w:val="0"/>
          <w:u w:val="none"/>
        </w:rPr>
        <w:t>池以及排水沟等，项目施工期不会对区域地表水环境造成较大不良影响。</w:t>
      </w:r>
    </w:p>
    <w:p>
      <w:pPr>
        <w:pStyle w:val="6"/>
        <w:bidi w:val="0"/>
      </w:pPr>
      <w:r>
        <w:rPr>
          <w:rFonts w:hint="eastAsia"/>
        </w:rPr>
        <w:t>5.1.3</w:t>
      </w:r>
      <w:r>
        <w:t>施工期噪声污染防治措施</w:t>
      </w:r>
    </w:p>
    <w:p>
      <w:pPr>
        <w:ind w:firstLine="480"/>
        <w:rPr>
          <w:color w:val="auto"/>
          <w:kern w:val="0"/>
          <w:u w:val="none"/>
        </w:rPr>
      </w:pPr>
      <w:r>
        <w:rPr>
          <w:color w:val="auto"/>
          <w:kern w:val="0"/>
          <w:u w:val="none"/>
        </w:rPr>
        <w:t>施工期间的噪声污染主要来自于施工机械作业产生的噪声和运输车辆产生的交通噪声</w:t>
      </w:r>
      <w:r>
        <w:rPr>
          <w:rFonts w:hint="eastAsia"/>
          <w:color w:val="auto"/>
          <w:kern w:val="0"/>
          <w:u w:val="none"/>
        </w:rPr>
        <w:t>，因此对于施工期污水处理厂工程、管道铺设工程</w:t>
      </w:r>
      <w:r>
        <w:rPr>
          <w:rFonts w:hint="eastAsia"/>
          <w:color w:val="auto"/>
          <w:kern w:val="0"/>
          <w:u w:val="none"/>
          <w:lang w:eastAsia="zh-CN"/>
        </w:rPr>
        <w:t>，</w:t>
      </w:r>
      <w:r>
        <w:rPr>
          <w:rFonts w:hint="eastAsia"/>
          <w:color w:val="auto"/>
          <w:kern w:val="0"/>
          <w:u w:val="none"/>
        </w:rPr>
        <w:t>本环评针对噪声污染提出以下防治措施：</w:t>
      </w:r>
    </w:p>
    <w:p>
      <w:pPr>
        <w:ind w:firstLine="480"/>
        <w:jc w:val="both"/>
        <w:rPr>
          <w:color w:val="auto"/>
          <w:kern w:val="0"/>
          <w:u w:val="none"/>
        </w:rPr>
      </w:pPr>
      <w:r>
        <w:rPr>
          <w:rFonts w:hint="eastAsia"/>
          <w:color w:val="auto"/>
          <w:kern w:val="0"/>
          <w:u w:val="none"/>
        </w:rPr>
        <w:t>（1）</w:t>
      </w:r>
      <w:r>
        <w:rPr>
          <w:color w:val="auto"/>
          <w:kern w:val="0"/>
          <w:u w:val="none"/>
        </w:rPr>
        <w:t>施工单位应严格执行《中华人民共和国噪声污染防治法》和（GB12523-201）《建筑施工场界环境噪声排放标准》，采用低噪声施工机具和先进工艺进行施工，在施工作业中必须合理安排各类施工机械的工作时间，除必须连续作业的工序外，晚上不得施工。根据有关规定，建设施工时除抢修、抢险作业和因生产工艺上要求或者特殊要求必须连续作业外，禁止夜间进行产生环境噪声污染的建筑施工作业，</w:t>
      </w:r>
      <w:r>
        <w:rPr>
          <w:rFonts w:hint="eastAsia"/>
          <w:color w:val="auto"/>
          <w:kern w:val="0"/>
          <w:u w:val="none"/>
        </w:rPr>
        <w:t>“</w:t>
      </w:r>
      <w:r>
        <w:rPr>
          <w:color w:val="auto"/>
          <w:kern w:val="0"/>
          <w:u w:val="none"/>
        </w:rPr>
        <w:t>因特殊要求必须连续作业的，必须有县级以上人民政府或者有关主管部门的证明</w:t>
      </w:r>
      <w:r>
        <w:rPr>
          <w:rFonts w:hint="eastAsia"/>
          <w:color w:val="auto"/>
          <w:kern w:val="0"/>
          <w:u w:val="none"/>
        </w:rPr>
        <w:t>”（</w:t>
      </w:r>
      <w:r>
        <w:rPr>
          <w:color w:val="auto"/>
          <w:kern w:val="0"/>
          <w:u w:val="none"/>
        </w:rPr>
        <w:t>《中华人民共和国环境噪声污染防治法》第三十条）。</w:t>
      </w:r>
    </w:p>
    <w:p>
      <w:pPr>
        <w:ind w:firstLine="480"/>
        <w:jc w:val="both"/>
        <w:rPr>
          <w:color w:val="auto"/>
          <w:kern w:val="0"/>
          <w:u w:val="none"/>
        </w:rPr>
      </w:pPr>
      <w:r>
        <w:rPr>
          <w:color w:val="auto"/>
          <w:kern w:val="0"/>
          <w:u w:val="none"/>
        </w:rPr>
        <w:t>（</w:t>
      </w:r>
      <w:r>
        <w:rPr>
          <w:rFonts w:hint="eastAsia"/>
          <w:color w:val="auto"/>
          <w:kern w:val="0"/>
          <w:u w:val="none"/>
        </w:rPr>
        <w:t>2</w:t>
      </w:r>
      <w:r>
        <w:rPr>
          <w:color w:val="auto"/>
          <w:kern w:val="0"/>
          <w:u w:val="none"/>
        </w:rPr>
        <w:t>）施工部门应合理安排施工时间和施工场所。制订科学的施工计划，尽可能避免大量高噪声设备同时使用，高噪声设备的施工时间尽量安排在昼间，减少夜间施工，禁止在中午（12</w:t>
      </w:r>
      <w:r>
        <w:rPr>
          <w:rFonts w:hint="eastAsia"/>
          <w:color w:val="auto"/>
          <w:kern w:val="0"/>
          <w:u w:val="none"/>
        </w:rPr>
        <w:t>：</w:t>
      </w:r>
      <w:r>
        <w:rPr>
          <w:color w:val="auto"/>
          <w:kern w:val="0"/>
          <w:u w:val="none"/>
        </w:rPr>
        <w:t>00-14</w:t>
      </w:r>
      <w:r>
        <w:rPr>
          <w:rFonts w:hint="eastAsia"/>
          <w:color w:val="auto"/>
          <w:kern w:val="0"/>
          <w:u w:val="none"/>
        </w:rPr>
        <w:t>：</w:t>
      </w:r>
      <w:r>
        <w:rPr>
          <w:color w:val="auto"/>
          <w:kern w:val="0"/>
          <w:u w:val="none"/>
        </w:rPr>
        <w:t>00）和夜间（22</w:t>
      </w:r>
      <w:r>
        <w:rPr>
          <w:rFonts w:hint="eastAsia"/>
          <w:color w:val="auto"/>
          <w:kern w:val="0"/>
          <w:u w:val="none"/>
        </w:rPr>
        <w:t>：</w:t>
      </w:r>
      <w:r>
        <w:rPr>
          <w:color w:val="auto"/>
          <w:kern w:val="0"/>
          <w:u w:val="none"/>
        </w:rPr>
        <w:t>00-6</w:t>
      </w:r>
      <w:r>
        <w:rPr>
          <w:rFonts w:hint="eastAsia"/>
          <w:color w:val="auto"/>
          <w:kern w:val="0"/>
          <w:u w:val="none"/>
        </w:rPr>
        <w:t>：</w:t>
      </w:r>
      <w:r>
        <w:rPr>
          <w:color w:val="auto"/>
          <w:kern w:val="0"/>
          <w:u w:val="none"/>
        </w:rPr>
        <w:t>00）施工。高噪声作业区应远离声环境敏感区（如民居），并对设备定期保养，严格操作规范。</w:t>
      </w:r>
    </w:p>
    <w:p>
      <w:pPr>
        <w:ind w:firstLine="480"/>
        <w:jc w:val="both"/>
        <w:rPr>
          <w:color w:val="auto"/>
          <w:kern w:val="0"/>
          <w:u w:val="none"/>
        </w:rPr>
      </w:pPr>
      <w:r>
        <w:rPr>
          <w:color w:val="auto"/>
          <w:kern w:val="0"/>
          <w:u w:val="none"/>
        </w:rPr>
        <w:t>（</w:t>
      </w:r>
      <w:r>
        <w:rPr>
          <w:rFonts w:hint="eastAsia"/>
          <w:color w:val="auto"/>
          <w:kern w:val="0"/>
          <w:u w:val="none"/>
        </w:rPr>
        <w:t>3</w:t>
      </w:r>
      <w:r>
        <w:rPr>
          <w:color w:val="auto"/>
          <w:kern w:val="0"/>
          <w:u w:val="none"/>
        </w:rPr>
        <w:t>）合理布局施工现场，避免在同一地点安排多个高噪声设备。</w:t>
      </w:r>
    </w:p>
    <w:p>
      <w:pPr>
        <w:ind w:firstLine="480"/>
        <w:jc w:val="both"/>
        <w:rPr>
          <w:color w:val="auto"/>
          <w:kern w:val="0"/>
          <w:u w:val="none"/>
        </w:rPr>
      </w:pPr>
      <w:r>
        <w:rPr>
          <w:color w:val="auto"/>
          <w:kern w:val="0"/>
          <w:u w:val="none"/>
        </w:rPr>
        <w:t>（</w:t>
      </w:r>
      <w:r>
        <w:rPr>
          <w:rFonts w:hint="eastAsia"/>
          <w:color w:val="auto"/>
          <w:kern w:val="0"/>
          <w:u w:val="none"/>
        </w:rPr>
        <w:t>4</w:t>
      </w:r>
      <w:r>
        <w:rPr>
          <w:color w:val="auto"/>
          <w:kern w:val="0"/>
          <w:u w:val="none"/>
        </w:rPr>
        <w:t>）尽量选用低噪声机械设备或带隔声、消声的设备。设备选型上尽量采用低噪声设备，如以液压机械代替燃油机械，低频振捣器代替高频振捣器等。固定机械设备与挖土、运土机械，如挖土机、推土机等，可以通过排气管消音器和隔离发机振动部件的方法降低噪声。对动力机械设备应进行定期的维修、养护。闲置不用的设备应立即关闭，运输车辆进入现场应减速，并减少鸣笛。</w:t>
      </w:r>
    </w:p>
    <w:p>
      <w:pPr>
        <w:ind w:firstLine="480"/>
        <w:jc w:val="both"/>
        <w:rPr>
          <w:color w:val="auto"/>
          <w:kern w:val="0"/>
          <w:u w:val="none"/>
        </w:rPr>
      </w:pPr>
      <w:r>
        <w:rPr>
          <w:color w:val="auto"/>
          <w:kern w:val="0"/>
          <w:u w:val="none"/>
        </w:rPr>
        <w:t>（</w:t>
      </w:r>
      <w:r>
        <w:rPr>
          <w:rFonts w:hint="eastAsia"/>
          <w:color w:val="auto"/>
          <w:kern w:val="0"/>
          <w:u w:val="none"/>
        </w:rPr>
        <w:t>5</w:t>
      </w:r>
      <w:r>
        <w:rPr>
          <w:color w:val="auto"/>
          <w:kern w:val="0"/>
          <w:u w:val="none"/>
        </w:rPr>
        <w:t>）降低人为噪声。按照规定操作机械设备，在挡板、支架拆卸过程中，应遵守作业规定，减少碰撞噪声。</w:t>
      </w:r>
    </w:p>
    <w:p>
      <w:pPr>
        <w:ind w:firstLine="480"/>
        <w:jc w:val="both"/>
        <w:rPr>
          <w:color w:val="auto"/>
          <w:u w:val="none"/>
        </w:rPr>
      </w:pPr>
      <w:r>
        <w:rPr>
          <w:color w:val="auto"/>
          <w:u w:val="none"/>
        </w:rPr>
        <w:t>（</w:t>
      </w:r>
      <w:r>
        <w:rPr>
          <w:rFonts w:hint="eastAsia"/>
          <w:color w:val="auto"/>
          <w:u w:val="none"/>
        </w:rPr>
        <w:t>6</w:t>
      </w:r>
      <w:r>
        <w:rPr>
          <w:color w:val="auto"/>
          <w:u w:val="none"/>
        </w:rPr>
        <w:t>）施工运输车辆进出应合理安排，尽量避开噪声敏感区，尽量减少交通堵塞。</w:t>
      </w:r>
    </w:p>
    <w:p>
      <w:pPr>
        <w:ind w:firstLine="480"/>
        <w:jc w:val="both"/>
        <w:rPr>
          <w:color w:val="auto"/>
          <w:u w:val="none"/>
        </w:rPr>
      </w:pPr>
      <w:r>
        <w:rPr>
          <w:color w:val="auto"/>
          <w:u w:val="none"/>
        </w:rPr>
        <w:t>（</w:t>
      </w:r>
      <w:r>
        <w:rPr>
          <w:rFonts w:hint="eastAsia"/>
          <w:color w:val="auto"/>
          <w:u w:val="none"/>
        </w:rPr>
        <w:t>7</w:t>
      </w:r>
      <w:r>
        <w:rPr>
          <w:color w:val="auto"/>
          <w:u w:val="none"/>
        </w:rPr>
        <w:t>）严禁高噪声设备在作息时间</w:t>
      </w:r>
      <w:r>
        <w:rPr>
          <w:rFonts w:hint="eastAsia"/>
          <w:color w:val="auto"/>
          <w:u w:val="none"/>
        </w:rPr>
        <w:t>（中午和夜间）</w:t>
      </w:r>
      <w:r>
        <w:rPr>
          <w:color w:val="auto"/>
          <w:u w:val="none"/>
        </w:rPr>
        <w:t>作业。施工单位在工程开工前15天内向有审批权的环境保护部门提出申报，并说明拟采用的防治措施。</w:t>
      </w:r>
    </w:p>
    <w:p>
      <w:pPr>
        <w:ind w:firstLine="480"/>
        <w:jc w:val="both"/>
        <w:rPr>
          <w:rFonts w:hint="eastAsia"/>
          <w:color w:val="auto"/>
          <w:u w:val="none"/>
        </w:rPr>
      </w:pPr>
      <w:r>
        <w:rPr>
          <w:color w:val="auto"/>
          <w:u w:val="none"/>
        </w:rPr>
        <w:t>（</w:t>
      </w:r>
      <w:r>
        <w:rPr>
          <w:rFonts w:hint="eastAsia"/>
          <w:color w:val="auto"/>
          <w:u w:val="none"/>
        </w:rPr>
        <w:t>8</w:t>
      </w:r>
      <w:r>
        <w:rPr>
          <w:color w:val="auto"/>
          <w:u w:val="none"/>
        </w:rPr>
        <w:t>）加强现场运输管理，对施工车辆造成的噪声影响要加强管理，运输车辆尽量采用较低声级的喇叭，并在所经过的道路禁止鸣笛，以免影响沿途居民的正常生活。</w:t>
      </w:r>
    </w:p>
    <w:p>
      <w:pPr>
        <w:ind w:firstLine="480"/>
        <w:jc w:val="both"/>
        <w:rPr>
          <w:color w:val="auto"/>
          <w:u w:val="none"/>
        </w:rPr>
      </w:pPr>
      <w:r>
        <w:rPr>
          <w:rFonts w:hint="eastAsia"/>
          <w:color w:val="auto"/>
          <w:u w:val="none"/>
        </w:rPr>
        <w:t>（9）为保护施工人员的健康，施工单位要合理安排工作人员轮流操作辐射高强噪音的施工机械，减少接触高噪音的时间。对距辐射高强噪音源较近的施工人员，除采取戴保护耳塞或头盔等劳保措施外，还应适当缩短其劳动时间。</w:t>
      </w:r>
    </w:p>
    <w:p>
      <w:pPr>
        <w:ind w:firstLine="480"/>
        <w:jc w:val="both"/>
        <w:rPr>
          <w:rFonts w:hint="eastAsia"/>
          <w:color w:val="auto"/>
          <w:u w:val="none"/>
        </w:rPr>
      </w:pPr>
      <w:r>
        <w:rPr>
          <w:rFonts w:hint="eastAsia"/>
          <w:color w:val="auto"/>
          <w:u w:val="none"/>
        </w:rPr>
        <w:t>（10）</w:t>
      </w:r>
      <w:r>
        <w:rPr>
          <w:rFonts w:hint="eastAsia"/>
          <w:color w:val="auto"/>
          <w:u w:val="none"/>
          <w:lang w:eastAsia="zh-CN"/>
        </w:rPr>
        <w:t>公租房</w:t>
      </w:r>
      <w:r>
        <w:rPr>
          <w:rFonts w:hint="eastAsia"/>
          <w:color w:val="auto"/>
          <w:u w:val="none"/>
        </w:rPr>
        <w:t>居民点位于项目污水处理厂</w:t>
      </w:r>
      <w:r>
        <w:rPr>
          <w:rFonts w:hint="eastAsia"/>
          <w:color w:val="auto"/>
          <w:u w:val="none"/>
          <w:lang w:eastAsia="zh-CN"/>
        </w:rPr>
        <w:t>西北</w:t>
      </w:r>
      <w:r>
        <w:rPr>
          <w:rFonts w:hint="eastAsia"/>
          <w:color w:val="auto"/>
          <w:u w:val="none"/>
        </w:rPr>
        <w:t>侧约</w:t>
      </w:r>
      <w:r>
        <w:rPr>
          <w:rFonts w:hint="eastAsia"/>
          <w:color w:val="auto"/>
          <w:u w:val="none"/>
          <w:lang w:val="en-US" w:eastAsia="zh-CN"/>
        </w:rPr>
        <w:t>50</w:t>
      </w:r>
      <w:r>
        <w:rPr>
          <w:rFonts w:hint="eastAsia"/>
          <w:color w:val="auto"/>
          <w:u w:val="none"/>
        </w:rPr>
        <w:t>m处，管道铺设工程附近居民点也在200m距离以内，因此，针对环境敏感点，本环评要求工程施工期间，应加强管理，合理制定施工便道和环境管理计划，合理安排施工时间，并在靠近居民点一侧设置施工屏障，降低施工噪声污染。</w:t>
      </w:r>
    </w:p>
    <w:p>
      <w:pPr>
        <w:ind w:firstLine="480"/>
        <w:jc w:val="both"/>
        <w:rPr>
          <w:color w:val="auto"/>
          <w:u w:val="none"/>
        </w:rPr>
      </w:pPr>
      <w:r>
        <w:rPr>
          <w:color w:val="auto"/>
          <w:u w:val="none"/>
        </w:rPr>
        <w:t>对施工场地噪声除采取以上减噪措施以外，还应与沿线周围单位、居民建立良好的社区关系，对受施工干扰的单位和居民应在作业前予以通知，并随时向他们汇报施工进度及施工中对降低噪声采取的措施，求得公众的共同理解。此外，施工期间应设热线投诉电话，接受噪声扰民的投诉，并对投诉情况进行积极治理。</w:t>
      </w:r>
    </w:p>
    <w:p>
      <w:pPr>
        <w:pStyle w:val="6"/>
        <w:bidi w:val="0"/>
      </w:pPr>
      <w:r>
        <w:rPr>
          <w:rFonts w:hint="eastAsia"/>
        </w:rPr>
        <w:t>5.1.4</w:t>
      </w:r>
      <w:r>
        <w:t>施工期固体废物</w:t>
      </w:r>
    </w:p>
    <w:p>
      <w:pPr>
        <w:ind w:firstLine="480"/>
        <w:jc w:val="both"/>
        <w:rPr>
          <w:color w:val="auto"/>
          <w:kern w:val="0"/>
          <w:u w:val="none"/>
        </w:rPr>
      </w:pPr>
      <w:r>
        <w:rPr>
          <w:rFonts w:hint="eastAsia"/>
          <w:color w:val="auto"/>
          <w:kern w:val="0"/>
          <w:u w:val="none"/>
        </w:rPr>
        <w:t>对于本项目施工期的固体废物主要表现为施工人员生活垃圾、工程开挖废弃土石方以及施工过程中的施工垃圾、建筑垃圾，</w:t>
      </w:r>
      <w:r>
        <w:rPr>
          <w:color w:val="auto"/>
          <w:kern w:val="0"/>
          <w:u w:val="none"/>
        </w:rPr>
        <w:t>为防止和减少施工期固体废物对环境的影响，施工单位应采取以下措施：</w:t>
      </w:r>
    </w:p>
    <w:p>
      <w:pPr>
        <w:ind w:firstLine="480"/>
        <w:jc w:val="both"/>
        <w:rPr>
          <w:color w:val="auto"/>
          <w:kern w:val="0"/>
          <w:u w:val="none"/>
        </w:rPr>
      </w:pPr>
      <w:r>
        <w:rPr>
          <w:rFonts w:hint="eastAsia"/>
          <w:color w:val="auto"/>
          <w:kern w:val="0"/>
          <w:u w:val="none"/>
        </w:rPr>
        <w:t>（1）</w:t>
      </w:r>
      <w:r>
        <w:rPr>
          <w:color w:val="auto"/>
          <w:kern w:val="0"/>
          <w:u w:val="none"/>
        </w:rPr>
        <w:t>施工开挖的表层土应单独存放，并采取相应的防护措施，防止雨水冲刷，以备施工结束后绿化和复垦用；施工过程中产生的建筑垃圾等及时清运，并做好清运前和堆存过程中的水土流失防治工作</w:t>
      </w:r>
      <w:r>
        <w:rPr>
          <w:rFonts w:hint="eastAsia"/>
          <w:color w:val="auto"/>
          <w:kern w:val="0"/>
          <w:u w:val="none"/>
          <w:lang w:eastAsia="zh-CN"/>
        </w:rPr>
        <w:t>，弃土应做到及时回填，减少堆存时间</w:t>
      </w:r>
      <w:r>
        <w:rPr>
          <w:color w:val="auto"/>
          <w:kern w:val="0"/>
          <w:u w:val="none"/>
        </w:rPr>
        <w:t>。清运必须限制在规定时段内进行，按指定路段行驶。车辆运输散体物和废弃物时，运输车辆必须做到装载适量，需要穿越施工场地外区域的车辆应加盖遮布，出工地前做好外部清洗，沿途不漏泥土、不飞扬。</w:t>
      </w:r>
    </w:p>
    <w:p>
      <w:pPr>
        <w:ind w:firstLine="480"/>
        <w:jc w:val="both"/>
        <w:rPr>
          <w:color w:val="auto"/>
          <w:kern w:val="0"/>
          <w:u w:val="none"/>
        </w:rPr>
      </w:pPr>
      <w:r>
        <w:rPr>
          <w:rFonts w:hint="eastAsia"/>
          <w:color w:val="auto"/>
          <w:kern w:val="0"/>
          <w:u w:val="none"/>
        </w:rPr>
        <w:t>（2）</w:t>
      </w:r>
      <w:r>
        <w:rPr>
          <w:color w:val="auto"/>
          <w:kern w:val="0"/>
          <w:u w:val="none"/>
        </w:rPr>
        <w:t>对于施工垃圾、维修垃圾，要求进行分类和处理，其中可利用的物料，应重复利用或收购，如纸质、木质、金属性和玻璃质的垃圾可供收购站再利用，对不能利用的，应按要求，运送到指定地点。</w:t>
      </w:r>
    </w:p>
    <w:p>
      <w:pPr>
        <w:ind w:firstLine="480"/>
        <w:jc w:val="both"/>
        <w:rPr>
          <w:rFonts w:hint="eastAsia"/>
          <w:color w:val="auto"/>
          <w:kern w:val="0"/>
          <w:u w:val="none"/>
        </w:rPr>
      </w:pPr>
      <w:r>
        <w:rPr>
          <w:rFonts w:hint="eastAsia"/>
          <w:color w:val="auto"/>
          <w:kern w:val="0"/>
          <w:u w:val="none"/>
        </w:rPr>
        <w:t>（3）</w:t>
      </w:r>
      <w:r>
        <w:rPr>
          <w:color w:val="auto"/>
          <w:kern w:val="0"/>
          <w:u w:val="none"/>
        </w:rPr>
        <w:t>施工</w:t>
      </w:r>
      <w:r>
        <w:rPr>
          <w:rFonts w:hint="eastAsia"/>
          <w:color w:val="auto"/>
          <w:kern w:val="0"/>
          <w:u w:val="none"/>
        </w:rPr>
        <w:t>管理</w:t>
      </w:r>
      <w:r>
        <w:rPr>
          <w:color w:val="auto"/>
          <w:kern w:val="0"/>
          <w:u w:val="none"/>
        </w:rPr>
        <w:t>人员集中的</w:t>
      </w:r>
      <w:r>
        <w:rPr>
          <w:rFonts w:hint="eastAsia"/>
          <w:color w:val="auto"/>
          <w:kern w:val="0"/>
          <w:u w:val="none"/>
        </w:rPr>
        <w:t>施工</w:t>
      </w:r>
      <w:r>
        <w:rPr>
          <w:color w:val="auto"/>
          <w:kern w:val="0"/>
          <w:u w:val="none"/>
        </w:rPr>
        <w:t>营地，要设兼职的环境卫生管理人员，负责</w:t>
      </w:r>
      <w:r>
        <w:rPr>
          <w:rFonts w:hint="eastAsia"/>
          <w:color w:val="auto"/>
          <w:kern w:val="0"/>
          <w:u w:val="none"/>
        </w:rPr>
        <w:t>施工营地</w:t>
      </w:r>
      <w:r>
        <w:rPr>
          <w:color w:val="auto"/>
          <w:kern w:val="0"/>
          <w:u w:val="none"/>
        </w:rPr>
        <w:t>的生活垃圾集中统一收集，并交由环卫部门进行无害化处理，不可随意倾倒。对于由施工人员产生的较集中的生活垃圾，应采用定点收集方式，设立专门的容器</w:t>
      </w:r>
      <w:r>
        <w:rPr>
          <w:rFonts w:hint="eastAsia"/>
          <w:color w:val="auto"/>
          <w:kern w:val="0"/>
          <w:u w:val="none"/>
          <w:lang w:eastAsia="zh-CN"/>
        </w:rPr>
        <w:t>（</w:t>
      </w:r>
      <w:r>
        <w:rPr>
          <w:color w:val="auto"/>
          <w:kern w:val="0"/>
          <w:u w:val="none"/>
        </w:rPr>
        <w:t>如垃圾箱</w:t>
      </w:r>
      <w:r>
        <w:rPr>
          <w:rFonts w:hint="eastAsia"/>
          <w:color w:val="auto"/>
          <w:kern w:val="0"/>
          <w:u w:val="none"/>
          <w:lang w:eastAsia="zh-CN"/>
        </w:rPr>
        <w:t>）</w:t>
      </w:r>
      <w:r>
        <w:rPr>
          <w:color w:val="auto"/>
          <w:kern w:val="0"/>
          <w:u w:val="none"/>
        </w:rPr>
        <w:t>加以收集，并按时每天清运。对于人员活动产生的分散垃圾，除对施工人员加强环境保护教育外，也应设立一些分散的小型垃圾收集器，如废物箱等加以收集，并派专人定时打扫清理。</w:t>
      </w:r>
    </w:p>
    <w:p>
      <w:pPr>
        <w:ind w:firstLine="480"/>
        <w:jc w:val="both"/>
        <w:rPr>
          <w:color w:val="auto"/>
          <w:kern w:val="0"/>
          <w:u w:val="none"/>
        </w:rPr>
      </w:pPr>
      <w:r>
        <w:rPr>
          <w:rFonts w:hint="eastAsia"/>
          <w:color w:val="auto"/>
          <w:kern w:val="0"/>
          <w:u w:val="none"/>
        </w:rPr>
        <w:t>（4）施工建材堆场设在暴雨径流冲刷影响最小处。在建材堆放场四周必须挖明沟、沉沙井，挡土墙等，防止被暴雨径流冲刷进入周围水体，影响水质。</w:t>
      </w:r>
    </w:p>
    <w:p>
      <w:pPr>
        <w:pStyle w:val="6"/>
        <w:bidi w:val="0"/>
        <w:rPr>
          <w:u w:val="single"/>
        </w:rPr>
      </w:pPr>
      <w:r>
        <w:rPr>
          <w:rFonts w:hint="eastAsia"/>
          <w:u w:val="single"/>
        </w:rPr>
        <w:t>5.1.5</w:t>
      </w:r>
      <w:r>
        <w:rPr>
          <w:u w:val="single"/>
        </w:rPr>
        <w:t>生态环境保护措施</w:t>
      </w:r>
    </w:p>
    <w:p>
      <w:pPr>
        <w:ind w:firstLine="480"/>
        <w:jc w:val="both"/>
        <w:rPr>
          <w:rFonts w:hint="eastAsia"/>
          <w:color w:val="auto"/>
          <w:kern w:val="0"/>
          <w:u w:val="single"/>
        </w:rPr>
      </w:pPr>
      <w:r>
        <w:rPr>
          <w:rFonts w:hint="eastAsia"/>
          <w:color w:val="auto"/>
          <w:kern w:val="0"/>
          <w:u w:val="single"/>
        </w:rPr>
        <w:t>本项目为新建工程，根据现场调查以及结合各工程建设内容及规模提出以下生态环境保护措施：</w:t>
      </w:r>
    </w:p>
    <w:p>
      <w:pPr>
        <w:ind w:firstLine="480"/>
        <w:jc w:val="both"/>
        <w:rPr>
          <w:color w:val="auto"/>
          <w:kern w:val="0"/>
          <w:u w:val="single"/>
        </w:rPr>
      </w:pPr>
      <w:r>
        <w:rPr>
          <w:rFonts w:hint="eastAsia"/>
          <w:color w:val="auto"/>
          <w:kern w:val="0"/>
          <w:u w:val="single"/>
        </w:rPr>
        <w:t>（1）</w:t>
      </w:r>
      <w:r>
        <w:rPr>
          <w:color w:val="auto"/>
          <w:kern w:val="0"/>
          <w:u w:val="single"/>
        </w:rPr>
        <w:t>工程施工期间，由于地表开挖量较大，弃土较多，且植被破坏较重，若不采取妥善措施将使拟建项目所在地的土壤流失量出现成倍增长的趋势，因此，应采取严格的环保措施，以有效地控制水土流失的发生。</w:t>
      </w:r>
    </w:p>
    <w:p>
      <w:pPr>
        <w:ind w:firstLine="480"/>
        <w:jc w:val="both"/>
        <w:rPr>
          <w:rFonts w:hint="eastAsia"/>
          <w:color w:val="auto"/>
          <w:kern w:val="0"/>
          <w:u w:val="single"/>
        </w:rPr>
      </w:pPr>
      <w:r>
        <w:rPr>
          <w:color w:val="auto"/>
          <w:kern w:val="0"/>
          <w:u w:val="single"/>
        </w:rPr>
        <w:t>在开挖建设中，应尽量避开雨季。工程施工中做好土石方平衡工作，开挖的土方尽量作为施工场地平整回填用</w:t>
      </w:r>
      <w:r>
        <w:rPr>
          <w:rFonts w:hint="eastAsia"/>
          <w:color w:val="auto"/>
          <w:kern w:val="0"/>
          <w:u w:val="single"/>
          <w:lang w:eastAsia="zh-CN"/>
        </w:rPr>
        <w:t>，剩余</w:t>
      </w:r>
      <w:r>
        <w:rPr>
          <w:color w:val="auto"/>
          <w:kern w:val="0"/>
          <w:u w:val="single"/>
        </w:rPr>
        <w:t>的弃土在回填后多余部分</w:t>
      </w:r>
      <w:r>
        <w:rPr>
          <w:rFonts w:hint="eastAsia"/>
          <w:color w:val="auto"/>
          <w:kern w:val="0"/>
          <w:u w:val="single"/>
          <w:lang w:eastAsia="zh-CN"/>
        </w:rPr>
        <w:t>作为园区土地平整用</w:t>
      </w:r>
      <w:r>
        <w:rPr>
          <w:color w:val="auto"/>
          <w:kern w:val="0"/>
          <w:u w:val="single"/>
        </w:rPr>
        <w:t>。临时堆放场应选择较平整的场地，且场地使用后尽快恢复植被。工程施工应分期分区进行，不要全面铺开以缩短单项工期，尤其是管网铺设工程，尽量缩短暴露时间，开挖的裸露面要有防治措施，减少水土流失；充分考虑绿化对防治水土流失的作用，在可能的情况下，建议污水处理厂对单体构筑物逐项施工，建完一处即结合厂区绿化方案进行绿化，以达到尽量减少水土流失的目的。</w:t>
      </w:r>
    </w:p>
    <w:p>
      <w:pPr>
        <w:ind w:firstLine="480"/>
        <w:jc w:val="both"/>
        <w:rPr>
          <w:rFonts w:hint="eastAsia"/>
          <w:color w:val="auto"/>
          <w:kern w:val="0"/>
          <w:u w:val="single"/>
        </w:rPr>
      </w:pPr>
      <w:r>
        <w:rPr>
          <w:color w:val="auto"/>
          <w:kern w:val="0"/>
          <w:u w:val="single"/>
        </w:rPr>
        <w:t>（2）对于树种的选择，应根据</w:t>
      </w:r>
      <w:r>
        <w:rPr>
          <w:rFonts w:hint="eastAsia"/>
          <w:color w:val="auto"/>
          <w:kern w:val="0"/>
          <w:u w:val="single"/>
        </w:rPr>
        <w:t>“</w:t>
      </w:r>
      <w:r>
        <w:rPr>
          <w:color w:val="auto"/>
          <w:kern w:val="0"/>
          <w:u w:val="single"/>
        </w:rPr>
        <w:t>因地制宜、因害设防、适地适树</w:t>
      </w:r>
      <w:r>
        <w:rPr>
          <w:rFonts w:hint="eastAsia"/>
          <w:color w:val="auto"/>
          <w:kern w:val="0"/>
          <w:u w:val="single"/>
        </w:rPr>
        <w:t>”</w:t>
      </w:r>
      <w:r>
        <w:rPr>
          <w:color w:val="auto"/>
          <w:kern w:val="0"/>
          <w:u w:val="single"/>
        </w:rPr>
        <w:t>的原则，按照立地条件以及植被特点，兼顾该树草种的水土保持功能强的树草种，达到防治水土流失和改善生态环境的目的，满足防护、绿化、美化的要求。水土保持施工进度原则上与主体工程保持一致。</w:t>
      </w:r>
    </w:p>
    <w:p>
      <w:pPr>
        <w:ind w:firstLine="480"/>
        <w:jc w:val="both"/>
        <w:rPr>
          <w:rFonts w:hint="eastAsia"/>
          <w:color w:val="auto"/>
          <w:kern w:val="0"/>
          <w:u w:val="single"/>
        </w:rPr>
      </w:pPr>
      <w:r>
        <w:rPr>
          <w:color w:val="auto"/>
          <w:kern w:val="0"/>
          <w:u w:val="single"/>
        </w:rPr>
        <w:t>（3）在</w:t>
      </w:r>
      <w:r>
        <w:rPr>
          <w:rFonts w:hint="eastAsia"/>
          <w:color w:val="auto"/>
          <w:kern w:val="0"/>
          <w:u w:val="single"/>
        </w:rPr>
        <w:t>道路</w:t>
      </w:r>
      <w:r>
        <w:rPr>
          <w:color w:val="auto"/>
          <w:kern w:val="0"/>
          <w:u w:val="single"/>
        </w:rPr>
        <w:t>施工过程中，应及时做好边坡防护，如护面墙，设置临时排水沟，特别是一些地质不良路段，可在坡顶外设置截水沟。路堤填筑施工之前，一般路堤坡底两侧应先筑排水沟和临时拦挡措施挡护，以拦截因降水侵蚀坡面产生的水土流失，其布设应充分利用地形和天然水系，形成完善的排水系统，并做好进出口位置的选择和处理，防止出现堵塞、溢流、渗漏、淤积、冲刷等，造成对路基和毗邻地带的危害。临时拦挡措施采用尼龙编织袋挡墙和彩钢板。挖方路基开挖施工前，先在边坡顶部开挖截排水措施，以防止上游汇水冲刷施工区域产生水土流失。</w:t>
      </w:r>
    </w:p>
    <w:p>
      <w:pPr>
        <w:ind w:firstLine="480"/>
        <w:jc w:val="both"/>
        <w:rPr>
          <w:rFonts w:hint="eastAsia"/>
          <w:color w:val="auto"/>
          <w:kern w:val="0"/>
          <w:u w:val="single"/>
        </w:rPr>
      </w:pPr>
      <w:r>
        <w:rPr>
          <w:rFonts w:hint="eastAsia"/>
          <w:color w:val="auto"/>
          <w:kern w:val="0"/>
          <w:u w:val="single"/>
        </w:rPr>
        <w:t>（4）施工应避开春天动植物的繁殖期。设计中合理规划绿化工程，对高大乔木进行合理保留和移植，减少项目施工对现有植被的破坏。</w:t>
      </w:r>
    </w:p>
    <w:p>
      <w:pPr>
        <w:ind w:firstLine="480"/>
        <w:jc w:val="both"/>
        <w:rPr>
          <w:color w:val="auto"/>
          <w:kern w:val="0"/>
          <w:u w:val="single"/>
        </w:rPr>
      </w:pPr>
      <w:r>
        <w:rPr>
          <w:rFonts w:hint="eastAsia"/>
          <w:color w:val="auto"/>
          <w:kern w:val="0"/>
          <w:u w:val="single"/>
        </w:rPr>
        <w:t>（5）在施工过程中应尽量减少侵占临时用地（施工生产区和施工便道），严禁越过规划红线施工，禁止占用基本农田，尽量缩短临时用地使用时间，在施工结束后，应该及时对临时施工用地进行恢复。具体可采取以下措施：</w:t>
      </w:r>
    </w:p>
    <w:p>
      <w:pPr>
        <w:pStyle w:val="96"/>
        <w:adjustRightInd w:val="0"/>
        <w:snapToGrid w:val="0"/>
        <w:spacing w:line="360" w:lineRule="auto"/>
        <w:jc w:val="both"/>
        <w:rPr>
          <w:rFonts w:hint="eastAsia"/>
          <w:color w:val="auto"/>
          <w:kern w:val="0"/>
          <w:u w:val="single"/>
        </w:rPr>
      </w:pPr>
      <w:r>
        <w:rPr>
          <w:rFonts w:hint="eastAsia"/>
          <w:color w:val="auto"/>
          <w:kern w:val="0"/>
          <w:u w:val="single"/>
        </w:rPr>
        <w:t>①首先采取表层土剥离堆放，在临时用地周围采用相应水保措施设置截、排水沟等措施。</w:t>
      </w:r>
    </w:p>
    <w:p>
      <w:pPr>
        <w:pStyle w:val="96"/>
        <w:adjustRightInd w:val="0"/>
        <w:snapToGrid w:val="0"/>
        <w:spacing w:line="360" w:lineRule="auto"/>
        <w:jc w:val="both"/>
        <w:rPr>
          <w:color w:val="auto"/>
          <w:kern w:val="0"/>
          <w:u w:val="single"/>
        </w:rPr>
      </w:pPr>
      <w:r>
        <w:rPr>
          <w:rFonts w:hint="eastAsia"/>
          <w:color w:val="auto"/>
          <w:kern w:val="0"/>
          <w:u w:val="single"/>
        </w:rPr>
        <w:t>②在临时占地区域进行清理及土地复垦，选用事宜植物生长的突然进行平整。后选用乡土物种，在施工结束后立即栽种，并在栽种初期，予以必要的养护。</w:t>
      </w:r>
    </w:p>
    <w:p>
      <w:pPr>
        <w:pStyle w:val="96"/>
        <w:adjustRightInd w:val="0"/>
        <w:snapToGrid w:val="0"/>
        <w:spacing w:line="360" w:lineRule="auto"/>
        <w:jc w:val="both"/>
        <w:rPr>
          <w:rFonts w:hint="eastAsia"/>
          <w:color w:val="auto"/>
          <w:kern w:val="0"/>
          <w:u w:val="single"/>
        </w:rPr>
      </w:pPr>
      <w:r>
        <w:rPr>
          <w:rFonts w:hint="eastAsia"/>
          <w:color w:val="auto"/>
          <w:kern w:val="0"/>
          <w:u w:val="single"/>
        </w:rPr>
        <w:t>③同时，工程临时用地应根据当地实际情况和居民要求及时进行清理和地表植被补偿恢复，并在竣工验收前实施完成。</w:t>
      </w:r>
    </w:p>
    <w:p>
      <w:pPr>
        <w:pStyle w:val="76"/>
        <w:spacing w:before="163" w:after="163"/>
        <w:rPr>
          <w:rFonts w:hint="eastAsia"/>
          <w:color w:val="auto"/>
          <w:u w:val="none"/>
        </w:rPr>
      </w:pPr>
      <w:bookmarkStart w:id="299" w:name="_Toc27710"/>
      <w:r>
        <w:rPr>
          <w:rFonts w:hint="eastAsia"/>
          <w:color w:val="auto"/>
          <w:u w:val="none"/>
        </w:rPr>
        <w:t>5.2营运期环境保护措施分析</w:t>
      </w:r>
      <w:bookmarkEnd w:id="299"/>
    </w:p>
    <w:p>
      <w:pPr>
        <w:pStyle w:val="104"/>
        <w:ind w:firstLine="480"/>
        <w:jc w:val="both"/>
        <w:rPr>
          <w:rFonts w:ascii="Times New Roman" w:hAnsi="Times New Roman"/>
          <w:color w:val="auto"/>
          <w:u w:val="none"/>
        </w:rPr>
      </w:pPr>
      <w:r>
        <w:rPr>
          <w:rFonts w:hint="eastAsia" w:ascii="Times New Roman" w:hAnsi="Times New Roman"/>
          <w:color w:val="auto"/>
          <w:u w:val="none"/>
        </w:rPr>
        <w:t>本项目工程包括污水厂建设工程、管网铺设工程，由于项目</w:t>
      </w:r>
      <w:r>
        <w:rPr>
          <w:rFonts w:hint="eastAsia" w:ascii="Times New Roman" w:hAnsi="Times New Roman"/>
          <w:color w:val="auto"/>
          <w:u w:val="none"/>
          <w:lang w:eastAsia="zh-CN"/>
        </w:rPr>
        <w:t>规模较小</w:t>
      </w:r>
      <w:r>
        <w:rPr>
          <w:rFonts w:hint="eastAsia" w:ascii="Times New Roman" w:hAnsi="Times New Roman"/>
          <w:color w:val="auto"/>
          <w:u w:val="none"/>
        </w:rPr>
        <w:t>，管道铺设规模较小、工程量较小，管道铺设工程</w:t>
      </w:r>
      <w:r>
        <w:rPr>
          <w:rFonts w:hint="eastAsia" w:ascii="Times New Roman" w:hAnsi="Times New Roman"/>
          <w:bCs/>
          <w:color w:val="auto"/>
          <w:szCs w:val="24"/>
          <w:u w:val="none"/>
        </w:rPr>
        <w:t>运营期主要表现为有利影响，如：管道铺设工程建设成功后，水环境质量有所提高及有利的社会环境影响，此外，环境污染较少，对环境没有较大的影响，因此，本项目运营期主要针对污水处理厂投入运营后所产污染物对外环境影响进行分析。</w:t>
      </w:r>
    </w:p>
    <w:p>
      <w:pPr>
        <w:pStyle w:val="6"/>
        <w:bidi w:val="0"/>
      </w:pPr>
      <w:r>
        <w:rPr>
          <w:rFonts w:hint="eastAsia"/>
        </w:rPr>
        <w:t>5.2.1地表水环境防治措施</w:t>
      </w:r>
      <w:r>
        <w:t>论述</w:t>
      </w:r>
    </w:p>
    <w:p>
      <w:pPr>
        <w:pStyle w:val="69"/>
        <w:rPr>
          <w:rFonts w:hint="eastAsia"/>
          <w:color w:val="auto"/>
          <w:u w:val="none"/>
        </w:rPr>
      </w:pPr>
      <w:r>
        <w:rPr>
          <w:rFonts w:hint="eastAsia"/>
          <w:color w:val="auto"/>
          <w:u w:val="none"/>
        </w:rPr>
        <w:t>5</w:t>
      </w:r>
      <w:r>
        <w:rPr>
          <w:color w:val="auto"/>
          <w:u w:val="none"/>
        </w:rPr>
        <w:t>.2.1.1</w:t>
      </w:r>
      <w:r>
        <w:rPr>
          <w:rFonts w:hint="eastAsia"/>
          <w:color w:val="auto"/>
          <w:u w:val="none"/>
        </w:rPr>
        <w:t>项目废水</w:t>
      </w:r>
    </w:p>
    <w:p>
      <w:pPr>
        <w:ind w:firstLine="480"/>
        <w:jc w:val="both"/>
        <w:rPr>
          <w:color w:val="auto"/>
          <w:kern w:val="0"/>
          <w:u w:val="none"/>
        </w:rPr>
      </w:pPr>
      <w:r>
        <w:rPr>
          <w:rFonts w:hint="eastAsia"/>
          <w:color w:val="auto"/>
          <w:kern w:val="0"/>
          <w:u w:val="none"/>
        </w:rPr>
        <w:t>项目运营期废水包括</w:t>
      </w:r>
      <w:r>
        <w:rPr>
          <w:rFonts w:hint="eastAsia"/>
          <w:color w:val="auto"/>
          <w:kern w:val="0"/>
          <w:u w:val="none"/>
          <w:lang w:eastAsia="zh-CN"/>
        </w:rPr>
        <w:t>永顺经济开发区猛洞河产业园企事业</w:t>
      </w:r>
      <w:r>
        <w:rPr>
          <w:rFonts w:hint="eastAsia"/>
          <w:color w:val="auto"/>
          <w:kern w:val="0"/>
          <w:u w:val="none"/>
        </w:rPr>
        <w:t>废水、工作人员生活废水、污泥脱水分离</w:t>
      </w:r>
      <w:r>
        <w:rPr>
          <w:rFonts w:hint="eastAsia"/>
          <w:color w:val="auto"/>
          <w:kern w:val="0"/>
          <w:u w:val="none"/>
          <w:lang w:eastAsia="zh-CN"/>
        </w:rPr>
        <w:t>出</w:t>
      </w:r>
      <w:r>
        <w:rPr>
          <w:rFonts w:hint="eastAsia"/>
          <w:color w:val="auto"/>
          <w:kern w:val="0"/>
          <w:u w:val="none"/>
        </w:rPr>
        <w:t>来的废水，生活废水以及污泥脱水分离出来的废水可直接排入污水处理厂，</w:t>
      </w:r>
      <w:r>
        <w:rPr>
          <w:color w:val="auto"/>
          <w:kern w:val="0"/>
          <w:u w:val="none"/>
        </w:rPr>
        <w:t>针对</w:t>
      </w:r>
      <w:r>
        <w:rPr>
          <w:rFonts w:hint="eastAsia"/>
          <w:color w:val="auto"/>
          <w:kern w:val="0"/>
          <w:u w:val="none"/>
          <w:lang w:eastAsia="zh-CN"/>
        </w:rPr>
        <w:t>永顺经济开发区猛洞河产业园</w:t>
      </w:r>
      <w:r>
        <w:rPr>
          <w:rFonts w:hint="eastAsia"/>
          <w:color w:val="auto"/>
          <w:u w:val="none"/>
        </w:rPr>
        <w:t>现状园区</w:t>
      </w:r>
      <w:r>
        <w:rPr>
          <w:color w:val="auto"/>
          <w:kern w:val="0"/>
          <w:u w:val="none"/>
        </w:rPr>
        <w:t>的污染现状及发展的产业，环保部门应加强监督和管理，废水在排入园区污水收集管网前达到污水处理厂入水水质要求。污水处理厂主体工艺采用</w:t>
      </w:r>
      <w:r>
        <w:rPr>
          <w:rFonts w:hint="eastAsia"/>
          <w:color w:val="auto"/>
          <w:kern w:val="0"/>
          <w:u w:val="none"/>
          <w:lang w:eastAsia="zh-CN"/>
        </w:rPr>
        <w:t>“</w:t>
      </w:r>
      <w:r>
        <w:rPr>
          <w:rFonts w:hint="eastAsia"/>
          <w:color w:val="auto"/>
          <w:u w:val="none"/>
          <w:lang w:eastAsia="zh-CN"/>
        </w:rPr>
        <w:t>格栅渠</w:t>
      </w:r>
      <w:r>
        <w:rPr>
          <w:rFonts w:hint="eastAsia"/>
          <w:color w:val="auto"/>
          <w:u w:val="none"/>
        </w:rPr>
        <w:t>→沉砂池→调节池→</w:t>
      </w:r>
      <w:r>
        <w:rPr>
          <w:rFonts w:hint="eastAsia"/>
          <w:color w:val="auto"/>
          <w:u w:val="none"/>
          <w:lang w:val="en-US" w:eastAsia="zh-CN"/>
        </w:rPr>
        <w:t>MBR一体化设备</w:t>
      </w:r>
      <w:r>
        <w:rPr>
          <w:rFonts w:hint="eastAsia"/>
          <w:color w:val="auto"/>
          <w:u w:val="none"/>
        </w:rPr>
        <w:t>→紫外消毒→</w:t>
      </w:r>
      <w:r>
        <w:rPr>
          <w:rFonts w:hint="eastAsia"/>
          <w:color w:val="auto"/>
          <w:u w:val="none"/>
          <w:lang w:eastAsia="zh-CN"/>
        </w:rPr>
        <w:t>清水池</w:t>
      </w:r>
      <w:r>
        <w:rPr>
          <w:rFonts w:hint="eastAsia"/>
          <w:color w:val="auto"/>
          <w:kern w:val="0"/>
          <w:u w:val="none"/>
          <w:lang w:eastAsia="zh-CN"/>
        </w:rPr>
        <w:t>”</w:t>
      </w:r>
      <w:r>
        <w:rPr>
          <w:color w:val="auto"/>
          <w:kern w:val="0"/>
          <w:u w:val="none"/>
        </w:rPr>
        <w:t>处理工艺，出水</w:t>
      </w:r>
      <w:r>
        <w:rPr>
          <w:rFonts w:hint="eastAsia"/>
          <w:color w:val="auto"/>
          <w:kern w:val="0"/>
          <w:u w:val="none"/>
        </w:rPr>
        <w:t>达到</w:t>
      </w:r>
      <w:r>
        <w:rPr>
          <w:rFonts w:hint="eastAsia"/>
          <w:color w:val="auto"/>
          <w:u w:val="none"/>
        </w:rPr>
        <w:t>《城镇污水处理厂污染物排放标准》（GB18918-2002）表1中一级A标准</w:t>
      </w:r>
      <w:r>
        <w:rPr>
          <w:color w:val="auto"/>
          <w:kern w:val="0"/>
          <w:u w:val="none"/>
        </w:rPr>
        <w:t>。生产采用双电源供电，以保证污水处理的稳定运行，实现尾水的达标排放。</w:t>
      </w:r>
    </w:p>
    <w:p>
      <w:pPr>
        <w:pStyle w:val="69"/>
        <w:rPr>
          <w:rFonts w:hint="eastAsia"/>
          <w:color w:val="auto"/>
          <w:u w:val="none"/>
        </w:rPr>
      </w:pPr>
      <w:r>
        <w:rPr>
          <w:rFonts w:hint="eastAsia"/>
          <w:color w:val="auto"/>
          <w:u w:val="none"/>
        </w:rPr>
        <w:t>5</w:t>
      </w:r>
      <w:r>
        <w:rPr>
          <w:color w:val="auto"/>
          <w:u w:val="none"/>
        </w:rPr>
        <w:t>.2.1.2</w:t>
      </w:r>
      <w:r>
        <w:rPr>
          <w:rFonts w:hint="eastAsia"/>
          <w:color w:val="auto"/>
          <w:u w:val="none"/>
        </w:rPr>
        <w:t>工艺可行性分析</w:t>
      </w:r>
    </w:p>
    <w:p>
      <w:pPr>
        <w:ind w:firstLine="480"/>
        <w:jc w:val="both"/>
        <w:rPr>
          <w:rFonts w:hint="eastAsia"/>
          <w:color w:val="auto"/>
          <w:u w:val="none"/>
          <w:lang w:bidi="zh-CN"/>
        </w:rPr>
      </w:pPr>
      <w:r>
        <w:rPr>
          <w:rFonts w:hint="eastAsia"/>
          <w:color w:val="auto"/>
          <w:u w:val="none"/>
          <w:lang w:bidi="zh-CN"/>
        </w:rPr>
        <w:t xml:space="preserve">本项目采用的废水处理工艺对各项污染物质的处理效率可达到：COD≥ </w:t>
      </w:r>
      <w:r>
        <w:rPr>
          <w:rFonts w:hint="eastAsia"/>
          <w:color w:val="auto"/>
          <w:u w:val="none"/>
          <w:lang w:val="en-US" w:bidi="zh-CN"/>
        </w:rPr>
        <w:t>90</w:t>
      </w:r>
      <w:r>
        <w:rPr>
          <w:rFonts w:hint="eastAsia"/>
          <w:color w:val="auto"/>
          <w:u w:val="none"/>
          <w:lang w:bidi="zh-CN"/>
        </w:rPr>
        <w:t>%、BOD</w:t>
      </w:r>
      <w:r>
        <w:rPr>
          <w:rFonts w:hint="eastAsia"/>
          <w:color w:val="auto"/>
          <w:u w:val="none"/>
          <w:vertAlign w:val="subscript"/>
          <w:lang w:bidi="zh-CN"/>
        </w:rPr>
        <w:t>5</w:t>
      </w:r>
      <w:r>
        <w:rPr>
          <w:rFonts w:hint="eastAsia"/>
          <w:color w:val="auto"/>
          <w:u w:val="none"/>
          <w:lang w:bidi="zh-CN"/>
        </w:rPr>
        <w:t>≥</w:t>
      </w:r>
      <w:r>
        <w:rPr>
          <w:rFonts w:hint="eastAsia"/>
          <w:color w:val="auto"/>
          <w:u w:val="none"/>
          <w:lang w:val="en-US" w:bidi="zh-CN"/>
        </w:rPr>
        <w:t>96.67</w:t>
      </w:r>
      <w:r>
        <w:rPr>
          <w:rFonts w:hint="eastAsia"/>
          <w:color w:val="auto"/>
          <w:u w:val="none"/>
          <w:lang w:bidi="zh-CN"/>
        </w:rPr>
        <w:t>%、SS≥</w:t>
      </w:r>
      <w:r>
        <w:rPr>
          <w:rFonts w:hint="eastAsia"/>
          <w:color w:val="auto"/>
          <w:u w:val="none"/>
          <w:lang w:val="en-US" w:bidi="zh-CN"/>
        </w:rPr>
        <w:t>97.5</w:t>
      </w:r>
      <w:r>
        <w:rPr>
          <w:rFonts w:hint="eastAsia"/>
          <w:color w:val="auto"/>
          <w:u w:val="none"/>
          <w:lang w:bidi="zh-CN"/>
        </w:rPr>
        <w:t>%、NH</w:t>
      </w:r>
      <w:r>
        <w:rPr>
          <w:rFonts w:hint="eastAsia"/>
          <w:color w:val="auto"/>
          <w:u w:val="none"/>
          <w:vertAlign w:val="subscript"/>
          <w:lang w:bidi="zh-CN"/>
        </w:rPr>
        <w:t>3</w:t>
      </w:r>
      <w:r>
        <w:rPr>
          <w:rFonts w:hint="eastAsia"/>
          <w:color w:val="auto"/>
          <w:u w:val="none"/>
          <w:lang w:bidi="zh-CN"/>
        </w:rPr>
        <w:t>-N≥</w:t>
      </w:r>
      <w:r>
        <w:rPr>
          <w:rFonts w:hint="eastAsia"/>
          <w:color w:val="auto"/>
          <w:u w:val="none"/>
          <w:lang w:val="en-US" w:bidi="zh-CN"/>
        </w:rPr>
        <w:t>80</w:t>
      </w:r>
      <w:r>
        <w:rPr>
          <w:rFonts w:hint="eastAsia"/>
          <w:color w:val="auto"/>
          <w:u w:val="none"/>
          <w:lang w:bidi="zh-CN"/>
        </w:rPr>
        <w:t>%、TN≥</w:t>
      </w:r>
      <w:r>
        <w:rPr>
          <w:rFonts w:hint="eastAsia"/>
          <w:color w:val="auto"/>
          <w:u w:val="none"/>
          <w:lang w:val="en-US" w:bidi="zh-CN"/>
        </w:rPr>
        <w:t>66.67</w:t>
      </w:r>
      <w:r>
        <w:rPr>
          <w:rFonts w:hint="eastAsia"/>
          <w:color w:val="auto"/>
          <w:u w:val="none"/>
          <w:lang w:bidi="zh-CN"/>
        </w:rPr>
        <w:t>%、TP≥</w:t>
      </w:r>
      <w:r>
        <w:rPr>
          <w:rFonts w:hint="eastAsia"/>
          <w:color w:val="auto"/>
          <w:u w:val="none"/>
          <w:lang w:val="en-US" w:bidi="zh-CN"/>
        </w:rPr>
        <w:t>90</w:t>
      </w:r>
      <w:r>
        <w:rPr>
          <w:rFonts w:hint="eastAsia"/>
          <w:color w:val="auto"/>
          <w:u w:val="none"/>
          <w:lang w:bidi="zh-CN"/>
        </w:rPr>
        <w:t>%、石油类≥</w:t>
      </w:r>
      <w:r>
        <w:rPr>
          <w:rFonts w:hint="eastAsia"/>
          <w:color w:val="auto"/>
          <w:u w:val="none"/>
          <w:lang w:val="en-US" w:bidi="zh-CN"/>
        </w:rPr>
        <w:t>95</w:t>
      </w:r>
      <w:r>
        <w:rPr>
          <w:rFonts w:hint="eastAsia"/>
          <w:color w:val="auto"/>
          <w:u w:val="none"/>
          <w:lang w:bidi="zh-CN"/>
        </w:rPr>
        <w:t>%、动植物油≥</w:t>
      </w:r>
      <w:r>
        <w:rPr>
          <w:rFonts w:hint="eastAsia"/>
          <w:color w:val="auto"/>
          <w:u w:val="none"/>
          <w:lang w:val="en-US" w:bidi="zh-CN"/>
        </w:rPr>
        <w:t>99</w:t>
      </w:r>
      <w:r>
        <w:rPr>
          <w:rFonts w:hint="eastAsia"/>
          <w:color w:val="auto"/>
          <w:u w:val="none"/>
          <w:lang w:bidi="zh-CN"/>
        </w:rPr>
        <w:t>%。出水中执行</w:t>
      </w:r>
      <w:r>
        <w:rPr>
          <w:rFonts w:hint="eastAsia"/>
          <w:color w:val="auto"/>
          <w:u w:val="none"/>
        </w:rPr>
        <w:t>《城镇污水处理厂污染物排放标准》（GB18918-2002）表1中一级A标准</w:t>
      </w:r>
      <w:r>
        <w:rPr>
          <w:rFonts w:hint="eastAsia"/>
          <w:color w:val="auto"/>
          <w:u w:val="none"/>
          <w:lang w:bidi="zh-CN"/>
        </w:rPr>
        <w:t>，达标后排入猛洞河。</w:t>
      </w:r>
    </w:p>
    <w:p>
      <w:pPr>
        <w:widowControl w:val="0"/>
        <w:wordWrap w:val="0"/>
        <w:ind w:firstLine="480"/>
        <w:jc w:val="both"/>
        <w:rPr>
          <w:rFonts w:hint="eastAsia"/>
          <w:color w:val="auto"/>
          <w:u w:val="none"/>
          <w:lang w:bidi="zh-CN"/>
        </w:rPr>
      </w:pPr>
      <w:r>
        <w:rPr>
          <w:rFonts w:hint="eastAsia"/>
          <w:color w:val="auto"/>
          <w:u w:val="none"/>
          <w:lang w:bidi="zh-CN"/>
        </w:rPr>
        <w:t>本项目采用的主体工艺为</w:t>
      </w:r>
      <w:r>
        <w:rPr>
          <w:rFonts w:hint="eastAsia"/>
          <w:color w:val="auto"/>
          <w:u w:val="none"/>
          <w:lang w:val="en-US" w:bidi="zh-CN"/>
        </w:rPr>
        <w:t>MBR</w:t>
      </w:r>
      <w:r>
        <w:rPr>
          <w:rFonts w:hint="eastAsia"/>
          <w:color w:val="auto"/>
          <w:u w:val="none"/>
          <w:lang w:bidi="zh-CN"/>
        </w:rPr>
        <w:t>工艺，其中预处理包括格栅渠、沉砂池、调节池，生化工艺采用“</w:t>
      </w:r>
      <w:r>
        <w:rPr>
          <w:rFonts w:hint="eastAsia"/>
          <w:color w:val="auto"/>
          <w:u w:val="none"/>
          <w:lang w:val="en-US" w:bidi="zh-CN"/>
        </w:rPr>
        <w:t>MBR工艺</w:t>
      </w:r>
      <w:r>
        <w:rPr>
          <w:rFonts w:hint="eastAsia"/>
          <w:color w:val="auto"/>
          <w:u w:val="none"/>
          <w:lang w:bidi="zh-CN"/>
        </w:rPr>
        <w:t>”，该工艺应用成熟，目前应用于大多数污水处理厂污水处理工艺，消毒采用紫外线消毒。</w:t>
      </w:r>
      <w:r>
        <w:rPr>
          <w:rFonts w:hint="eastAsia"/>
          <w:color w:val="auto"/>
          <w:spacing w:val="-4"/>
          <w:u w:val="none"/>
          <w:lang w:eastAsia="zh-CN"/>
        </w:rPr>
        <w:t>由于</w:t>
      </w:r>
      <w:r>
        <w:rPr>
          <w:rFonts w:hint="eastAsia"/>
          <w:color w:val="auto"/>
          <w:spacing w:val="-4"/>
          <w:u w:val="none"/>
          <w:lang w:val="en-US" w:eastAsia="zh-CN"/>
        </w:rPr>
        <w:t>MBR工的特点，</w:t>
      </w:r>
      <w:r>
        <w:rPr>
          <w:rFonts w:hint="eastAsia"/>
          <w:color w:val="auto"/>
        </w:rPr>
        <w:t>该工艺可以作为传统污水处理工艺的深度处理单元</w:t>
      </w:r>
      <w:r>
        <w:rPr>
          <w:rFonts w:hint="eastAsia"/>
          <w:color w:val="auto"/>
          <w:u w:val="none"/>
          <w:lang w:bidi="zh-CN"/>
        </w:rPr>
        <w:t>。</w:t>
      </w:r>
    </w:p>
    <w:p>
      <w:pPr>
        <w:widowControl w:val="0"/>
        <w:wordWrap w:val="0"/>
        <w:ind w:firstLine="480"/>
        <w:jc w:val="both"/>
        <w:rPr>
          <w:rFonts w:hint="eastAsia"/>
          <w:color w:val="auto"/>
          <w:u w:val="none"/>
          <w:lang w:bidi="zh-CN"/>
        </w:rPr>
      </w:pPr>
      <w:r>
        <w:rPr>
          <w:rFonts w:hint="eastAsia"/>
          <w:color w:val="auto"/>
          <w:u w:val="none"/>
          <w:lang w:bidi="zh-CN"/>
        </w:rPr>
        <w:t>为保证污水处理厂的正常运行，环评要求污水处理厂和园区内的企业应建立充分的联动机制，当来水水量超过污水处理厂的处理能力时，要求园区内企业限产或者停产；当来水水量不足时，首先污水处理厂采用单列低液位运行，启用备用碳源，同时通过延长停留时间、人工补菌等措施维持工艺流程的正常运行。经以上措施，能够维持污水处理厂可靠运行。</w:t>
      </w:r>
    </w:p>
    <w:p>
      <w:pPr>
        <w:widowControl w:val="0"/>
        <w:wordWrap w:val="0"/>
        <w:ind w:firstLine="480"/>
        <w:jc w:val="both"/>
        <w:rPr>
          <w:color w:val="auto"/>
          <w:u w:val="none"/>
          <w:lang w:bidi="zh-CN"/>
        </w:rPr>
      </w:pPr>
      <w:r>
        <w:rPr>
          <w:rFonts w:hint="eastAsia"/>
          <w:color w:val="auto"/>
          <w:u w:val="none"/>
          <w:lang w:bidi="zh-CN"/>
        </w:rPr>
        <w:t>综上分析可知：</w:t>
      </w:r>
      <w:r>
        <w:rPr>
          <w:rFonts w:hint="eastAsia"/>
          <w:color w:val="auto"/>
          <w:u w:val="none"/>
          <w:lang w:val="en-US" w:bidi="zh-CN"/>
        </w:rPr>
        <w:t>本项目中，</w:t>
      </w:r>
      <w:r>
        <w:rPr>
          <w:rFonts w:hint="eastAsia"/>
          <w:color w:val="auto"/>
        </w:rPr>
        <w:t>MBR将分离工程中的膜分离技术与传统废水生物处理技术有机结合，大大提高了固液分离效率；并且由于曝气池中活性污泥浓度的增大和污泥中特效菌（特别是优势菌群）的出现，提高了生化反应速率；同时，通过降低F/M比减少剩余污泥产生量（甚至为0），从而基本解决了传统活性污泥法存在的许多突出问题</w:t>
      </w:r>
      <w:r>
        <w:rPr>
          <w:rFonts w:hint="eastAsia"/>
          <w:color w:val="auto"/>
          <w:u w:val="none"/>
          <w:lang w:bidi="zh-CN"/>
        </w:rPr>
        <w:t>，对于本项目出水水质要求具有一定的针对性。</w:t>
      </w:r>
    </w:p>
    <w:p>
      <w:pPr>
        <w:pStyle w:val="69"/>
        <w:rPr>
          <w:rFonts w:hint="eastAsia"/>
          <w:color w:val="auto"/>
          <w:u w:val="none"/>
        </w:rPr>
      </w:pPr>
      <w:r>
        <w:rPr>
          <w:rFonts w:hint="eastAsia"/>
          <w:color w:val="auto"/>
          <w:u w:val="none"/>
        </w:rPr>
        <w:t>5</w:t>
      </w:r>
      <w:r>
        <w:rPr>
          <w:color w:val="auto"/>
          <w:u w:val="none"/>
        </w:rPr>
        <w:t>.2.1.3</w:t>
      </w:r>
      <w:r>
        <w:rPr>
          <w:rFonts w:hint="eastAsia"/>
          <w:color w:val="auto"/>
          <w:u w:val="none"/>
        </w:rPr>
        <w:t>区域污染源控制</w:t>
      </w:r>
    </w:p>
    <w:p>
      <w:pPr>
        <w:ind w:firstLine="480"/>
        <w:jc w:val="both"/>
        <w:rPr>
          <w:rFonts w:hint="eastAsia"/>
          <w:color w:val="auto"/>
          <w:kern w:val="0"/>
          <w:u w:val="none"/>
        </w:rPr>
      </w:pPr>
      <w:r>
        <w:rPr>
          <w:rFonts w:hint="eastAsia"/>
          <w:color w:val="auto"/>
          <w:kern w:val="0"/>
          <w:u w:val="none"/>
        </w:rPr>
        <w:t>为了确保污水处理厂的正常运转和处理后的尾水稳定达标运行，一定要做好进水污染源的源头控制和管理。因此，本环评针对区域污染源情况提出本项目进水接管要求：</w:t>
      </w:r>
    </w:p>
    <w:p>
      <w:pPr>
        <w:ind w:firstLine="480"/>
        <w:jc w:val="both"/>
        <w:rPr>
          <w:color w:val="auto"/>
          <w:kern w:val="0"/>
          <w:u w:val="none"/>
        </w:rPr>
      </w:pPr>
      <w:r>
        <w:rPr>
          <w:rFonts w:hint="eastAsia"/>
          <w:color w:val="auto"/>
          <w:kern w:val="0"/>
          <w:u w:val="none"/>
        </w:rPr>
        <w:t>①制定严格的污水排入许可制度，进水污水处理厂的废水必须达到接管要求后进入污水管网。为了确保进入污水管网的各企业污水符合接管要求，建议对主要排污企业污水排放口建设在线监测装置，对污水流量、pH、COD和氨氮等浓度进行在线监测，在线监测装置必须与污水处理厂监控室、当地环保部门连通，以便接受监督</w:t>
      </w:r>
      <w:r>
        <w:rPr>
          <w:rFonts w:hint="eastAsia"/>
          <w:color w:val="auto"/>
          <w:kern w:val="0"/>
          <w:u w:val="none"/>
          <w:lang w:eastAsia="zh-CN"/>
        </w:rPr>
        <w:t>，或者企业定期进行自行监测</w:t>
      </w:r>
      <w:r>
        <w:rPr>
          <w:rFonts w:hint="eastAsia"/>
          <w:color w:val="auto"/>
          <w:kern w:val="0"/>
          <w:u w:val="none"/>
        </w:rPr>
        <w:t>。</w:t>
      </w:r>
    </w:p>
    <w:p>
      <w:pPr>
        <w:ind w:firstLine="480"/>
        <w:jc w:val="both"/>
        <w:rPr>
          <w:rFonts w:hint="eastAsia"/>
          <w:color w:val="auto"/>
          <w:kern w:val="0"/>
          <w:u w:val="none"/>
        </w:rPr>
      </w:pPr>
      <w:r>
        <w:rPr>
          <w:rFonts w:hint="eastAsia"/>
          <w:color w:val="auto"/>
          <w:kern w:val="0"/>
          <w:u w:val="none"/>
        </w:rPr>
        <w:t>②为了使进入污水处理厂的污水水质稳定，各排污企业</w:t>
      </w:r>
      <w:r>
        <w:rPr>
          <w:rFonts w:hint="eastAsia"/>
          <w:color w:val="auto"/>
          <w:kern w:val="0"/>
          <w:u w:val="none"/>
          <w:lang w:eastAsia="zh-CN"/>
        </w:rPr>
        <w:t>的污水处理设施</w:t>
      </w:r>
      <w:r>
        <w:rPr>
          <w:rFonts w:hint="eastAsia"/>
          <w:color w:val="auto"/>
          <w:kern w:val="0"/>
          <w:u w:val="none"/>
        </w:rPr>
        <w:t>必须建设足够容量，以便排放水质稳定。</w:t>
      </w:r>
    </w:p>
    <w:p>
      <w:pPr>
        <w:ind w:firstLine="480"/>
        <w:jc w:val="both"/>
        <w:rPr>
          <w:color w:val="auto"/>
          <w:kern w:val="0"/>
          <w:u w:val="none"/>
        </w:rPr>
      </w:pPr>
      <w:r>
        <w:rPr>
          <w:rFonts w:hint="eastAsia"/>
          <w:color w:val="auto"/>
          <w:kern w:val="0"/>
          <w:u w:val="none"/>
        </w:rPr>
        <w:t>③加强对区域内排污单位的监管，对于纳污范围内工业企业，根据各行业废水特点，严格要求各企业废水排入污水管网前经过厂内污水处理设施预处理，</w:t>
      </w:r>
      <w:r>
        <w:rPr>
          <w:rFonts w:hint="eastAsia"/>
          <w:color w:val="auto"/>
          <w:kern w:val="0"/>
          <w:u w:val="none"/>
          <w:lang w:eastAsia="zh-CN"/>
        </w:rPr>
        <w:t>预处理达到污水处理厂设计进水标准后方可排入污水处理厂</w:t>
      </w:r>
      <w:r>
        <w:rPr>
          <w:rFonts w:hint="eastAsia"/>
          <w:color w:val="auto"/>
          <w:kern w:val="0"/>
          <w:u w:val="none"/>
        </w:rPr>
        <w:t>。</w:t>
      </w:r>
    </w:p>
    <w:p>
      <w:pPr>
        <w:ind w:firstLine="480"/>
        <w:jc w:val="both"/>
        <w:rPr>
          <w:color w:val="auto"/>
          <w:kern w:val="0"/>
          <w:u w:val="none"/>
        </w:rPr>
      </w:pPr>
      <w:r>
        <w:rPr>
          <w:rFonts w:hint="eastAsia"/>
          <w:color w:val="auto"/>
          <w:kern w:val="0"/>
          <w:u w:val="none"/>
        </w:rPr>
        <w:t>④污水处理厂需要与主要的污水排放企业建立畅通的信息交流管道，建立企业的事故报告制度。一旦排水进入污水处理厂的企业发生事故，应要求企业在第一时间向污水处理厂报告事故的类型，估计事故源强，并关闭出水阀，停止将水送入区域污水处理厂。对于重污染工业企业因设置事故池。</w:t>
      </w:r>
    </w:p>
    <w:p>
      <w:pPr>
        <w:ind w:firstLine="480"/>
        <w:jc w:val="both"/>
        <w:rPr>
          <w:color w:val="auto"/>
          <w:kern w:val="0"/>
          <w:u w:val="none"/>
        </w:rPr>
      </w:pPr>
      <w:r>
        <w:rPr>
          <w:rFonts w:hint="eastAsia"/>
          <w:color w:val="auto"/>
          <w:kern w:val="0"/>
          <w:u w:val="none"/>
        </w:rPr>
        <w:t>⑤制定严格的奖惩制度，对超标排放污水的企业进行严格超处理，并限期整改。</w:t>
      </w:r>
    </w:p>
    <w:p>
      <w:pPr>
        <w:pStyle w:val="69"/>
        <w:rPr>
          <w:color w:val="auto"/>
          <w:u w:val="none"/>
        </w:rPr>
      </w:pPr>
      <w:r>
        <w:rPr>
          <w:rFonts w:hint="eastAsia"/>
          <w:color w:val="auto"/>
          <w:u w:val="none"/>
        </w:rPr>
        <w:t>5</w:t>
      </w:r>
      <w:r>
        <w:rPr>
          <w:color w:val="auto"/>
          <w:u w:val="none"/>
        </w:rPr>
        <w:t>.2.1.4</w:t>
      </w:r>
      <w:r>
        <w:rPr>
          <w:rFonts w:hint="eastAsia"/>
          <w:color w:val="auto"/>
          <w:u w:val="none"/>
        </w:rPr>
        <w:t>厂内运行管理</w:t>
      </w:r>
    </w:p>
    <w:p>
      <w:pPr>
        <w:ind w:firstLine="480"/>
        <w:jc w:val="both"/>
        <w:rPr>
          <w:color w:val="auto"/>
          <w:kern w:val="0"/>
          <w:u w:val="none"/>
        </w:rPr>
      </w:pPr>
      <w:r>
        <w:rPr>
          <w:rFonts w:hint="eastAsia"/>
          <w:color w:val="auto"/>
          <w:kern w:val="0"/>
          <w:u w:val="none"/>
        </w:rPr>
        <w:t>在保证污水处理厂出水水质稳定达标排放，高效运转，减小运行经费，提高能源利用率，应加强对污水处理厂内部的运行管理。</w:t>
      </w:r>
    </w:p>
    <w:p>
      <w:pPr>
        <w:ind w:firstLine="480"/>
        <w:jc w:val="both"/>
        <w:rPr>
          <w:color w:val="auto"/>
          <w:kern w:val="0"/>
          <w:u w:val="none"/>
        </w:rPr>
      </w:pPr>
      <w:r>
        <w:rPr>
          <w:rFonts w:hint="eastAsia"/>
          <w:color w:val="auto"/>
          <w:kern w:val="0"/>
          <w:u w:val="none"/>
        </w:rPr>
        <w:t>①专业培训</w:t>
      </w:r>
    </w:p>
    <w:p>
      <w:pPr>
        <w:ind w:firstLine="480"/>
        <w:jc w:val="both"/>
        <w:rPr>
          <w:color w:val="auto"/>
          <w:kern w:val="0"/>
          <w:u w:val="none"/>
        </w:rPr>
      </w:pPr>
      <w:r>
        <w:rPr>
          <w:rFonts w:hint="eastAsia"/>
          <w:color w:val="auto"/>
          <w:kern w:val="0"/>
          <w:u w:val="none"/>
        </w:rPr>
        <w:t>污水处理厂投入运行前，对操作人员的专业化培训和考核是重要的一环，应作为污水处理厂运行准备工作的必要条件，特别是对主要操作人员进行理论和实际的操作的培训。</w:t>
      </w:r>
    </w:p>
    <w:p>
      <w:pPr>
        <w:ind w:firstLine="480"/>
        <w:jc w:val="both"/>
        <w:rPr>
          <w:rFonts w:hint="eastAsia" w:eastAsia="宋体"/>
          <w:color w:val="auto"/>
          <w:kern w:val="0"/>
          <w:u w:val="none"/>
          <w:lang w:eastAsia="zh-CN"/>
        </w:rPr>
      </w:pPr>
      <w:r>
        <w:rPr>
          <w:rFonts w:hint="eastAsia"/>
          <w:color w:val="auto"/>
          <w:kern w:val="0"/>
          <w:u w:val="none"/>
        </w:rPr>
        <w:t>②加强</w:t>
      </w:r>
      <w:r>
        <w:rPr>
          <w:rFonts w:hint="eastAsia"/>
          <w:color w:val="auto"/>
          <w:kern w:val="0"/>
          <w:u w:val="none"/>
          <w:lang w:eastAsia="zh-CN"/>
        </w:rPr>
        <w:t>自动检测管理</w:t>
      </w:r>
    </w:p>
    <w:p>
      <w:pPr>
        <w:ind w:firstLine="480"/>
        <w:jc w:val="both"/>
        <w:rPr>
          <w:color w:val="auto"/>
          <w:kern w:val="0"/>
          <w:u w:val="none"/>
        </w:rPr>
      </w:pPr>
      <w:r>
        <w:rPr>
          <w:rFonts w:hint="eastAsia"/>
          <w:color w:val="auto"/>
          <w:kern w:val="0"/>
          <w:u w:val="none"/>
        </w:rPr>
        <w:t>污水处理的操作人员，必须依据</w:t>
      </w:r>
      <w:r>
        <w:rPr>
          <w:rFonts w:hint="eastAsia"/>
          <w:color w:val="auto"/>
          <w:kern w:val="0"/>
          <w:u w:val="none"/>
          <w:lang w:eastAsia="zh-CN"/>
        </w:rPr>
        <w:t>自动检测</w:t>
      </w:r>
      <w:r>
        <w:rPr>
          <w:rFonts w:hint="eastAsia"/>
          <w:color w:val="auto"/>
          <w:kern w:val="0"/>
          <w:u w:val="none"/>
        </w:rPr>
        <w:t>水质变化，及时改变运行状态，实现最佳运行条件，在确保污水达标排放前提下减小运转费用。</w:t>
      </w:r>
    </w:p>
    <w:p>
      <w:pPr>
        <w:ind w:firstLine="480"/>
        <w:jc w:val="both"/>
        <w:rPr>
          <w:color w:val="auto"/>
          <w:kern w:val="0"/>
          <w:u w:val="none"/>
        </w:rPr>
      </w:pPr>
      <w:r>
        <w:rPr>
          <w:rFonts w:hint="eastAsia"/>
          <w:color w:val="auto"/>
          <w:kern w:val="0"/>
          <w:u w:val="none"/>
        </w:rPr>
        <w:t>③建立先进的自动控制系统</w:t>
      </w:r>
    </w:p>
    <w:p>
      <w:pPr>
        <w:ind w:firstLine="480"/>
        <w:jc w:val="both"/>
        <w:rPr>
          <w:rFonts w:hint="eastAsia"/>
          <w:color w:val="auto"/>
          <w:kern w:val="0"/>
          <w:u w:val="none"/>
        </w:rPr>
      </w:pPr>
      <w:r>
        <w:rPr>
          <w:rFonts w:hint="eastAsia"/>
          <w:color w:val="auto"/>
          <w:kern w:val="0"/>
          <w:u w:val="none"/>
        </w:rPr>
        <w:t>先进的自动控制系统是实现污水处理厂现代化管理的重要标志，也是提高操作水平，及时发现事故隐患的重要手段。但同时应加强自动化仪器仪表的维护管理。</w:t>
      </w:r>
    </w:p>
    <w:p>
      <w:pPr>
        <w:ind w:firstLine="480"/>
        <w:jc w:val="both"/>
        <w:rPr>
          <w:rFonts w:hint="eastAsia"/>
          <w:color w:val="auto"/>
          <w:kern w:val="0"/>
          <w:u w:val="none"/>
        </w:rPr>
      </w:pPr>
      <w:r>
        <w:rPr>
          <w:rFonts w:hint="eastAsia"/>
          <w:color w:val="auto"/>
          <w:kern w:val="0"/>
          <w:u w:val="none"/>
        </w:rPr>
        <w:t>④建立一个完整的管理机构和制定一套完善的管理制度</w:t>
      </w:r>
    </w:p>
    <w:p>
      <w:pPr>
        <w:ind w:firstLine="480"/>
        <w:jc w:val="both"/>
        <w:rPr>
          <w:rFonts w:hint="eastAsia"/>
          <w:color w:val="auto"/>
          <w:kern w:val="0"/>
          <w:u w:val="none"/>
        </w:rPr>
      </w:pPr>
      <w:r>
        <w:rPr>
          <w:rFonts w:hint="eastAsia"/>
          <w:color w:val="auto"/>
          <w:kern w:val="0"/>
          <w:u w:val="none"/>
        </w:rPr>
        <w:t>污水处理厂应建立一套以厂长负责制为主要内容的责权利清晰的管理体系。</w:t>
      </w:r>
    </w:p>
    <w:p>
      <w:pPr>
        <w:pStyle w:val="69"/>
        <w:rPr>
          <w:rFonts w:hint="eastAsia"/>
          <w:color w:val="auto"/>
          <w:u w:val="none"/>
        </w:rPr>
      </w:pPr>
      <w:r>
        <w:rPr>
          <w:rFonts w:hint="eastAsia"/>
          <w:color w:val="auto"/>
          <w:u w:val="none"/>
        </w:rPr>
        <w:t>5</w:t>
      </w:r>
      <w:r>
        <w:rPr>
          <w:color w:val="auto"/>
          <w:u w:val="none"/>
        </w:rPr>
        <w:t>.2.1.5</w:t>
      </w:r>
      <w:r>
        <w:rPr>
          <w:rFonts w:hint="eastAsia"/>
          <w:color w:val="auto"/>
          <w:u w:val="none"/>
        </w:rPr>
        <w:t>尾水消毒</w:t>
      </w:r>
    </w:p>
    <w:p>
      <w:pPr>
        <w:ind w:firstLine="480"/>
        <w:jc w:val="both"/>
        <w:rPr>
          <w:rFonts w:hint="eastAsia"/>
          <w:color w:val="auto"/>
          <w:kern w:val="0"/>
          <w:u w:val="none"/>
        </w:rPr>
      </w:pPr>
      <w:r>
        <w:rPr>
          <w:rFonts w:hint="eastAsia"/>
          <w:color w:val="auto"/>
          <w:kern w:val="0"/>
          <w:u w:val="none"/>
        </w:rPr>
        <w:t>《城镇污水处理厂污染物排放标准》（GB18918-2002）将微生物指标列为基本指标控制。本项目污水处理厂的进水</w:t>
      </w:r>
      <w:r>
        <w:rPr>
          <w:rFonts w:hint="eastAsia"/>
          <w:color w:val="auto"/>
          <w:kern w:val="0"/>
          <w:u w:val="none"/>
          <w:lang w:eastAsia="zh-CN"/>
        </w:rPr>
        <w:t>主要为</w:t>
      </w:r>
      <w:r>
        <w:rPr>
          <w:rFonts w:hint="eastAsia"/>
          <w:color w:val="auto"/>
          <w:kern w:val="0"/>
          <w:u w:val="none"/>
        </w:rPr>
        <w:t>生活废水，一般不含有有毒物质，但会有大量微生物、细菌、病毒等。污水的生物指标主要是细菌总数、大肠杆菌总数、病毒等，处理的办法是通过消毒杀菌。</w:t>
      </w:r>
    </w:p>
    <w:p>
      <w:pPr>
        <w:ind w:firstLine="480"/>
        <w:jc w:val="both"/>
        <w:rPr>
          <w:color w:val="auto"/>
          <w:kern w:val="0"/>
          <w:u w:val="none"/>
        </w:rPr>
      </w:pPr>
      <w:r>
        <w:rPr>
          <w:rFonts w:hint="eastAsia"/>
          <w:color w:val="auto"/>
          <w:kern w:val="0"/>
          <w:u w:val="none"/>
        </w:rPr>
        <w:t>本项目拟选用紫外消毒对污水处理厂尾水进行消毒。尾水常年进行消毒处理，可防止细菌随水流带出，有效避免疾病传播。</w:t>
      </w:r>
    </w:p>
    <w:p>
      <w:pPr>
        <w:pStyle w:val="69"/>
        <w:rPr>
          <w:color w:val="auto"/>
          <w:u w:val="none"/>
        </w:rPr>
      </w:pPr>
      <w:r>
        <w:rPr>
          <w:rFonts w:hint="eastAsia"/>
          <w:color w:val="auto"/>
          <w:u w:val="none"/>
        </w:rPr>
        <w:t>5</w:t>
      </w:r>
      <w:r>
        <w:rPr>
          <w:color w:val="auto"/>
          <w:u w:val="none"/>
        </w:rPr>
        <w:t>.2.1.6</w:t>
      </w:r>
      <w:r>
        <w:rPr>
          <w:rFonts w:hint="eastAsia"/>
          <w:color w:val="auto"/>
          <w:u w:val="none"/>
        </w:rPr>
        <w:t>出水稳定达标的可行性</w:t>
      </w:r>
    </w:p>
    <w:p>
      <w:pPr>
        <w:pStyle w:val="109"/>
        <w:spacing w:line="480" w:lineRule="exact"/>
        <w:rPr>
          <w:rFonts w:cs="Times New Roman"/>
          <w:color w:val="auto"/>
          <w:szCs w:val="24"/>
          <w:highlight w:val="yellow"/>
          <w:u w:val="none"/>
        </w:rPr>
      </w:pPr>
      <w:r>
        <w:rPr>
          <w:rFonts w:hint="eastAsia" w:cs="Times New Roman"/>
          <w:color w:val="auto"/>
          <w:szCs w:val="24"/>
          <w:u w:val="none"/>
        </w:rPr>
        <w:t>根据《排污许可证申请与核发技术规范水处理（试行）》（</w:t>
      </w:r>
      <w:r>
        <w:rPr>
          <w:rFonts w:cs="Times New Roman"/>
          <w:color w:val="auto"/>
          <w:szCs w:val="24"/>
          <w:u w:val="none"/>
        </w:rPr>
        <w:t>HJ978-2018</w:t>
      </w:r>
      <w:r>
        <w:rPr>
          <w:rFonts w:hint="eastAsia" w:cs="Times New Roman"/>
          <w:color w:val="auto"/>
          <w:szCs w:val="24"/>
          <w:u w:val="none"/>
        </w:rPr>
        <w:t>），处理单一行业废水的工业污水集中处理厂，按相应行业的排污许可证申请与核发技术规范执行，其他水处理排污单位污水处理可行技术参照下表。</w:t>
      </w:r>
    </w:p>
    <w:p>
      <w:pPr>
        <w:pStyle w:val="103"/>
        <w:rPr>
          <w:color w:val="auto"/>
          <w:u w:val="none"/>
        </w:rPr>
      </w:pPr>
      <w:r>
        <w:rPr>
          <w:rFonts w:hint="eastAsia"/>
          <w:color w:val="auto"/>
          <w:u w:val="none"/>
        </w:rPr>
        <w:t>表</w:t>
      </w:r>
      <w:r>
        <w:rPr>
          <w:color w:val="auto"/>
          <w:u w:val="none"/>
        </w:rPr>
        <w:t xml:space="preserve">5.2-1 </w:t>
      </w:r>
      <w:r>
        <w:rPr>
          <w:rFonts w:hint="eastAsia"/>
          <w:color w:val="auto"/>
          <w:u w:val="none"/>
        </w:rPr>
        <w:t>污水处理可行技术参照表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575"/>
        <w:gridCol w:w="5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tcBorders>
              <w:top w:val="single" w:color="auto" w:sz="4" w:space="0"/>
              <w:left w:val="single" w:color="auto" w:sz="4" w:space="0"/>
              <w:bottom w:val="single" w:color="auto" w:sz="4" w:space="0"/>
              <w:right w:val="single" w:color="auto" w:sz="4" w:space="0"/>
            </w:tcBorders>
            <w:noWrap w:val="0"/>
            <w:vAlign w:val="center"/>
          </w:tcPr>
          <w:p>
            <w:pPr>
              <w:pStyle w:val="109"/>
              <w:spacing w:line="300" w:lineRule="exact"/>
              <w:ind w:firstLine="0" w:firstLineChars="0"/>
              <w:jc w:val="center"/>
              <w:rPr>
                <w:rFonts w:cs="Times New Roman"/>
                <w:b/>
                <w:color w:val="auto"/>
                <w:sz w:val="21"/>
                <w:szCs w:val="21"/>
                <w:u w:val="none"/>
              </w:rPr>
            </w:pPr>
            <w:r>
              <w:rPr>
                <w:rFonts w:hint="eastAsia" w:cs="Times New Roman"/>
                <w:color w:val="auto"/>
                <w:sz w:val="21"/>
                <w:szCs w:val="21"/>
                <w:u w:val="none"/>
              </w:rPr>
              <w:t>废水类别</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pStyle w:val="109"/>
              <w:spacing w:line="300" w:lineRule="exact"/>
              <w:ind w:firstLine="0" w:firstLineChars="0"/>
              <w:jc w:val="center"/>
              <w:rPr>
                <w:rFonts w:cs="Times New Roman"/>
                <w:b/>
                <w:color w:val="auto"/>
                <w:sz w:val="21"/>
                <w:szCs w:val="21"/>
                <w:u w:val="none"/>
              </w:rPr>
            </w:pPr>
            <w:r>
              <w:rPr>
                <w:rFonts w:hint="eastAsia" w:cs="Times New Roman"/>
                <w:color w:val="auto"/>
                <w:sz w:val="21"/>
                <w:szCs w:val="21"/>
                <w:u w:val="none"/>
              </w:rPr>
              <w:t>执行标准</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pStyle w:val="109"/>
              <w:spacing w:line="300" w:lineRule="exact"/>
              <w:ind w:firstLine="0" w:firstLineChars="0"/>
              <w:jc w:val="center"/>
              <w:rPr>
                <w:rFonts w:cs="Times New Roman"/>
                <w:b/>
                <w:color w:val="auto"/>
                <w:sz w:val="21"/>
                <w:szCs w:val="21"/>
                <w:u w:val="none"/>
              </w:rPr>
            </w:pPr>
            <w:r>
              <w:rPr>
                <w:rFonts w:hint="eastAsia" w:cs="Times New Roman"/>
                <w:color w:val="auto"/>
                <w:sz w:val="21"/>
                <w:szCs w:val="21"/>
                <w:u w:val="none"/>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tcBorders>
              <w:top w:val="single" w:color="auto" w:sz="4" w:space="0"/>
              <w:left w:val="single" w:color="auto" w:sz="4" w:space="0"/>
              <w:bottom w:val="single" w:color="auto" w:sz="4" w:space="0"/>
              <w:right w:val="single" w:color="auto" w:sz="4" w:space="0"/>
            </w:tcBorders>
            <w:noWrap w:val="0"/>
            <w:vAlign w:val="center"/>
          </w:tcPr>
          <w:p>
            <w:pPr>
              <w:pStyle w:val="109"/>
              <w:spacing w:line="300" w:lineRule="exact"/>
              <w:ind w:firstLine="0" w:firstLineChars="0"/>
              <w:jc w:val="center"/>
              <w:rPr>
                <w:rFonts w:cs="Times New Roman"/>
                <w:b/>
                <w:color w:val="auto"/>
                <w:sz w:val="21"/>
                <w:szCs w:val="21"/>
                <w:u w:val="none"/>
              </w:rPr>
            </w:pPr>
            <w:r>
              <w:rPr>
                <w:rFonts w:hint="eastAsia" w:cs="Times New Roman"/>
                <w:b/>
                <w:color w:val="auto"/>
                <w:sz w:val="21"/>
                <w:szCs w:val="21"/>
                <w:u w:val="none"/>
              </w:rPr>
              <w:t>生活污水</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pStyle w:val="109"/>
              <w:spacing w:line="300" w:lineRule="exact"/>
              <w:ind w:firstLine="0" w:firstLineChars="0"/>
              <w:rPr>
                <w:rFonts w:cs="Times New Roman"/>
                <w:b/>
                <w:color w:val="auto"/>
                <w:sz w:val="21"/>
                <w:szCs w:val="21"/>
                <w:u w:val="none"/>
              </w:rPr>
            </w:pPr>
            <w:r>
              <w:rPr>
                <w:rFonts w:hint="eastAsia" w:cs="Times New Roman"/>
                <w:color w:val="auto"/>
                <w:sz w:val="21"/>
                <w:szCs w:val="21"/>
                <w:u w:val="none"/>
              </w:rPr>
              <w:t>执行</w:t>
            </w:r>
            <w:r>
              <w:rPr>
                <w:rFonts w:cs="Times New Roman"/>
                <w:color w:val="auto"/>
                <w:sz w:val="21"/>
                <w:szCs w:val="21"/>
                <w:u w:val="none"/>
              </w:rPr>
              <w:t>GB18918</w:t>
            </w:r>
            <w:r>
              <w:rPr>
                <w:rFonts w:hint="eastAsia" w:cs="Times New Roman"/>
                <w:color w:val="auto"/>
                <w:sz w:val="21"/>
                <w:szCs w:val="21"/>
                <w:u w:val="none"/>
              </w:rPr>
              <w:t>中一级标准的</w:t>
            </w:r>
            <w:r>
              <w:rPr>
                <w:rFonts w:cs="Times New Roman"/>
                <w:color w:val="auto"/>
                <w:sz w:val="21"/>
                <w:szCs w:val="21"/>
                <w:u w:val="none"/>
              </w:rPr>
              <w:t>A</w:t>
            </w:r>
            <w:r>
              <w:rPr>
                <w:rFonts w:hint="eastAsia" w:cs="Times New Roman"/>
                <w:color w:val="auto"/>
                <w:sz w:val="21"/>
                <w:szCs w:val="21"/>
                <w:u w:val="none"/>
              </w:rPr>
              <w:t>标准或更严格标准</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pStyle w:val="109"/>
              <w:spacing w:line="300" w:lineRule="exact"/>
              <w:ind w:firstLine="0" w:firstLineChars="0"/>
              <w:rPr>
                <w:rFonts w:cs="Times New Roman"/>
                <w:b/>
                <w:color w:val="auto"/>
                <w:sz w:val="21"/>
                <w:szCs w:val="21"/>
                <w:u w:val="none"/>
              </w:rPr>
            </w:pPr>
            <w:r>
              <w:rPr>
                <w:rFonts w:hint="eastAsia" w:cs="Times New Roman"/>
                <w:color w:val="auto"/>
                <w:sz w:val="21"/>
                <w:szCs w:val="21"/>
                <w:u w:val="none"/>
              </w:rPr>
              <w:t>预处理：格栅、沉淀（沉砂、初沉）、调节；生化处理：缺氧好氧、厌氧缺氧好氧、序批式活性污泥、接触氧化、氧化沟、移动生物床反应器、膜生物反应器；深度处理：混凝沉淀、过滤、曝气生物滤池、微滤、超滤、消毒（氯气、次氯酸钠、臭氧、紫外、二氧化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tcBorders>
              <w:top w:val="single" w:color="auto" w:sz="4" w:space="0"/>
              <w:left w:val="single" w:color="auto" w:sz="4" w:space="0"/>
              <w:bottom w:val="single" w:color="auto" w:sz="4" w:space="0"/>
              <w:right w:val="single" w:color="auto" w:sz="4" w:space="0"/>
            </w:tcBorders>
            <w:noWrap w:val="0"/>
            <w:vAlign w:val="center"/>
          </w:tcPr>
          <w:p>
            <w:pPr>
              <w:pStyle w:val="109"/>
              <w:spacing w:line="300" w:lineRule="exact"/>
              <w:ind w:firstLine="0" w:firstLineChars="0"/>
              <w:jc w:val="center"/>
              <w:rPr>
                <w:rFonts w:cs="Times New Roman"/>
                <w:b/>
                <w:color w:val="auto"/>
                <w:sz w:val="21"/>
                <w:szCs w:val="21"/>
                <w:u w:val="none"/>
              </w:rPr>
            </w:pPr>
            <w:r>
              <w:rPr>
                <w:rFonts w:hint="eastAsia" w:cs="Times New Roman"/>
                <w:b/>
                <w:color w:val="auto"/>
                <w:sz w:val="21"/>
                <w:szCs w:val="21"/>
                <w:u w:val="none"/>
              </w:rPr>
              <w:t>工业废水</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pStyle w:val="109"/>
              <w:spacing w:line="300" w:lineRule="exact"/>
              <w:ind w:firstLine="0" w:firstLineChars="0"/>
              <w:jc w:val="center"/>
              <w:rPr>
                <w:rFonts w:cs="Times New Roman"/>
                <w:b/>
                <w:color w:val="auto"/>
                <w:sz w:val="21"/>
                <w:szCs w:val="21"/>
                <w:u w:val="none"/>
              </w:rPr>
            </w:pPr>
            <w:r>
              <w:rPr>
                <w:rFonts w:cs="Times New Roman"/>
                <w:b/>
                <w:color w:val="auto"/>
                <w:sz w:val="21"/>
                <w:szCs w:val="21"/>
                <w:u w:val="none"/>
              </w:rPr>
              <w:t>—</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pStyle w:val="109"/>
              <w:spacing w:line="300" w:lineRule="exact"/>
              <w:ind w:firstLine="0" w:firstLineChars="0"/>
              <w:rPr>
                <w:rFonts w:cs="Times New Roman"/>
                <w:color w:val="auto"/>
                <w:sz w:val="21"/>
                <w:szCs w:val="21"/>
                <w:u w:val="none"/>
              </w:rPr>
            </w:pPr>
            <w:r>
              <w:rPr>
                <w:rFonts w:hint="eastAsia" w:cs="Times New Roman"/>
                <w:color w:val="auto"/>
                <w:sz w:val="21"/>
                <w:szCs w:val="21"/>
                <w:u w:val="none"/>
              </w:rPr>
              <w:t>预处理：沉淀、调节、气浮、水解酸化；</w:t>
            </w:r>
          </w:p>
          <w:p>
            <w:pPr>
              <w:pStyle w:val="109"/>
              <w:spacing w:line="300" w:lineRule="exact"/>
              <w:ind w:firstLine="0" w:firstLineChars="0"/>
              <w:rPr>
                <w:rFonts w:cs="Times New Roman"/>
                <w:color w:val="auto"/>
                <w:sz w:val="21"/>
                <w:szCs w:val="21"/>
                <w:u w:val="none"/>
              </w:rPr>
            </w:pPr>
            <w:r>
              <w:rPr>
                <w:rFonts w:hint="eastAsia" w:cs="Times New Roman"/>
                <w:color w:val="auto"/>
                <w:sz w:val="21"/>
                <w:szCs w:val="21"/>
                <w:u w:val="none"/>
              </w:rPr>
              <w:t>生化处理：好氧、缺氧好氧、厌氧缺氧好氧、序批式活性污泥、氧化沟、移动生物床反应器、膜生物反应器；</w:t>
            </w:r>
          </w:p>
          <w:p>
            <w:pPr>
              <w:pStyle w:val="109"/>
              <w:spacing w:line="300" w:lineRule="exact"/>
              <w:ind w:firstLine="0" w:firstLineChars="0"/>
              <w:rPr>
                <w:rFonts w:cs="Times New Roman"/>
                <w:color w:val="auto"/>
                <w:sz w:val="21"/>
                <w:szCs w:val="21"/>
                <w:u w:val="none"/>
              </w:rPr>
            </w:pPr>
            <w:r>
              <w:rPr>
                <w:rFonts w:hint="eastAsia" w:cs="Times New Roman"/>
                <w:color w:val="auto"/>
                <w:sz w:val="21"/>
                <w:szCs w:val="21"/>
                <w:u w:val="none"/>
              </w:rPr>
              <w:t>深度处理：反硝化滤池、化学沉淀、过滤、高级氧化、曝气生物滤池、生物接触氧化、膜分离、离子交换。</w:t>
            </w:r>
          </w:p>
          <w:p>
            <w:pPr>
              <w:pStyle w:val="109"/>
              <w:spacing w:line="300" w:lineRule="exact"/>
              <w:ind w:firstLine="0" w:firstLineChars="0"/>
              <w:rPr>
                <w:rFonts w:cs="Times New Roman"/>
                <w:b/>
                <w:color w:val="auto"/>
                <w:sz w:val="21"/>
                <w:szCs w:val="21"/>
                <w:u w:val="none"/>
              </w:rPr>
            </w:pPr>
            <w:r>
              <w:rPr>
                <w:rFonts w:hint="eastAsia" w:cs="Times New Roman"/>
                <w:color w:val="auto"/>
                <w:sz w:val="21"/>
                <w:szCs w:val="21"/>
                <w:u w:val="none"/>
              </w:rPr>
              <w:t>工业废水间接排放时可以只有预处理段</w:t>
            </w:r>
          </w:p>
        </w:tc>
      </w:tr>
    </w:tbl>
    <w:p>
      <w:pPr>
        <w:pStyle w:val="109"/>
        <w:spacing w:line="480" w:lineRule="exact"/>
        <w:rPr>
          <w:rFonts w:cs="Times New Roman"/>
          <w:color w:val="auto"/>
          <w:szCs w:val="24"/>
          <w:u w:val="none"/>
        </w:rPr>
      </w:pPr>
      <w:r>
        <w:rPr>
          <w:rFonts w:hint="eastAsia" w:cs="Times New Roman"/>
          <w:color w:val="auto"/>
          <w:szCs w:val="24"/>
          <w:u w:val="none"/>
        </w:rPr>
        <w:t>本项目污水厂工艺路线为：工业废水通过管道</w:t>
      </w:r>
      <w:r>
        <w:rPr>
          <w:rFonts w:hint="eastAsia" w:cs="Times New Roman"/>
          <w:color w:val="auto"/>
          <w:szCs w:val="24"/>
          <w:u w:val="none"/>
          <w:lang w:eastAsia="zh-CN"/>
        </w:rPr>
        <w:t>收集后</w:t>
      </w:r>
      <w:r>
        <w:rPr>
          <w:rFonts w:hint="eastAsia" w:cs="Times New Roman"/>
          <w:color w:val="auto"/>
          <w:szCs w:val="24"/>
          <w:u w:val="none"/>
        </w:rPr>
        <w:t>经</w:t>
      </w:r>
      <w:r>
        <w:rPr>
          <w:rFonts w:hint="eastAsia" w:cs="Times New Roman"/>
          <w:color w:val="auto"/>
          <w:szCs w:val="24"/>
          <w:u w:val="none"/>
          <w:lang w:eastAsia="zh-CN"/>
        </w:rPr>
        <w:t>进水井</w:t>
      </w:r>
      <w:r>
        <w:rPr>
          <w:rFonts w:hint="eastAsia" w:cs="Times New Roman"/>
          <w:color w:val="auto"/>
          <w:szCs w:val="24"/>
          <w:u w:val="none"/>
        </w:rPr>
        <w:t>进入</w:t>
      </w:r>
      <w:r>
        <w:rPr>
          <w:rFonts w:hint="eastAsia" w:cs="Times New Roman"/>
          <w:color w:val="auto"/>
          <w:szCs w:val="24"/>
          <w:u w:val="none"/>
          <w:lang w:eastAsia="zh-CN"/>
        </w:rPr>
        <w:t>格栅渠、然后进入</w:t>
      </w:r>
      <w:r>
        <w:rPr>
          <w:rFonts w:hint="eastAsia" w:cs="Times New Roman"/>
          <w:color w:val="auto"/>
          <w:szCs w:val="24"/>
          <w:u w:val="none"/>
        </w:rPr>
        <w:t>沉砂池，然后进入</w:t>
      </w:r>
      <w:r>
        <w:rPr>
          <w:rFonts w:hint="eastAsia" w:cs="Times New Roman"/>
          <w:color w:val="auto"/>
          <w:szCs w:val="24"/>
          <w:u w:val="none"/>
          <w:lang w:eastAsia="zh-CN"/>
        </w:rPr>
        <w:t>调节</w:t>
      </w:r>
      <w:r>
        <w:rPr>
          <w:rFonts w:hint="eastAsia" w:cs="Times New Roman"/>
          <w:color w:val="auto"/>
          <w:szCs w:val="24"/>
          <w:u w:val="none"/>
        </w:rPr>
        <w:t>池，经过</w:t>
      </w:r>
      <w:r>
        <w:rPr>
          <w:rFonts w:hint="eastAsia" w:cs="Times New Roman"/>
          <w:color w:val="auto"/>
          <w:szCs w:val="24"/>
          <w:u w:val="none"/>
          <w:lang w:val="en-US" w:eastAsia="zh-CN"/>
        </w:rPr>
        <w:t>MBR设备</w:t>
      </w:r>
      <w:r>
        <w:rPr>
          <w:rFonts w:hint="eastAsia" w:cs="Times New Roman"/>
          <w:color w:val="auto"/>
          <w:szCs w:val="24"/>
          <w:u w:val="none"/>
        </w:rPr>
        <w:t>深度处理，最后经紫外消毒</w:t>
      </w:r>
      <w:r>
        <w:rPr>
          <w:rFonts w:hint="eastAsia" w:cs="Times New Roman"/>
          <w:color w:val="auto"/>
          <w:szCs w:val="24"/>
          <w:u w:val="none"/>
          <w:lang w:eastAsia="zh-CN"/>
        </w:rPr>
        <w:t>管</w:t>
      </w:r>
      <w:r>
        <w:rPr>
          <w:rFonts w:hint="eastAsia" w:cs="Times New Roman"/>
          <w:color w:val="auto"/>
          <w:szCs w:val="24"/>
          <w:u w:val="none"/>
        </w:rPr>
        <w:t>消毒后</w:t>
      </w:r>
      <w:r>
        <w:rPr>
          <w:rFonts w:hint="eastAsia" w:cs="Times New Roman"/>
          <w:color w:val="auto"/>
          <w:szCs w:val="24"/>
          <w:u w:val="none"/>
          <w:lang w:eastAsia="zh-CN"/>
        </w:rPr>
        <w:t>经过清水池</w:t>
      </w:r>
      <w:r>
        <w:rPr>
          <w:rFonts w:hint="eastAsia" w:cs="Times New Roman"/>
          <w:color w:val="auto"/>
          <w:szCs w:val="24"/>
          <w:u w:val="none"/>
        </w:rPr>
        <w:t>排放至</w:t>
      </w:r>
      <w:r>
        <w:rPr>
          <w:rFonts w:hint="eastAsia" w:cs="Times New Roman"/>
          <w:color w:val="auto"/>
          <w:szCs w:val="24"/>
          <w:u w:val="none"/>
          <w:lang w:eastAsia="zh-CN"/>
        </w:rPr>
        <w:t>猛洞河</w:t>
      </w:r>
      <w:r>
        <w:rPr>
          <w:rFonts w:hint="eastAsia" w:cs="Times New Roman"/>
          <w:color w:val="auto"/>
          <w:szCs w:val="24"/>
          <w:u w:val="none"/>
        </w:rPr>
        <w:t>。属于污水处理可行技术。且该工艺可以根据进水水量、水质特性和环境条件的变化，灵活调整运行模式，在提高处理效果基础上，保证工艺可靠性。因此能适应进水水质的变化，可灵活根据进水水质进行相应调整，从而确保出水水质稳定达标。</w:t>
      </w:r>
    </w:p>
    <w:p>
      <w:pPr>
        <w:pStyle w:val="109"/>
        <w:spacing w:line="480" w:lineRule="exact"/>
        <w:rPr>
          <w:rFonts w:cs="Times New Roman"/>
          <w:color w:val="auto"/>
          <w:szCs w:val="24"/>
          <w:u w:val="none"/>
        </w:rPr>
      </w:pPr>
      <w:r>
        <w:rPr>
          <w:rFonts w:hint="eastAsia" w:cs="Times New Roman"/>
          <w:color w:val="auto"/>
          <w:szCs w:val="24"/>
          <w:u w:val="none"/>
        </w:rPr>
        <w:t>此外，项目应加强进水、排水水质的监控，并安装在线监测系统对各项指标</w:t>
      </w:r>
      <w:r>
        <w:rPr>
          <w:rFonts w:cs="Times New Roman"/>
          <w:color w:val="auto"/>
          <w:szCs w:val="24"/>
          <w:u w:val="none"/>
        </w:rPr>
        <w:t>(</w:t>
      </w:r>
      <w:r>
        <w:rPr>
          <w:rFonts w:hint="eastAsia" w:cs="Times New Roman"/>
          <w:color w:val="auto"/>
          <w:szCs w:val="24"/>
          <w:u w:val="none"/>
        </w:rPr>
        <w:t>尤其是</w:t>
      </w:r>
      <w:r>
        <w:rPr>
          <w:rFonts w:cs="Times New Roman"/>
          <w:color w:val="auto"/>
          <w:szCs w:val="24"/>
          <w:u w:val="none"/>
        </w:rPr>
        <w:t>pH</w:t>
      </w:r>
      <w:r>
        <w:rPr>
          <w:rFonts w:hint="eastAsia" w:cs="Times New Roman"/>
          <w:color w:val="auto"/>
          <w:szCs w:val="24"/>
          <w:u w:val="none"/>
        </w:rPr>
        <w:t>、</w:t>
      </w:r>
      <w:r>
        <w:rPr>
          <w:rFonts w:cs="Times New Roman"/>
          <w:color w:val="auto"/>
          <w:szCs w:val="24"/>
          <w:u w:val="none"/>
        </w:rPr>
        <w:t>COD</w:t>
      </w:r>
      <w:r>
        <w:rPr>
          <w:rFonts w:hint="eastAsia" w:cs="Times New Roman"/>
          <w:color w:val="auto"/>
          <w:szCs w:val="24"/>
          <w:u w:val="none"/>
        </w:rPr>
        <w:t>、氨氮、</w:t>
      </w:r>
      <w:r>
        <w:rPr>
          <w:rFonts w:hint="eastAsia" w:cs="Times New Roman"/>
          <w:color w:val="auto"/>
          <w:szCs w:val="24"/>
          <w:u w:val="none"/>
          <w:lang w:val="en-US" w:eastAsia="zh-CN"/>
        </w:rPr>
        <w:t>T</w:t>
      </w:r>
      <w:r>
        <w:rPr>
          <w:rFonts w:cs="Times New Roman"/>
          <w:color w:val="auto"/>
          <w:szCs w:val="24"/>
          <w:u w:val="none"/>
        </w:rPr>
        <w:t>N</w:t>
      </w:r>
      <w:r>
        <w:rPr>
          <w:rFonts w:hint="eastAsia" w:cs="Times New Roman"/>
          <w:color w:val="auto"/>
          <w:szCs w:val="24"/>
          <w:u w:val="none"/>
        </w:rPr>
        <w:t>、</w:t>
      </w:r>
      <w:r>
        <w:rPr>
          <w:rFonts w:hint="eastAsia" w:cs="Times New Roman"/>
          <w:color w:val="auto"/>
          <w:szCs w:val="24"/>
          <w:u w:val="none"/>
          <w:lang w:val="en-US" w:eastAsia="zh-CN"/>
        </w:rPr>
        <w:t>T</w:t>
      </w:r>
      <w:r>
        <w:rPr>
          <w:rFonts w:cs="Times New Roman"/>
          <w:color w:val="auto"/>
          <w:szCs w:val="24"/>
          <w:u w:val="none"/>
        </w:rPr>
        <w:t>P</w:t>
      </w:r>
      <w:r>
        <w:rPr>
          <w:rFonts w:hint="eastAsia" w:cs="Times New Roman"/>
          <w:color w:val="auto"/>
          <w:szCs w:val="24"/>
          <w:u w:val="none"/>
        </w:rPr>
        <w:t>等</w:t>
      </w:r>
      <w:r>
        <w:rPr>
          <w:rFonts w:cs="Times New Roman"/>
          <w:color w:val="auto"/>
          <w:szCs w:val="24"/>
          <w:u w:val="none"/>
        </w:rPr>
        <w:t>)</w:t>
      </w:r>
      <w:r>
        <w:rPr>
          <w:rFonts w:hint="eastAsia" w:cs="Times New Roman"/>
          <w:color w:val="auto"/>
          <w:szCs w:val="24"/>
          <w:u w:val="none"/>
        </w:rPr>
        <w:t>进行实时监测，在日常运行中应加强管理、及时排泥和添加药剂等，确保处理效果稳定。</w:t>
      </w:r>
    </w:p>
    <w:p>
      <w:pPr>
        <w:pStyle w:val="6"/>
        <w:bidi w:val="0"/>
        <w:rPr>
          <w:rFonts w:hint="eastAsia"/>
          <w:color w:val="auto"/>
          <w:u w:val="none"/>
        </w:rPr>
      </w:pPr>
      <w:r>
        <w:rPr>
          <w:rStyle w:val="45"/>
          <w:rFonts w:hint="eastAsia"/>
          <w:b/>
          <w:color w:val="auto"/>
          <w:u w:val="none"/>
        </w:rPr>
        <w:t>5</w:t>
      </w:r>
      <w:r>
        <w:rPr>
          <w:rStyle w:val="45"/>
          <w:b/>
          <w:color w:val="auto"/>
          <w:u w:val="none"/>
        </w:rPr>
        <w:t>.2.2</w:t>
      </w:r>
      <w:r>
        <w:rPr>
          <w:rFonts w:hint="eastAsia"/>
          <w:color w:val="auto"/>
          <w:u w:val="none"/>
        </w:rPr>
        <w:t>地下水环境防治措施</w:t>
      </w:r>
    </w:p>
    <w:p>
      <w:pPr>
        <w:ind w:firstLine="480"/>
        <w:rPr>
          <w:color w:val="auto"/>
          <w:kern w:val="0"/>
          <w:u w:val="none"/>
        </w:rPr>
      </w:pPr>
      <w:r>
        <w:rPr>
          <w:color w:val="auto"/>
          <w:kern w:val="0"/>
          <w:u w:val="none"/>
        </w:rPr>
        <w:t>针对项目可能发生的地下水污染，本项目地下水污染防治措施按照</w:t>
      </w:r>
      <w:r>
        <w:rPr>
          <w:rFonts w:hint="eastAsia"/>
          <w:color w:val="auto"/>
          <w:kern w:val="0"/>
          <w:u w:val="none"/>
        </w:rPr>
        <w:t>“</w:t>
      </w:r>
      <w:r>
        <w:rPr>
          <w:color w:val="auto"/>
          <w:kern w:val="0"/>
          <w:u w:val="none"/>
        </w:rPr>
        <w:t>源头控制、分区防治、污染监控、应急响应</w:t>
      </w:r>
      <w:r>
        <w:rPr>
          <w:rFonts w:hint="eastAsia"/>
          <w:color w:val="auto"/>
          <w:kern w:val="0"/>
          <w:u w:val="none"/>
        </w:rPr>
        <w:t>”</w:t>
      </w:r>
      <w:r>
        <w:rPr>
          <w:color w:val="auto"/>
          <w:kern w:val="0"/>
          <w:u w:val="none"/>
        </w:rPr>
        <w:t>相结合的原则，从污染物的生产、入渗、扩散、应急响应全方位进行控制。</w:t>
      </w:r>
    </w:p>
    <w:p>
      <w:pPr>
        <w:pStyle w:val="69"/>
        <w:rPr>
          <w:color w:val="auto"/>
          <w:u w:val="none"/>
        </w:rPr>
      </w:pPr>
      <w:r>
        <w:rPr>
          <w:rFonts w:hint="eastAsia"/>
          <w:color w:val="auto"/>
          <w:u w:val="none"/>
        </w:rPr>
        <w:t>5</w:t>
      </w:r>
      <w:r>
        <w:rPr>
          <w:color w:val="auto"/>
          <w:u w:val="none"/>
        </w:rPr>
        <w:t>.2.2</w:t>
      </w:r>
      <w:r>
        <w:rPr>
          <w:rFonts w:hint="eastAsia"/>
          <w:color w:val="auto"/>
          <w:u w:val="none"/>
        </w:rPr>
        <w:t>.1</w:t>
      </w:r>
      <w:r>
        <w:rPr>
          <w:color w:val="auto"/>
          <w:u w:val="none"/>
        </w:rPr>
        <w:t>污染源控制措施</w:t>
      </w:r>
    </w:p>
    <w:p>
      <w:pPr>
        <w:ind w:firstLine="480"/>
        <w:rPr>
          <w:color w:val="auto"/>
          <w:kern w:val="0"/>
          <w:u w:val="none"/>
        </w:rPr>
      </w:pPr>
      <w:r>
        <w:rPr>
          <w:color w:val="auto"/>
          <w:kern w:val="0"/>
          <w:u w:val="none"/>
        </w:rPr>
        <w:t>严格按照国家相关规范要求，对污水管道、污水储存及处理构筑物采取相应的防渗措施，以防止和降低污染物的跑、冒、滴、漏，将污染物泄漏的环境风险事故降低到最低程度；管线</w:t>
      </w:r>
      <w:r>
        <w:rPr>
          <w:rFonts w:hint="eastAsia"/>
          <w:color w:val="auto"/>
          <w:kern w:val="0"/>
          <w:u w:val="none"/>
          <w:lang w:eastAsia="zh-CN"/>
        </w:rPr>
        <w:t>铺设</w:t>
      </w:r>
      <w:r>
        <w:rPr>
          <w:color w:val="auto"/>
          <w:kern w:val="0"/>
          <w:u w:val="none"/>
        </w:rPr>
        <w:t>尽量采用</w:t>
      </w:r>
      <w:r>
        <w:rPr>
          <w:rFonts w:hint="eastAsia"/>
          <w:color w:val="auto"/>
          <w:kern w:val="0"/>
          <w:u w:val="none"/>
        </w:rPr>
        <w:t>“</w:t>
      </w:r>
      <w:r>
        <w:rPr>
          <w:color w:val="auto"/>
          <w:kern w:val="0"/>
          <w:u w:val="none"/>
        </w:rPr>
        <w:t>可视化</w:t>
      </w:r>
      <w:r>
        <w:rPr>
          <w:rFonts w:hint="eastAsia"/>
          <w:color w:val="auto"/>
          <w:kern w:val="0"/>
          <w:u w:val="none"/>
        </w:rPr>
        <w:t>”</w:t>
      </w:r>
      <w:r>
        <w:rPr>
          <w:color w:val="auto"/>
          <w:kern w:val="0"/>
          <w:u w:val="none"/>
        </w:rPr>
        <w:t>原则，即管道尽可能地上</w:t>
      </w:r>
      <w:r>
        <w:rPr>
          <w:rFonts w:hint="eastAsia"/>
          <w:color w:val="auto"/>
          <w:kern w:val="0"/>
          <w:u w:val="none"/>
          <w:lang w:eastAsia="zh-CN"/>
        </w:rPr>
        <w:t>铺</w:t>
      </w:r>
      <w:r>
        <w:rPr>
          <w:color w:val="auto"/>
          <w:kern w:val="0"/>
          <w:u w:val="none"/>
        </w:rPr>
        <w:t>设，做到污染物</w:t>
      </w:r>
      <w:r>
        <w:rPr>
          <w:rFonts w:hint="eastAsia"/>
          <w:color w:val="auto"/>
          <w:kern w:val="0"/>
          <w:u w:val="none"/>
        </w:rPr>
        <w:t>“</w:t>
      </w:r>
      <w:r>
        <w:rPr>
          <w:color w:val="auto"/>
          <w:kern w:val="0"/>
          <w:u w:val="none"/>
        </w:rPr>
        <w:t>早发现、早处理</w:t>
      </w:r>
      <w:r>
        <w:rPr>
          <w:rFonts w:hint="eastAsia"/>
          <w:color w:val="auto"/>
          <w:kern w:val="0"/>
          <w:u w:val="none"/>
        </w:rPr>
        <w:t>”，</w:t>
      </w:r>
      <w:r>
        <w:rPr>
          <w:color w:val="auto"/>
          <w:kern w:val="0"/>
          <w:u w:val="none"/>
        </w:rPr>
        <w:t>以减少由于埋地管道泄漏而可能造成的地下水污染。</w:t>
      </w:r>
    </w:p>
    <w:p>
      <w:pPr>
        <w:widowControl w:val="0"/>
        <w:ind w:firstLine="480"/>
        <w:jc w:val="both"/>
        <w:rPr>
          <w:color w:val="auto"/>
          <w:kern w:val="0"/>
          <w:u w:val="none"/>
        </w:rPr>
      </w:pPr>
      <w:r>
        <w:rPr>
          <w:rFonts w:hint="eastAsia"/>
          <w:color w:val="auto"/>
          <w:u w:val="none"/>
        </w:rPr>
        <w:t>为保护区域地下水安全，需要防渗的区域包括：</w:t>
      </w:r>
      <w:r>
        <w:rPr>
          <w:rFonts w:hint="eastAsia"/>
          <w:color w:val="auto"/>
          <w:u w:val="none"/>
          <w:lang w:val="en-US" w:eastAsia="zh-CN"/>
        </w:rPr>
        <w:t>MBR设备、</w:t>
      </w:r>
      <w:r>
        <w:rPr>
          <w:color w:val="auto"/>
          <w:kern w:val="0"/>
          <w:u w:val="none"/>
        </w:rPr>
        <w:t>污水池构筑物</w:t>
      </w:r>
      <w:r>
        <w:rPr>
          <w:rFonts w:hint="eastAsia"/>
          <w:color w:val="auto"/>
          <w:kern w:val="0"/>
          <w:u w:val="none"/>
        </w:rPr>
        <w:t>、管道、</w:t>
      </w:r>
      <w:r>
        <w:rPr>
          <w:rFonts w:hint="eastAsia"/>
          <w:color w:val="auto"/>
          <w:kern w:val="0"/>
          <w:u w:val="none"/>
          <w:lang w:eastAsia="zh-CN"/>
        </w:rPr>
        <w:t>辅助用房</w:t>
      </w:r>
      <w:r>
        <w:rPr>
          <w:rFonts w:hint="eastAsia"/>
          <w:color w:val="auto"/>
          <w:u w:val="none"/>
        </w:rPr>
        <w:t>。根据《环境影响评价技术导则-地下水环境》（HJ610-2016），地下水污染防渗分区划分原则见下表</w:t>
      </w:r>
      <w:r>
        <w:rPr>
          <w:color w:val="auto"/>
          <w:u w:val="none"/>
        </w:rPr>
        <w:t>5.2-2</w:t>
      </w:r>
      <w:r>
        <w:rPr>
          <w:rFonts w:hint="eastAsia"/>
          <w:color w:val="auto"/>
          <w:u w:val="none"/>
        </w:rPr>
        <w:t>、</w:t>
      </w:r>
      <w:r>
        <w:rPr>
          <w:color w:val="auto"/>
          <w:u w:val="none"/>
        </w:rPr>
        <w:t>5.2-3</w:t>
      </w:r>
      <w:r>
        <w:rPr>
          <w:rFonts w:hint="eastAsia"/>
          <w:color w:val="auto"/>
          <w:u w:val="none"/>
        </w:rPr>
        <w:t>、</w:t>
      </w:r>
      <w:r>
        <w:rPr>
          <w:color w:val="auto"/>
          <w:u w:val="none"/>
        </w:rPr>
        <w:t>5.2-4</w:t>
      </w:r>
      <w:r>
        <w:rPr>
          <w:rFonts w:hint="eastAsia"/>
          <w:color w:val="auto"/>
          <w:u w:val="none"/>
        </w:rPr>
        <w:t>。</w:t>
      </w:r>
    </w:p>
    <w:p>
      <w:pPr>
        <w:pStyle w:val="103"/>
        <w:rPr>
          <w:color w:val="auto"/>
          <w:u w:val="none"/>
        </w:rPr>
      </w:pPr>
      <w:r>
        <w:rPr>
          <w:rFonts w:hint="eastAsia"/>
          <w:color w:val="auto"/>
          <w:u w:val="none"/>
        </w:rPr>
        <w:t>表5</w:t>
      </w:r>
      <w:r>
        <w:rPr>
          <w:color w:val="auto"/>
          <w:u w:val="none"/>
        </w:rPr>
        <w:t>.2-2 污染控制难易程度分级参照表</w:t>
      </w:r>
    </w:p>
    <w:tbl>
      <w:tblPr>
        <w:tblStyle w:val="36"/>
        <w:tblpPr w:leftFromText="180" w:rightFromText="180" w:vertAnchor="text" w:horzAnchor="margin" w:tblpY="10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9"/>
        <w:gridCol w:w="6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819" w:type="dxa"/>
            <w:noWrap w:val="0"/>
            <w:vAlign w:val="top"/>
          </w:tcPr>
          <w:p>
            <w:pPr>
              <w:widowControl w:val="0"/>
              <w:suppressAutoHyphens/>
              <w:topLinePunct/>
              <w:snapToGrid w:val="0"/>
              <w:spacing w:line="240" w:lineRule="auto"/>
              <w:ind w:firstLine="0" w:firstLineChars="0"/>
              <w:jc w:val="center"/>
              <w:rPr>
                <w:rFonts w:cs="黑体"/>
                <w:b/>
                <w:color w:val="auto"/>
                <w:sz w:val="21"/>
                <w:szCs w:val="21"/>
                <w:u w:val="none"/>
              </w:rPr>
            </w:pPr>
            <w:r>
              <w:rPr>
                <w:rFonts w:hint="eastAsia" w:cs="黑体"/>
                <w:b/>
                <w:color w:val="auto"/>
                <w:sz w:val="21"/>
                <w:szCs w:val="21"/>
                <w:u w:val="none"/>
              </w:rPr>
              <w:t>污染控制难易程度</w:t>
            </w:r>
          </w:p>
        </w:tc>
        <w:tc>
          <w:tcPr>
            <w:tcW w:w="6487" w:type="dxa"/>
            <w:noWrap w:val="0"/>
            <w:vAlign w:val="top"/>
          </w:tcPr>
          <w:p>
            <w:pPr>
              <w:widowControl w:val="0"/>
              <w:suppressAutoHyphens/>
              <w:topLinePunct/>
              <w:snapToGrid w:val="0"/>
              <w:spacing w:line="240" w:lineRule="auto"/>
              <w:ind w:firstLine="0" w:firstLineChars="0"/>
              <w:jc w:val="center"/>
              <w:rPr>
                <w:rFonts w:cs="黑体"/>
                <w:b/>
                <w:color w:val="auto"/>
                <w:sz w:val="21"/>
                <w:szCs w:val="21"/>
                <w:u w:val="none"/>
              </w:rPr>
            </w:pPr>
            <w:r>
              <w:rPr>
                <w:rFonts w:hint="eastAsia" w:cs="黑体"/>
                <w:b/>
                <w:color w:val="auto"/>
                <w:sz w:val="21"/>
                <w:szCs w:val="21"/>
                <w:u w:val="none"/>
              </w:rPr>
              <w:t>主要特征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19" w:type="dxa"/>
            <w:noWrap w:val="0"/>
            <w:vAlign w:val="top"/>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w w:val="99"/>
                <w:sz w:val="21"/>
                <w:szCs w:val="21"/>
                <w:u w:val="none"/>
              </w:rPr>
              <w:t>难</w:t>
            </w:r>
          </w:p>
        </w:tc>
        <w:tc>
          <w:tcPr>
            <w:tcW w:w="6487" w:type="dxa"/>
            <w:noWrap w:val="0"/>
            <w:vAlign w:val="top"/>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对地下水环境有污染的物料或污染物泄漏后，不能及时发现和处理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19" w:type="dxa"/>
            <w:noWrap w:val="0"/>
            <w:vAlign w:val="top"/>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w w:val="99"/>
                <w:sz w:val="21"/>
                <w:szCs w:val="21"/>
                <w:u w:val="none"/>
              </w:rPr>
              <w:t>易</w:t>
            </w:r>
          </w:p>
        </w:tc>
        <w:tc>
          <w:tcPr>
            <w:tcW w:w="6487" w:type="dxa"/>
            <w:noWrap w:val="0"/>
            <w:vAlign w:val="top"/>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对地下水环境有污染的物料或污染物泄漏后，可及时发现和处理</w:t>
            </w:r>
          </w:p>
        </w:tc>
      </w:tr>
    </w:tbl>
    <w:p>
      <w:pPr>
        <w:pStyle w:val="103"/>
        <w:rPr>
          <w:rFonts w:hint="eastAsia"/>
          <w:color w:val="auto"/>
          <w:u w:val="none"/>
        </w:rPr>
      </w:pPr>
      <w:r>
        <w:rPr>
          <w:rFonts w:hint="eastAsia"/>
          <w:color w:val="auto"/>
          <w:u w:val="none"/>
        </w:rPr>
        <w:t>表5</w:t>
      </w:r>
      <w:r>
        <w:rPr>
          <w:color w:val="auto"/>
          <w:u w:val="none"/>
        </w:rPr>
        <w:t xml:space="preserve">.2-3 </w:t>
      </w:r>
      <w:r>
        <w:rPr>
          <w:rFonts w:hint="eastAsia"/>
          <w:color w:val="auto"/>
          <w:u w:val="none"/>
        </w:rPr>
        <w:t>天然包气带防污性能分级参照表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8"/>
        <w:gridCol w:w="7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dxa"/>
            <w:noWrap w:val="0"/>
            <w:vAlign w:val="center"/>
          </w:tcPr>
          <w:p>
            <w:pPr>
              <w:widowControl w:val="0"/>
              <w:suppressAutoHyphens/>
              <w:topLinePunct/>
              <w:snapToGrid w:val="0"/>
              <w:spacing w:line="240" w:lineRule="auto"/>
              <w:ind w:firstLine="0" w:firstLineChars="0"/>
              <w:jc w:val="center"/>
              <w:rPr>
                <w:rFonts w:cs="黑体"/>
                <w:b/>
                <w:color w:val="auto"/>
                <w:sz w:val="21"/>
                <w:szCs w:val="21"/>
                <w:u w:val="none"/>
              </w:rPr>
            </w:pPr>
            <w:r>
              <w:rPr>
                <w:rFonts w:cs="黑体"/>
                <w:b/>
                <w:color w:val="auto"/>
                <w:sz w:val="21"/>
                <w:szCs w:val="21"/>
                <w:u w:val="none"/>
              </w:rPr>
              <w:t>分级</w:t>
            </w:r>
          </w:p>
        </w:tc>
        <w:tc>
          <w:tcPr>
            <w:tcW w:w="7328" w:type="dxa"/>
            <w:noWrap w:val="0"/>
            <w:vAlign w:val="center"/>
          </w:tcPr>
          <w:p>
            <w:pPr>
              <w:widowControl w:val="0"/>
              <w:suppressAutoHyphens/>
              <w:topLinePunct/>
              <w:snapToGrid w:val="0"/>
              <w:spacing w:line="240" w:lineRule="auto"/>
              <w:ind w:firstLine="0" w:firstLineChars="0"/>
              <w:jc w:val="center"/>
              <w:rPr>
                <w:rFonts w:cs="黑体"/>
                <w:b/>
                <w:color w:val="auto"/>
                <w:sz w:val="21"/>
                <w:szCs w:val="21"/>
                <w:u w:val="none"/>
              </w:rPr>
            </w:pPr>
            <w:r>
              <w:rPr>
                <w:rFonts w:cs="黑体"/>
                <w:b/>
                <w:color w:val="auto"/>
                <w:sz w:val="21"/>
                <w:szCs w:val="21"/>
                <w:u w:val="none"/>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dxa"/>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cs="黑体"/>
                <w:color w:val="auto"/>
                <w:sz w:val="21"/>
                <w:szCs w:val="21"/>
                <w:u w:val="none"/>
              </w:rPr>
              <w:t>强</w:t>
            </w:r>
          </w:p>
        </w:tc>
        <w:tc>
          <w:tcPr>
            <w:tcW w:w="7328" w:type="dxa"/>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cs="黑体"/>
                <w:color w:val="auto"/>
                <w:sz w:val="21"/>
                <w:szCs w:val="21"/>
                <w:u w:val="none"/>
              </w:rPr>
              <w:t>岩（土）层单层厚度Mb≥1.0m，渗透系数K≤1×10-6cm/s，且分布连续、稳定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978" w:type="dxa"/>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cs="黑体"/>
                <w:color w:val="auto"/>
                <w:sz w:val="21"/>
                <w:szCs w:val="21"/>
                <w:u w:val="none"/>
              </w:rPr>
              <w:t>中</w:t>
            </w:r>
          </w:p>
        </w:tc>
        <w:tc>
          <w:tcPr>
            <w:tcW w:w="7328" w:type="dxa"/>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cs="黑体"/>
                <w:color w:val="auto"/>
                <w:sz w:val="21"/>
                <w:szCs w:val="21"/>
                <w:u w:val="none"/>
              </w:rPr>
              <w:t>岩（土）层单层厚度0.5m≤Mb＜1.0m，渗透系数K≤1×10-6cm/s，且分布连续、稳定。岩（土）层单层厚度Mb≥1.0m，渗透系数1×10-6cm/s＜K≤1×10-4cm/s，且分布连续、稳定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dxa"/>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cs="黑体"/>
                <w:color w:val="auto"/>
                <w:sz w:val="21"/>
                <w:szCs w:val="21"/>
                <w:u w:val="none"/>
              </w:rPr>
              <w:t>弱</w:t>
            </w:r>
          </w:p>
        </w:tc>
        <w:tc>
          <w:tcPr>
            <w:tcW w:w="7328" w:type="dxa"/>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cs="黑体"/>
                <w:color w:val="auto"/>
                <w:sz w:val="21"/>
                <w:szCs w:val="21"/>
                <w:u w:val="none"/>
              </w:rPr>
              <w:t>岩（土）层不满足上述“强”和“中”条件</w:t>
            </w:r>
          </w:p>
        </w:tc>
      </w:tr>
    </w:tbl>
    <w:p>
      <w:pPr>
        <w:pStyle w:val="103"/>
        <w:rPr>
          <w:color w:val="auto"/>
          <w:u w:val="none"/>
        </w:rPr>
      </w:pPr>
      <w:r>
        <w:rPr>
          <w:rFonts w:hint="eastAsia"/>
          <w:color w:val="auto"/>
          <w:u w:val="none"/>
        </w:rPr>
        <w:t>表5</w:t>
      </w:r>
      <w:r>
        <w:rPr>
          <w:color w:val="auto"/>
          <w:u w:val="none"/>
        </w:rPr>
        <w:t xml:space="preserve">.2-4 </w:t>
      </w:r>
      <w:r>
        <w:rPr>
          <w:rFonts w:hint="eastAsia"/>
          <w:color w:val="auto"/>
          <w:u w:val="none"/>
        </w:rPr>
        <w:t>地下水污染防渗分区参照表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59"/>
        <w:gridCol w:w="1986"/>
        <w:gridCol w:w="1720"/>
        <w:gridCol w:w="1588"/>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noWrap w:val="0"/>
            <w:vAlign w:val="center"/>
          </w:tcPr>
          <w:p>
            <w:pPr>
              <w:pStyle w:val="73"/>
              <w:rPr>
                <w:b/>
                <w:bCs/>
                <w:color w:val="auto"/>
                <w:u w:val="none"/>
              </w:rPr>
            </w:pPr>
            <w:r>
              <w:rPr>
                <w:rFonts w:hint="eastAsia"/>
                <w:b/>
                <w:bCs/>
                <w:color w:val="auto"/>
                <w:u w:val="none"/>
              </w:rPr>
              <w:t>防渗分区</w:t>
            </w:r>
          </w:p>
        </w:tc>
        <w:tc>
          <w:tcPr>
            <w:tcW w:w="1194" w:type="pct"/>
            <w:noWrap w:val="0"/>
            <w:vAlign w:val="center"/>
          </w:tcPr>
          <w:p>
            <w:pPr>
              <w:pStyle w:val="73"/>
              <w:rPr>
                <w:b/>
                <w:bCs/>
                <w:color w:val="auto"/>
                <w:u w:val="none"/>
              </w:rPr>
            </w:pPr>
            <w:r>
              <w:rPr>
                <w:rFonts w:hint="eastAsia"/>
                <w:b/>
                <w:bCs/>
                <w:color w:val="auto"/>
                <w:u w:val="none"/>
              </w:rPr>
              <w:t>天然包气带防污性能</w:t>
            </w:r>
          </w:p>
        </w:tc>
        <w:tc>
          <w:tcPr>
            <w:tcW w:w="1034" w:type="pct"/>
            <w:noWrap w:val="0"/>
            <w:vAlign w:val="center"/>
          </w:tcPr>
          <w:p>
            <w:pPr>
              <w:pStyle w:val="73"/>
              <w:rPr>
                <w:b/>
                <w:bCs/>
                <w:color w:val="auto"/>
                <w:u w:val="none"/>
              </w:rPr>
            </w:pPr>
            <w:r>
              <w:rPr>
                <w:rFonts w:hint="eastAsia"/>
                <w:b/>
                <w:bCs/>
                <w:color w:val="auto"/>
                <w:u w:val="none"/>
              </w:rPr>
              <w:t>污染控制难易程度</w:t>
            </w:r>
          </w:p>
        </w:tc>
        <w:tc>
          <w:tcPr>
            <w:tcW w:w="955" w:type="pct"/>
            <w:noWrap w:val="0"/>
            <w:vAlign w:val="center"/>
          </w:tcPr>
          <w:p>
            <w:pPr>
              <w:pStyle w:val="73"/>
              <w:rPr>
                <w:b/>
                <w:bCs/>
                <w:color w:val="auto"/>
                <w:u w:val="none"/>
              </w:rPr>
            </w:pPr>
            <w:r>
              <w:rPr>
                <w:rFonts w:hint="eastAsia"/>
                <w:b/>
                <w:bCs/>
                <w:color w:val="auto"/>
                <w:u w:val="none"/>
              </w:rPr>
              <w:t>污染物类型</w:t>
            </w:r>
          </w:p>
        </w:tc>
        <w:tc>
          <w:tcPr>
            <w:tcW w:w="1120" w:type="pct"/>
            <w:noWrap w:val="0"/>
            <w:vAlign w:val="center"/>
          </w:tcPr>
          <w:p>
            <w:pPr>
              <w:pStyle w:val="73"/>
              <w:rPr>
                <w:b/>
                <w:bCs/>
                <w:color w:val="auto"/>
                <w:u w:val="none"/>
              </w:rPr>
            </w:pPr>
            <w:r>
              <w:rPr>
                <w:rFonts w:hint="eastAsia"/>
                <w:b/>
                <w:bCs/>
                <w:color w:val="auto"/>
                <w:u w:val="none"/>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restart"/>
            <w:noWrap w:val="0"/>
            <w:vAlign w:val="center"/>
          </w:tcPr>
          <w:p>
            <w:pPr>
              <w:pStyle w:val="73"/>
              <w:rPr>
                <w:color w:val="auto"/>
                <w:u w:val="none"/>
              </w:rPr>
            </w:pPr>
            <w:r>
              <w:rPr>
                <w:rFonts w:hint="eastAsia"/>
                <w:color w:val="auto"/>
                <w:u w:val="none"/>
              </w:rPr>
              <w:t>重点防渗区</w:t>
            </w:r>
          </w:p>
        </w:tc>
        <w:tc>
          <w:tcPr>
            <w:tcW w:w="1194" w:type="pct"/>
            <w:noWrap w:val="0"/>
            <w:vAlign w:val="center"/>
          </w:tcPr>
          <w:p>
            <w:pPr>
              <w:pStyle w:val="73"/>
              <w:rPr>
                <w:color w:val="auto"/>
                <w:u w:val="none"/>
              </w:rPr>
            </w:pPr>
            <w:r>
              <w:rPr>
                <w:rFonts w:hint="eastAsia"/>
                <w:color w:val="auto"/>
                <w:u w:val="none"/>
              </w:rPr>
              <w:t>弱</w:t>
            </w:r>
          </w:p>
        </w:tc>
        <w:tc>
          <w:tcPr>
            <w:tcW w:w="1034" w:type="pct"/>
            <w:noWrap w:val="0"/>
            <w:vAlign w:val="center"/>
          </w:tcPr>
          <w:p>
            <w:pPr>
              <w:pStyle w:val="73"/>
              <w:rPr>
                <w:color w:val="auto"/>
                <w:u w:val="none"/>
              </w:rPr>
            </w:pPr>
            <w:r>
              <w:rPr>
                <w:rFonts w:hint="eastAsia"/>
                <w:color w:val="auto"/>
                <w:u w:val="none"/>
              </w:rPr>
              <w:t>难</w:t>
            </w:r>
          </w:p>
        </w:tc>
        <w:tc>
          <w:tcPr>
            <w:tcW w:w="955" w:type="pct"/>
            <w:vMerge w:val="restart"/>
            <w:noWrap w:val="0"/>
            <w:vAlign w:val="center"/>
          </w:tcPr>
          <w:p>
            <w:pPr>
              <w:pStyle w:val="73"/>
              <w:rPr>
                <w:color w:val="auto"/>
                <w:u w:val="none"/>
              </w:rPr>
            </w:pPr>
            <w:r>
              <w:rPr>
                <w:rFonts w:hint="eastAsia"/>
                <w:color w:val="auto"/>
                <w:u w:val="none"/>
              </w:rPr>
              <w:t>重金属、持久性有机污染物</w:t>
            </w:r>
          </w:p>
        </w:tc>
        <w:tc>
          <w:tcPr>
            <w:tcW w:w="1120" w:type="pct"/>
            <w:vMerge w:val="restart"/>
            <w:noWrap w:val="0"/>
            <w:vAlign w:val="center"/>
          </w:tcPr>
          <w:p>
            <w:pPr>
              <w:pStyle w:val="73"/>
              <w:rPr>
                <w:color w:val="auto"/>
                <w:u w:val="none"/>
              </w:rPr>
            </w:pPr>
            <w:r>
              <w:rPr>
                <w:rFonts w:hint="eastAsia"/>
                <w:color w:val="auto"/>
                <w:u w:val="none"/>
              </w:rPr>
              <w:t>等效黏土防渗层</w:t>
            </w:r>
          </w:p>
          <w:p>
            <w:pPr>
              <w:pStyle w:val="73"/>
              <w:rPr>
                <w:color w:val="auto"/>
                <w:u w:val="none"/>
              </w:rPr>
            </w:pPr>
            <w:r>
              <w:rPr>
                <w:color w:val="auto"/>
                <w:u w:val="none"/>
              </w:rPr>
              <w:t>Mb≥6.0m</w:t>
            </w:r>
            <w:r>
              <w:rPr>
                <w:rFonts w:hint="eastAsia"/>
                <w:color w:val="auto"/>
                <w:u w:val="none"/>
              </w:rPr>
              <w:t>，</w:t>
            </w:r>
            <w:r>
              <w:rPr>
                <w:color w:val="auto"/>
                <w:spacing w:val="-1"/>
                <w:u w:val="none"/>
              </w:rPr>
              <w:t>K≤1×10</w:t>
            </w:r>
            <w:r>
              <w:rPr>
                <w:color w:val="auto"/>
                <w:spacing w:val="-1"/>
                <w:position w:val="7"/>
                <w:u w:val="none"/>
              </w:rPr>
              <w:t>-7</w:t>
            </w:r>
            <w:r>
              <w:rPr>
                <w:color w:val="auto"/>
                <w:spacing w:val="-1"/>
                <w:u w:val="none"/>
              </w:rPr>
              <w:t>cm/s</w:t>
            </w:r>
            <w:r>
              <w:rPr>
                <w:rFonts w:hint="eastAsia"/>
                <w:color w:val="auto"/>
                <w:spacing w:val="-1"/>
                <w:u w:val="none"/>
              </w:rPr>
              <w:t>；或参照</w:t>
            </w:r>
          </w:p>
          <w:p>
            <w:pPr>
              <w:pStyle w:val="73"/>
              <w:rPr>
                <w:color w:val="auto"/>
                <w:u w:val="none"/>
              </w:rPr>
            </w:pPr>
            <w:r>
              <w:rPr>
                <w:color w:val="auto"/>
                <w:u w:val="none"/>
              </w:rPr>
              <w:t>GB18598</w:t>
            </w:r>
            <w:r>
              <w:rPr>
                <w:rFonts w:hint="eastAsia"/>
                <w:color w:val="auto"/>
                <w:u w:val="none"/>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noWrap w:val="0"/>
            <w:vAlign w:val="center"/>
          </w:tcPr>
          <w:p>
            <w:pPr>
              <w:pStyle w:val="73"/>
              <w:rPr>
                <w:color w:val="auto"/>
                <w:szCs w:val="2"/>
                <w:u w:val="none"/>
              </w:rPr>
            </w:pPr>
          </w:p>
        </w:tc>
        <w:tc>
          <w:tcPr>
            <w:tcW w:w="1194" w:type="pct"/>
            <w:noWrap w:val="0"/>
            <w:vAlign w:val="center"/>
          </w:tcPr>
          <w:p>
            <w:pPr>
              <w:pStyle w:val="73"/>
              <w:rPr>
                <w:color w:val="auto"/>
                <w:u w:val="none"/>
              </w:rPr>
            </w:pPr>
            <w:r>
              <w:rPr>
                <w:rFonts w:hint="eastAsia"/>
                <w:color w:val="auto"/>
                <w:u w:val="none"/>
              </w:rPr>
              <w:t>中</w:t>
            </w:r>
            <w:r>
              <w:rPr>
                <w:color w:val="auto"/>
                <w:u w:val="none"/>
              </w:rPr>
              <w:t>-</w:t>
            </w:r>
            <w:r>
              <w:rPr>
                <w:rFonts w:hint="eastAsia"/>
                <w:color w:val="auto"/>
                <w:u w:val="none"/>
              </w:rPr>
              <w:t>强</w:t>
            </w:r>
          </w:p>
        </w:tc>
        <w:tc>
          <w:tcPr>
            <w:tcW w:w="1034" w:type="pct"/>
            <w:noWrap w:val="0"/>
            <w:vAlign w:val="center"/>
          </w:tcPr>
          <w:p>
            <w:pPr>
              <w:pStyle w:val="73"/>
              <w:rPr>
                <w:color w:val="auto"/>
                <w:u w:val="none"/>
              </w:rPr>
            </w:pPr>
            <w:r>
              <w:rPr>
                <w:rFonts w:hint="eastAsia"/>
                <w:color w:val="auto"/>
                <w:u w:val="none"/>
              </w:rPr>
              <w:t>难</w:t>
            </w:r>
          </w:p>
        </w:tc>
        <w:tc>
          <w:tcPr>
            <w:tcW w:w="955" w:type="pct"/>
            <w:vMerge w:val="continue"/>
            <w:noWrap w:val="0"/>
            <w:vAlign w:val="center"/>
          </w:tcPr>
          <w:p>
            <w:pPr>
              <w:pStyle w:val="73"/>
              <w:rPr>
                <w:color w:val="auto"/>
                <w:u w:val="none"/>
              </w:rPr>
            </w:pPr>
          </w:p>
        </w:tc>
        <w:tc>
          <w:tcPr>
            <w:tcW w:w="1120" w:type="pct"/>
            <w:vMerge w:val="continue"/>
            <w:noWrap w:val="0"/>
            <w:vAlign w:val="center"/>
          </w:tcPr>
          <w:p>
            <w:pPr>
              <w:pStyle w:val="73"/>
              <w:rPr>
                <w:color w:val="auto"/>
                <w:szCs w:val="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697" w:type="pct"/>
            <w:vMerge w:val="continue"/>
            <w:noWrap w:val="0"/>
            <w:vAlign w:val="center"/>
          </w:tcPr>
          <w:p>
            <w:pPr>
              <w:pStyle w:val="73"/>
              <w:rPr>
                <w:color w:val="auto"/>
                <w:szCs w:val="2"/>
                <w:u w:val="none"/>
              </w:rPr>
            </w:pPr>
          </w:p>
        </w:tc>
        <w:tc>
          <w:tcPr>
            <w:tcW w:w="1194" w:type="pct"/>
            <w:noWrap w:val="0"/>
            <w:vAlign w:val="center"/>
          </w:tcPr>
          <w:p>
            <w:pPr>
              <w:pStyle w:val="73"/>
              <w:rPr>
                <w:color w:val="auto"/>
                <w:u w:val="none"/>
              </w:rPr>
            </w:pPr>
            <w:r>
              <w:rPr>
                <w:rFonts w:hint="eastAsia"/>
                <w:color w:val="auto"/>
                <w:u w:val="none"/>
              </w:rPr>
              <w:t>弱</w:t>
            </w:r>
          </w:p>
        </w:tc>
        <w:tc>
          <w:tcPr>
            <w:tcW w:w="1034" w:type="pct"/>
            <w:noWrap w:val="0"/>
            <w:vAlign w:val="center"/>
          </w:tcPr>
          <w:p>
            <w:pPr>
              <w:pStyle w:val="73"/>
              <w:rPr>
                <w:color w:val="auto"/>
                <w:u w:val="none"/>
              </w:rPr>
            </w:pPr>
            <w:r>
              <w:rPr>
                <w:rFonts w:hint="eastAsia"/>
                <w:color w:val="auto"/>
                <w:u w:val="none"/>
              </w:rPr>
              <w:t>易</w:t>
            </w:r>
          </w:p>
        </w:tc>
        <w:tc>
          <w:tcPr>
            <w:tcW w:w="955" w:type="pct"/>
            <w:vMerge w:val="continue"/>
            <w:noWrap w:val="0"/>
            <w:vAlign w:val="center"/>
          </w:tcPr>
          <w:p>
            <w:pPr>
              <w:pStyle w:val="73"/>
              <w:rPr>
                <w:color w:val="auto"/>
                <w:u w:val="none"/>
              </w:rPr>
            </w:pPr>
          </w:p>
        </w:tc>
        <w:tc>
          <w:tcPr>
            <w:tcW w:w="1120" w:type="pct"/>
            <w:vMerge w:val="continue"/>
            <w:noWrap w:val="0"/>
            <w:vAlign w:val="center"/>
          </w:tcPr>
          <w:p>
            <w:pPr>
              <w:pStyle w:val="73"/>
              <w:rPr>
                <w:color w:val="auto"/>
                <w:szCs w:val="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restart"/>
            <w:noWrap w:val="0"/>
            <w:vAlign w:val="center"/>
          </w:tcPr>
          <w:p>
            <w:pPr>
              <w:pStyle w:val="73"/>
              <w:rPr>
                <w:color w:val="auto"/>
                <w:u w:val="none"/>
              </w:rPr>
            </w:pPr>
            <w:r>
              <w:rPr>
                <w:rFonts w:hint="eastAsia"/>
                <w:color w:val="auto"/>
                <w:u w:val="none"/>
              </w:rPr>
              <w:t>一般防渗区</w:t>
            </w:r>
          </w:p>
        </w:tc>
        <w:tc>
          <w:tcPr>
            <w:tcW w:w="1194" w:type="pct"/>
            <w:noWrap w:val="0"/>
            <w:vAlign w:val="center"/>
          </w:tcPr>
          <w:p>
            <w:pPr>
              <w:pStyle w:val="73"/>
              <w:rPr>
                <w:color w:val="auto"/>
                <w:u w:val="none"/>
              </w:rPr>
            </w:pPr>
            <w:r>
              <w:rPr>
                <w:rFonts w:hint="eastAsia"/>
                <w:color w:val="auto"/>
                <w:u w:val="none"/>
              </w:rPr>
              <w:t>弱</w:t>
            </w:r>
          </w:p>
        </w:tc>
        <w:tc>
          <w:tcPr>
            <w:tcW w:w="1034" w:type="pct"/>
            <w:noWrap w:val="0"/>
            <w:vAlign w:val="center"/>
          </w:tcPr>
          <w:p>
            <w:pPr>
              <w:pStyle w:val="73"/>
              <w:rPr>
                <w:color w:val="auto"/>
                <w:u w:val="none"/>
              </w:rPr>
            </w:pPr>
            <w:r>
              <w:rPr>
                <w:rFonts w:hint="eastAsia"/>
                <w:color w:val="auto"/>
                <w:u w:val="none"/>
              </w:rPr>
              <w:t>难</w:t>
            </w:r>
            <w:r>
              <w:rPr>
                <w:color w:val="auto"/>
                <w:u w:val="none"/>
              </w:rPr>
              <w:t>-</w:t>
            </w:r>
            <w:r>
              <w:rPr>
                <w:rFonts w:hint="eastAsia"/>
                <w:color w:val="auto"/>
                <w:u w:val="none"/>
              </w:rPr>
              <w:t>易</w:t>
            </w:r>
          </w:p>
        </w:tc>
        <w:tc>
          <w:tcPr>
            <w:tcW w:w="955" w:type="pct"/>
            <w:vMerge w:val="restart"/>
            <w:noWrap w:val="0"/>
            <w:vAlign w:val="center"/>
          </w:tcPr>
          <w:p>
            <w:pPr>
              <w:pStyle w:val="73"/>
              <w:rPr>
                <w:color w:val="auto"/>
                <w:u w:val="none"/>
              </w:rPr>
            </w:pPr>
            <w:r>
              <w:rPr>
                <w:rFonts w:hint="eastAsia"/>
                <w:color w:val="auto"/>
                <w:u w:val="none"/>
              </w:rPr>
              <w:t>其他类型</w:t>
            </w:r>
          </w:p>
        </w:tc>
        <w:tc>
          <w:tcPr>
            <w:tcW w:w="1120" w:type="pct"/>
            <w:vMerge w:val="restart"/>
            <w:noWrap w:val="0"/>
            <w:vAlign w:val="center"/>
          </w:tcPr>
          <w:p>
            <w:pPr>
              <w:pStyle w:val="73"/>
              <w:rPr>
                <w:color w:val="auto"/>
                <w:u w:val="none"/>
              </w:rPr>
            </w:pPr>
            <w:r>
              <w:rPr>
                <w:rFonts w:hint="eastAsia"/>
                <w:color w:val="auto"/>
                <w:u w:val="none"/>
              </w:rPr>
              <w:t>等效黏土防渗层</w:t>
            </w:r>
          </w:p>
          <w:p>
            <w:pPr>
              <w:pStyle w:val="73"/>
              <w:rPr>
                <w:color w:val="auto"/>
                <w:u w:val="none"/>
              </w:rPr>
            </w:pPr>
            <w:r>
              <w:rPr>
                <w:color w:val="auto"/>
                <w:u w:val="none"/>
              </w:rPr>
              <w:t>Mb≥1.5m</w:t>
            </w:r>
            <w:r>
              <w:rPr>
                <w:rFonts w:hint="eastAsia"/>
                <w:color w:val="auto"/>
                <w:u w:val="none"/>
              </w:rPr>
              <w:t>，</w:t>
            </w:r>
            <w:r>
              <w:rPr>
                <w:color w:val="auto"/>
                <w:spacing w:val="-1"/>
                <w:u w:val="none"/>
              </w:rPr>
              <w:t>K≤1×10</w:t>
            </w:r>
            <w:r>
              <w:rPr>
                <w:color w:val="auto"/>
                <w:spacing w:val="-1"/>
                <w:position w:val="7"/>
                <w:u w:val="none"/>
              </w:rPr>
              <w:t>-7</w:t>
            </w:r>
            <w:r>
              <w:rPr>
                <w:color w:val="auto"/>
                <w:spacing w:val="-1"/>
                <w:u w:val="none"/>
              </w:rPr>
              <w:t>cm/s</w:t>
            </w:r>
            <w:r>
              <w:rPr>
                <w:rFonts w:hint="eastAsia"/>
                <w:color w:val="auto"/>
                <w:spacing w:val="-1"/>
                <w:u w:val="none"/>
              </w:rPr>
              <w:t>；或参照</w:t>
            </w:r>
          </w:p>
          <w:p>
            <w:pPr>
              <w:pStyle w:val="73"/>
              <w:rPr>
                <w:color w:val="auto"/>
                <w:u w:val="none"/>
              </w:rPr>
            </w:pPr>
            <w:r>
              <w:rPr>
                <w:color w:val="auto"/>
                <w:u w:val="none"/>
              </w:rPr>
              <w:t>GB18598</w:t>
            </w:r>
            <w:r>
              <w:rPr>
                <w:rFonts w:hint="eastAsia"/>
                <w:color w:val="auto"/>
                <w:u w:val="none"/>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noWrap w:val="0"/>
            <w:vAlign w:val="center"/>
          </w:tcPr>
          <w:p>
            <w:pPr>
              <w:pStyle w:val="73"/>
              <w:rPr>
                <w:color w:val="auto"/>
                <w:szCs w:val="2"/>
                <w:u w:val="none"/>
              </w:rPr>
            </w:pPr>
          </w:p>
        </w:tc>
        <w:tc>
          <w:tcPr>
            <w:tcW w:w="1194" w:type="pct"/>
            <w:noWrap w:val="0"/>
            <w:vAlign w:val="center"/>
          </w:tcPr>
          <w:p>
            <w:pPr>
              <w:pStyle w:val="73"/>
              <w:rPr>
                <w:color w:val="auto"/>
                <w:u w:val="none"/>
              </w:rPr>
            </w:pPr>
            <w:r>
              <w:rPr>
                <w:rFonts w:hint="eastAsia"/>
                <w:color w:val="auto"/>
                <w:u w:val="none"/>
              </w:rPr>
              <w:t>中</w:t>
            </w:r>
            <w:r>
              <w:rPr>
                <w:color w:val="auto"/>
                <w:u w:val="none"/>
              </w:rPr>
              <w:t>-</w:t>
            </w:r>
            <w:r>
              <w:rPr>
                <w:rFonts w:hint="eastAsia"/>
                <w:color w:val="auto"/>
                <w:u w:val="none"/>
              </w:rPr>
              <w:t>强</w:t>
            </w:r>
          </w:p>
        </w:tc>
        <w:tc>
          <w:tcPr>
            <w:tcW w:w="1034" w:type="pct"/>
            <w:noWrap w:val="0"/>
            <w:vAlign w:val="center"/>
          </w:tcPr>
          <w:p>
            <w:pPr>
              <w:pStyle w:val="73"/>
              <w:rPr>
                <w:color w:val="auto"/>
                <w:u w:val="none"/>
              </w:rPr>
            </w:pPr>
            <w:r>
              <w:rPr>
                <w:rFonts w:hint="eastAsia"/>
                <w:color w:val="auto"/>
                <w:u w:val="none"/>
              </w:rPr>
              <w:t>难</w:t>
            </w:r>
          </w:p>
        </w:tc>
        <w:tc>
          <w:tcPr>
            <w:tcW w:w="955" w:type="pct"/>
            <w:vMerge w:val="continue"/>
            <w:noWrap w:val="0"/>
            <w:vAlign w:val="center"/>
          </w:tcPr>
          <w:p>
            <w:pPr>
              <w:pStyle w:val="73"/>
              <w:rPr>
                <w:color w:val="auto"/>
                <w:u w:val="none"/>
              </w:rPr>
            </w:pPr>
          </w:p>
        </w:tc>
        <w:tc>
          <w:tcPr>
            <w:tcW w:w="1120" w:type="pct"/>
            <w:vMerge w:val="continue"/>
            <w:noWrap w:val="0"/>
            <w:vAlign w:val="center"/>
          </w:tcPr>
          <w:p>
            <w:pPr>
              <w:pStyle w:val="73"/>
              <w:rPr>
                <w:color w:val="auto"/>
                <w:szCs w:val="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noWrap w:val="0"/>
            <w:vAlign w:val="center"/>
          </w:tcPr>
          <w:p>
            <w:pPr>
              <w:pStyle w:val="73"/>
              <w:rPr>
                <w:color w:val="auto"/>
                <w:szCs w:val="2"/>
                <w:u w:val="none"/>
              </w:rPr>
            </w:pPr>
          </w:p>
        </w:tc>
        <w:tc>
          <w:tcPr>
            <w:tcW w:w="1194" w:type="pct"/>
            <w:noWrap w:val="0"/>
            <w:vAlign w:val="center"/>
          </w:tcPr>
          <w:p>
            <w:pPr>
              <w:pStyle w:val="73"/>
              <w:rPr>
                <w:color w:val="auto"/>
                <w:u w:val="none"/>
              </w:rPr>
            </w:pPr>
            <w:r>
              <w:rPr>
                <w:rFonts w:hint="eastAsia"/>
                <w:color w:val="auto"/>
                <w:u w:val="none"/>
              </w:rPr>
              <w:t>中</w:t>
            </w:r>
          </w:p>
        </w:tc>
        <w:tc>
          <w:tcPr>
            <w:tcW w:w="1034" w:type="pct"/>
            <w:noWrap w:val="0"/>
            <w:vAlign w:val="center"/>
          </w:tcPr>
          <w:p>
            <w:pPr>
              <w:pStyle w:val="73"/>
              <w:rPr>
                <w:color w:val="auto"/>
                <w:u w:val="none"/>
              </w:rPr>
            </w:pPr>
            <w:r>
              <w:rPr>
                <w:rFonts w:hint="eastAsia"/>
                <w:color w:val="auto"/>
                <w:u w:val="none"/>
              </w:rPr>
              <w:t>易</w:t>
            </w:r>
          </w:p>
        </w:tc>
        <w:tc>
          <w:tcPr>
            <w:tcW w:w="955" w:type="pct"/>
            <w:vMerge w:val="restart"/>
            <w:noWrap w:val="0"/>
            <w:vAlign w:val="center"/>
          </w:tcPr>
          <w:p>
            <w:pPr>
              <w:pStyle w:val="73"/>
              <w:rPr>
                <w:color w:val="auto"/>
                <w:u w:val="none"/>
              </w:rPr>
            </w:pPr>
            <w:r>
              <w:rPr>
                <w:rFonts w:hint="eastAsia"/>
                <w:color w:val="auto"/>
                <w:u w:val="none"/>
              </w:rPr>
              <w:t>重金属、持久性有机污染物</w:t>
            </w:r>
          </w:p>
        </w:tc>
        <w:tc>
          <w:tcPr>
            <w:tcW w:w="1120" w:type="pct"/>
            <w:vMerge w:val="continue"/>
            <w:noWrap w:val="0"/>
            <w:vAlign w:val="center"/>
          </w:tcPr>
          <w:p>
            <w:pPr>
              <w:pStyle w:val="73"/>
              <w:rPr>
                <w:color w:val="auto"/>
                <w:szCs w:val="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noWrap w:val="0"/>
            <w:vAlign w:val="center"/>
          </w:tcPr>
          <w:p>
            <w:pPr>
              <w:pStyle w:val="73"/>
              <w:rPr>
                <w:color w:val="auto"/>
                <w:szCs w:val="2"/>
                <w:u w:val="none"/>
              </w:rPr>
            </w:pPr>
          </w:p>
        </w:tc>
        <w:tc>
          <w:tcPr>
            <w:tcW w:w="1194" w:type="pct"/>
            <w:noWrap w:val="0"/>
            <w:vAlign w:val="center"/>
          </w:tcPr>
          <w:p>
            <w:pPr>
              <w:pStyle w:val="73"/>
              <w:rPr>
                <w:color w:val="auto"/>
                <w:u w:val="none"/>
              </w:rPr>
            </w:pPr>
            <w:r>
              <w:rPr>
                <w:rFonts w:hint="eastAsia"/>
                <w:color w:val="auto"/>
                <w:u w:val="none"/>
              </w:rPr>
              <w:t>强</w:t>
            </w:r>
          </w:p>
        </w:tc>
        <w:tc>
          <w:tcPr>
            <w:tcW w:w="1034" w:type="pct"/>
            <w:noWrap w:val="0"/>
            <w:vAlign w:val="center"/>
          </w:tcPr>
          <w:p>
            <w:pPr>
              <w:pStyle w:val="73"/>
              <w:rPr>
                <w:color w:val="auto"/>
                <w:u w:val="none"/>
              </w:rPr>
            </w:pPr>
            <w:r>
              <w:rPr>
                <w:rFonts w:hint="eastAsia"/>
                <w:color w:val="auto"/>
                <w:u w:val="none"/>
              </w:rPr>
              <w:t>易</w:t>
            </w:r>
          </w:p>
        </w:tc>
        <w:tc>
          <w:tcPr>
            <w:tcW w:w="955" w:type="pct"/>
            <w:vMerge w:val="continue"/>
            <w:noWrap w:val="0"/>
            <w:vAlign w:val="center"/>
          </w:tcPr>
          <w:p>
            <w:pPr>
              <w:pStyle w:val="73"/>
              <w:rPr>
                <w:color w:val="auto"/>
                <w:u w:val="none"/>
              </w:rPr>
            </w:pPr>
          </w:p>
        </w:tc>
        <w:tc>
          <w:tcPr>
            <w:tcW w:w="1120" w:type="pct"/>
            <w:vMerge w:val="continue"/>
            <w:noWrap w:val="0"/>
            <w:vAlign w:val="center"/>
          </w:tcPr>
          <w:p>
            <w:pPr>
              <w:pStyle w:val="73"/>
              <w:rPr>
                <w:color w:val="auto"/>
                <w:szCs w:val="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noWrap w:val="0"/>
            <w:vAlign w:val="center"/>
          </w:tcPr>
          <w:p>
            <w:pPr>
              <w:pStyle w:val="73"/>
              <w:rPr>
                <w:color w:val="auto"/>
                <w:u w:val="none"/>
              </w:rPr>
            </w:pPr>
            <w:r>
              <w:rPr>
                <w:rFonts w:hint="eastAsia"/>
                <w:color w:val="auto"/>
                <w:u w:val="none"/>
              </w:rPr>
              <w:t>简单防渗区</w:t>
            </w:r>
          </w:p>
        </w:tc>
        <w:tc>
          <w:tcPr>
            <w:tcW w:w="1194" w:type="pct"/>
            <w:noWrap w:val="0"/>
            <w:vAlign w:val="center"/>
          </w:tcPr>
          <w:p>
            <w:pPr>
              <w:pStyle w:val="73"/>
              <w:rPr>
                <w:color w:val="auto"/>
                <w:u w:val="none"/>
              </w:rPr>
            </w:pPr>
            <w:r>
              <w:rPr>
                <w:rFonts w:hint="eastAsia"/>
                <w:color w:val="auto"/>
                <w:u w:val="none"/>
              </w:rPr>
              <w:t>中</w:t>
            </w:r>
            <w:r>
              <w:rPr>
                <w:color w:val="auto"/>
                <w:u w:val="none"/>
              </w:rPr>
              <w:t>-</w:t>
            </w:r>
            <w:r>
              <w:rPr>
                <w:rFonts w:hint="eastAsia"/>
                <w:color w:val="auto"/>
                <w:u w:val="none"/>
              </w:rPr>
              <w:t>强</w:t>
            </w:r>
          </w:p>
        </w:tc>
        <w:tc>
          <w:tcPr>
            <w:tcW w:w="1034" w:type="pct"/>
            <w:noWrap w:val="0"/>
            <w:vAlign w:val="center"/>
          </w:tcPr>
          <w:p>
            <w:pPr>
              <w:pStyle w:val="73"/>
              <w:rPr>
                <w:color w:val="auto"/>
                <w:u w:val="none"/>
              </w:rPr>
            </w:pPr>
            <w:r>
              <w:rPr>
                <w:rFonts w:hint="eastAsia"/>
                <w:color w:val="auto"/>
                <w:u w:val="none"/>
              </w:rPr>
              <w:t>易</w:t>
            </w:r>
          </w:p>
        </w:tc>
        <w:tc>
          <w:tcPr>
            <w:tcW w:w="955" w:type="pct"/>
            <w:noWrap w:val="0"/>
            <w:vAlign w:val="center"/>
          </w:tcPr>
          <w:p>
            <w:pPr>
              <w:pStyle w:val="73"/>
              <w:rPr>
                <w:color w:val="auto"/>
                <w:u w:val="none"/>
              </w:rPr>
            </w:pPr>
            <w:r>
              <w:rPr>
                <w:rFonts w:hint="eastAsia"/>
                <w:color w:val="auto"/>
                <w:u w:val="none"/>
              </w:rPr>
              <w:t>其他类型</w:t>
            </w:r>
          </w:p>
        </w:tc>
        <w:tc>
          <w:tcPr>
            <w:tcW w:w="1120" w:type="pct"/>
            <w:noWrap w:val="0"/>
            <w:vAlign w:val="center"/>
          </w:tcPr>
          <w:p>
            <w:pPr>
              <w:pStyle w:val="73"/>
              <w:rPr>
                <w:color w:val="auto"/>
                <w:u w:val="none"/>
              </w:rPr>
            </w:pPr>
            <w:r>
              <w:rPr>
                <w:rFonts w:hint="eastAsia"/>
                <w:color w:val="auto"/>
                <w:u w:val="none"/>
              </w:rPr>
              <w:t>一般地面硬化</w:t>
            </w:r>
          </w:p>
        </w:tc>
      </w:tr>
    </w:tbl>
    <w:p>
      <w:pPr>
        <w:ind w:firstLine="480"/>
        <w:rPr>
          <w:rFonts w:hint="eastAsia"/>
          <w:color w:val="auto"/>
          <w:kern w:val="0"/>
          <w:szCs w:val="22"/>
          <w:u w:val="none"/>
        </w:rPr>
      </w:pPr>
      <w:r>
        <w:rPr>
          <w:rFonts w:hint="eastAsia"/>
          <w:color w:val="auto"/>
          <w:kern w:val="0"/>
          <w:szCs w:val="22"/>
          <w:u w:val="none"/>
        </w:rPr>
        <w:t>本项目污水</w:t>
      </w:r>
      <w:r>
        <w:rPr>
          <w:rFonts w:hint="eastAsia"/>
          <w:color w:val="auto"/>
          <w:kern w:val="0"/>
          <w:szCs w:val="22"/>
          <w:u w:val="none"/>
          <w:lang w:eastAsia="zh-CN"/>
        </w:rPr>
        <w:t>管道</w:t>
      </w:r>
      <w:r>
        <w:rPr>
          <w:rFonts w:hint="eastAsia"/>
          <w:color w:val="auto"/>
          <w:kern w:val="0"/>
          <w:szCs w:val="22"/>
          <w:u w:val="none"/>
        </w:rPr>
        <w:t>、污水处理设备</w:t>
      </w:r>
      <w:r>
        <w:rPr>
          <w:rFonts w:hint="eastAsia"/>
          <w:color w:val="auto"/>
          <w:kern w:val="0"/>
          <w:szCs w:val="22"/>
          <w:u w:val="none"/>
          <w:lang w:eastAsia="zh-CN"/>
        </w:rPr>
        <w:t>、辅助用房</w:t>
      </w:r>
      <w:r>
        <w:rPr>
          <w:rFonts w:hint="eastAsia"/>
          <w:color w:val="auto"/>
          <w:kern w:val="0"/>
          <w:szCs w:val="22"/>
          <w:u w:val="none"/>
        </w:rPr>
        <w:t>及污水池为重点防渗区，其他区域为</w:t>
      </w:r>
      <w:r>
        <w:rPr>
          <w:rFonts w:hint="eastAsia"/>
          <w:color w:val="auto"/>
          <w:u w:val="none"/>
        </w:rPr>
        <w:t>简单防渗区。</w:t>
      </w:r>
      <w:r>
        <w:rPr>
          <w:rFonts w:hint="eastAsia"/>
          <w:color w:val="auto"/>
          <w:kern w:val="0"/>
          <w:szCs w:val="22"/>
          <w:u w:val="none"/>
        </w:rPr>
        <w:t>项目分区防渗一览表见下表</w:t>
      </w:r>
      <w:r>
        <w:rPr>
          <w:color w:val="auto"/>
          <w:kern w:val="0"/>
          <w:szCs w:val="22"/>
          <w:u w:val="none"/>
        </w:rPr>
        <w:t>5.2</w:t>
      </w:r>
      <w:r>
        <w:rPr>
          <w:rFonts w:hint="eastAsia"/>
          <w:color w:val="auto"/>
          <w:kern w:val="0"/>
          <w:szCs w:val="22"/>
          <w:u w:val="none"/>
        </w:rPr>
        <w:t>-</w:t>
      </w:r>
      <w:r>
        <w:rPr>
          <w:color w:val="auto"/>
          <w:kern w:val="0"/>
          <w:szCs w:val="22"/>
          <w:u w:val="none"/>
        </w:rPr>
        <w:t>5</w:t>
      </w:r>
      <w:r>
        <w:rPr>
          <w:rFonts w:hint="eastAsia"/>
          <w:color w:val="auto"/>
          <w:kern w:val="0"/>
          <w:szCs w:val="22"/>
          <w:u w:val="none"/>
        </w:rPr>
        <w:t>。分区防渗图见附图</w:t>
      </w:r>
      <w:r>
        <w:rPr>
          <w:rFonts w:hint="eastAsia"/>
          <w:color w:val="auto"/>
          <w:kern w:val="0"/>
          <w:szCs w:val="22"/>
          <w:u w:val="none"/>
          <w:lang w:val="en-US" w:eastAsia="zh-CN"/>
        </w:rPr>
        <w:t>13</w:t>
      </w:r>
      <w:r>
        <w:rPr>
          <w:rFonts w:hint="eastAsia"/>
          <w:color w:val="auto"/>
          <w:kern w:val="0"/>
          <w:szCs w:val="22"/>
          <w:u w:val="none"/>
        </w:rPr>
        <w:t>。</w:t>
      </w:r>
    </w:p>
    <w:p>
      <w:pPr>
        <w:widowControl w:val="0"/>
        <w:spacing w:line="240" w:lineRule="auto"/>
        <w:ind w:firstLine="0" w:firstLineChars="0"/>
        <w:jc w:val="center"/>
        <w:rPr>
          <w:rFonts w:hint="eastAsia" w:cs="宋体"/>
          <w:b/>
          <w:bCs/>
          <w:color w:val="auto"/>
          <w:sz w:val="21"/>
          <w:szCs w:val="21"/>
          <w:u w:val="none"/>
        </w:rPr>
      </w:pPr>
      <w:r>
        <w:rPr>
          <w:rFonts w:hint="eastAsia" w:cs="宋体"/>
          <w:b/>
          <w:bCs/>
          <w:color w:val="auto"/>
          <w:sz w:val="21"/>
          <w:szCs w:val="21"/>
          <w:u w:val="none"/>
        </w:rPr>
        <w:t>表5</w:t>
      </w:r>
      <w:r>
        <w:rPr>
          <w:rFonts w:cs="宋体"/>
          <w:b/>
          <w:bCs/>
          <w:color w:val="auto"/>
          <w:sz w:val="21"/>
          <w:szCs w:val="21"/>
          <w:u w:val="none"/>
        </w:rPr>
        <w:t>.2-5 分区防渗一览表</w:t>
      </w:r>
    </w:p>
    <w:tbl>
      <w:tblPr>
        <w:tblStyle w:val="36"/>
        <w:tblpPr w:leftFromText="180" w:rightFromText="180" w:vertAnchor="text" w:horzAnchor="margin" w:tblpXSpec="center" w:tblpY="157"/>
        <w:tblW w:w="501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6"/>
        <w:gridCol w:w="1598"/>
        <w:gridCol w:w="1192"/>
        <w:gridCol w:w="4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5"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序号</w:t>
            </w:r>
          </w:p>
        </w:tc>
        <w:tc>
          <w:tcPr>
            <w:tcW w:w="957"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名称</w:t>
            </w:r>
          </w:p>
        </w:tc>
        <w:tc>
          <w:tcPr>
            <w:tcW w:w="714"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防渗级别</w:t>
            </w:r>
          </w:p>
        </w:tc>
        <w:tc>
          <w:tcPr>
            <w:tcW w:w="2952"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8" w:hRule="atLeast"/>
        </w:trPr>
        <w:tc>
          <w:tcPr>
            <w:tcW w:w="375"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cs="黑体"/>
                <w:color w:val="auto"/>
                <w:sz w:val="21"/>
                <w:szCs w:val="21"/>
                <w:u w:val="none"/>
              </w:rPr>
              <w:t>1</w:t>
            </w:r>
          </w:p>
        </w:tc>
        <w:tc>
          <w:tcPr>
            <w:tcW w:w="957"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污水管</w:t>
            </w:r>
          </w:p>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（埋地）</w:t>
            </w:r>
          </w:p>
        </w:tc>
        <w:tc>
          <w:tcPr>
            <w:tcW w:w="714"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重点防渗区</w:t>
            </w:r>
          </w:p>
        </w:tc>
        <w:tc>
          <w:tcPr>
            <w:tcW w:w="2952"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粪污输送全部采用管道输送，管道材料应视输送介质的不同选择合适材质并做表面的防腐、防锈蚀处理，减轻管道腐蚀造成的渗漏，并进行定期检查，防止跑冒漏滴的现象发生。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trPr>
        <w:tc>
          <w:tcPr>
            <w:tcW w:w="375"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cs="黑体"/>
                <w:color w:val="auto"/>
                <w:sz w:val="21"/>
                <w:szCs w:val="21"/>
                <w:u w:val="none"/>
              </w:rPr>
              <w:t>2</w:t>
            </w:r>
          </w:p>
        </w:tc>
        <w:tc>
          <w:tcPr>
            <w:tcW w:w="957" w:type="pct"/>
            <w:noWrap w:val="0"/>
            <w:vAlign w:val="center"/>
          </w:tcPr>
          <w:p>
            <w:pPr>
              <w:widowControl w:val="0"/>
              <w:suppressAutoHyphens/>
              <w:topLinePunct/>
              <w:snapToGrid w:val="0"/>
              <w:spacing w:line="240" w:lineRule="auto"/>
              <w:ind w:firstLine="0" w:firstLineChars="0"/>
              <w:jc w:val="center"/>
              <w:rPr>
                <w:rFonts w:hint="default" w:eastAsia="宋体" w:cs="黑体"/>
                <w:color w:val="auto"/>
                <w:sz w:val="21"/>
                <w:szCs w:val="21"/>
                <w:u w:val="none"/>
                <w:lang w:val="en-US" w:eastAsia="zh-CN"/>
              </w:rPr>
            </w:pPr>
            <w:r>
              <w:rPr>
                <w:rFonts w:hint="eastAsia" w:cs="黑体"/>
                <w:color w:val="auto"/>
                <w:sz w:val="21"/>
                <w:szCs w:val="21"/>
                <w:u w:val="none"/>
                <w:lang w:val="en-US" w:eastAsia="zh-CN"/>
              </w:rPr>
              <w:t>MBR设备</w:t>
            </w:r>
          </w:p>
        </w:tc>
        <w:tc>
          <w:tcPr>
            <w:tcW w:w="714"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重点防渗区</w:t>
            </w:r>
          </w:p>
        </w:tc>
        <w:tc>
          <w:tcPr>
            <w:tcW w:w="2952"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池体采用钢筋混凝土加防渗剂的防渗地坪</w:t>
            </w:r>
            <w:r>
              <w:rPr>
                <w:rFonts w:cs="黑体"/>
                <w:color w:val="auto"/>
                <w:sz w:val="21"/>
                <w:szCs w:val="21"/>
                <w:u w:val="none"/>
              </w:rPr>
              <w:t>+</w:t>
            </w:r>
            <w:r>
              <w:rPr>
                <w:rFonts w:hint="eastAsia" w:cs="黑体"/>
                <w:color w:val="auto"/>
                <w:sz w:val="21"/>
                <w:szCs w:val="21"/>
                <w:u w:val="none"/>
              </w:rPr>
              <w:t>人工材料</w:t>
            </w:r>
          </w:p>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w:t>
            </w:r>
            <w:r>
              <w:rPr>
                <w:rFonts w:cs="黑体"/>
                <w:color w:val="auto"/>
                <w:sz w:val="21"/>
                <w:szCs w:val="21"/>
                <w:u w:val="none"/>
              </w:rPr>
              <w:t>HDPE</w:t>
            </w:r>
            <w:r>
              <w:rPr>
                <w:rFonts w:hint="eastAsia" w:cs="黑体"/>
                <w:color w:val="auto"/>
                <w:sz w:val="21"/>
                <w:szCs w:val="21"/>
                <w:u w:val="none"/>
              </w:rPr>
              <w:t>）防渗层，确保等效黏土防渗层</w:t>
            </w:r>
            <w:r>
              <w:rPr>
                <w:rFonts w:cs="黑体"/>
                <w:color w:val="auto"/>
                <w:sz w:val="21"/>
                <w:szCs w:val="21"/>
                <w:u w:val="none"/>
              </w:rPr>
              <w:t>Mb≥6.0m</w:t>
            </w:r>
            <w:r>
              <w:rPr>
                <w:rFonts w:hint="eastAsia" w:cs="黑体"/>
                <w:color w:val="auto"/>
                <w:sz w:val="21"/>
                <w:szCs w:val="21"/>
                <w:u w:val="none"/>
              </w:rPr>
              <w:t>，</w:t>
            </w:r>
            <w:r>
              <w:rPr>
                <w:rFonts w:cs="黑体"/>
                <w:color w:val="auto"/>
                <w:sz w:val="21"/>
                <w:szCs w:val="21"/>
                <w:u w:val="none"/>
              </w:rPr>
              <w:t>K≤1×10</w:t>
            </w:r>
            <w:r>
              <w:rPr>
                <w:rFonts w:cs="黑体"/>
                <w:color w:val="auto"/>
                <w:sz w:val="21"/>
                <w:szCs w:val="21"/>
                <w:u w:val="none"/>
                <w:vertAlign w:val="superscript"/>
              </w:rPr>
              <w:t>-7</w:t>
            </w:r>
            <w:r>
              <w:rPr>
                <w:rFonts w:cs="黑体"/>
                <w:color w:val="auto"/>
                <w:sz w:val="21"/>
                <w:szCs w:val="21"/>
                <w:u w:val="none"/>
              </w:rPr>
              <w:t>cm/s</w:t>
            </w:r>
            <w:r>
              <w:rPr>
                <w:rFonts w:hint="eastAsia" w:cs="黑体"/>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375" w:type="pct"/>
            <w:noWrap w:val="0"/>
            <w:vAlign w:val="center"/>
          </w:tcPr>
          <w:p>
            <w:pPr>
              <w:widowControl w:val="0"/>
              <w:suppressAutoHyphens/>
              <w:topLinePunct/>
              <w:snapToGrid w:val="0"/>
              <w:spacing w:line="240" w:lineRule="auto"/>
              <w:ind w:firstLine="0" w:firstLineChars="0"/>
              <w:jc w:val="center"/>
              <w:rPr>
                <w:rFonts w:hint="eastAsia" w:eastAsia="宋体" w:cs="黑体"/>
                <w:color w:val="auto"/>
                <w:sz w:val="21"/>
                <w:szCs w:val="21"/>
                <w:u w:val="none"/>
                <w:lang w:val="en-US" w:eastAsia="zh-CN"/>
              </w:rPr>
            </w:pPr>
            <w:r>
              <w:rPr>
                <w:rFonts w:hint="eastAsia" w:cs="黑体"/>
                <w:color w:val="auto"/>
                <w:sz w:val="21"/>
                <w:szCs w:val="21"/>
                <w:u w:val="none"/>
                <w:lang w:val="en-US" w:eastAsia="zh-CN"/>
              </w:rPr>
              <w:t>3</w:t>
            </w:r>
          </w:p>
        </w:tc>
        <w:tc>
          <w:tcPr>
            <w:tcW w:w="957" w:type="pct"/>
            <w:noWrap w:val="0"/>
            <w:vAlign w:val="center"/>
          </w:tcPr>
          <w:p>
            <w:pPr>
              <w:widowControl w:val="0"/>
              <w:suppressAutoHyphens/>
              <w:topLinePunct/>
              <w:snapToGrid w:val="0"/>
              <w:spacing w:line="240" w:lineRule="auto"/>
              <w:ind w:firstLine="0" w:firstLineChars="0"/>
              <w:jc w:val="center"/>
              <w:rPr>
                <w:rFonts w:hint="eastAsia" w:cs="黑体"/>
                <w:color w:val="auto"/>
                <w:sz w:val="21"/>
                <w:szCs w:val="21"/>
                <w:u w:val="none"/>
                <w:lang w:eastAsia="zh-CN"/>
              </w:rPr>
            </w:pPr>
            <w:r>
              <w:rPr>
                <w:rFonts w:hint="eastAsia" w:cs="黑体"/>
                <w:color w:val="auto"/>
                <w:sz w:val="21"/>
                <w:szCs w:val="21"/>
                <w:u w:val="none"/>
                <w:lang w:eastAsia="zh-CN"/>
              </w:rPr>
              <w:t>污水池</w:t>
            </w:r>
          </w:p>
        </w:tc>
        <w:tc>
          <w:tcPr>
            <w:tcW w:w="1192" w:type="dxa"/>
            <w:noWrap w:val="0"/>
            <w:vAlign w:val="center"/>
          </w:tcPr>
          <w:p>
            <w:pPr>
              <w:widowControl w:val="0"/>
              <w:suppressAutoHyphens/>
              <w:topLinePunct/>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重点防渗区</w:t>
            </w:r>
          </w:p>
        </w:tc>
        <w:tc>
          <w:tcPr>
            <w:tcW w:w="4930" w:type="dxa"/>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池体采用钢筋混凝土加防渗剂的防渗地坪</w:t>
            </w:r>
            <w:r>
              <w:rPr>
                <w:rFonts w:cs="黑体"/>
                <w:color w:val="auto"/>
                <w:sz w:val="21"/>
                <w:szCs w:val="21"/>
                <w:u w:val="none"/>
              </w:rPr>
              <w:t>+</w:t>
            </w:r>
            <w:r>
              <w:rPr>
                <w:rFonts w:hint="eastAsia" w:cs="黑体"/>
                <w:color w:val="auto"/>
                <w:sz w:val="21"/>
                <w:szCs w:val="21"/>
                <w:u w:val="none"/>
              </w:rPr>
              <w:t>人工材料</w:t>
            </w:r>
          </w:p>
          <w:p>
            <w:pPr>
              <w:widowControl w:val="0"/>
              <w:suppressAutoHyphens/>
              <w:topLinePunct/>
              <w:snapToGrid w:val="0"/>
              <w:spacing w:line="240" w:lineRule="auto"/>
              <w:ind w:firstLine="0" w:firstLineChars="0"/>
              <w:jc w:val="center"/>
              <w:rPr>
                <w:rFonts w:hint="eastAsia" w:cs="黑体"/>
                <w:color w:val="auto"/>
                <w:sz w:val="21"/>
                <w:szCs w:val="21"/>
                <w:u w:val="none"/>
              </w:rPr>
            </w:pPr>
            <w:r>
              <w:rPr>
                <w:rFonts w:hint="eastAsia" w:cs="黑体"/>
                <w:color w:val="auto"/>
                <w:sz w:val="21"/>
                <w:szCs w:val="21"/>
                <w:u w:val="none"/>
              </w:rPr>
              <w:t>（</w:t>
            </w:r>
            <w:r>
              <w:rPr>
                <w:rFonts w:cs="黑体"/>
                <w:color w:val="auto"/>
                <w:sz w:val="21"/>
                <w:szCs w:val="21"/>
                <w:u w:val="none"/>
              </w:rPr>
              <w:t>HDPE</w:t>
            </w:r>
            <w:r>
              <w:rPr>
                <w:rFonts w:hint="eastAsia" w:cs="黑体"/>
                <w:color w:val="auto"/>
                <w:sz w:val="21"/>
                <w:szCs w:val="21"/>
                <w:u w:val="none"/>
              </w:rPr>
              <w:t>）防渗层，确保等效黏土防渗层</w:t>
            </w:r>
            <w:r>
              <w:rPr>
                <w:rFonts w:cs="黑体"/>
                <w:color w:val="auto"/>
                <w:sz w:val="21"/>
                <w:szCs w:val="21"/>
                <w:u w:val="none"/>
              </w:rPr>
              <w:t>Mb≥6.0m</w:t>
            </w:r>
            <w:r>
              <w:rPr>
                <w:rFonts w:hint="eastAsia" w:cs="黑体"/>
                <w:color w:val="auto"/>
                <w:sz w:val="21"/>
                <w:szCs w:val="21"/>
                <w:u w:val="none"/>
              </w:rPr>
              <w:t>，</w:t>
            </w:r>
            <w:r>
              <w:rPr>
                <w:rFonts w:cs="黑体"/>
                <w:color w:val="auto"/>
                <w:sz w:val="21"/>
                <w:szCs w:val="21"/>
                <w:u w:val="none"/>
              </w:rPr>
              <w:t>K≤1×10</w:t>
            </w:r>
            <w:r>
              <w:rPr>
                <w:rFonts w:cs="黑体"/>
                <w:color w:val="auto"/>
                <w:sz w:val="21"/>
                <w:szCs w:val="21"/>
                <w:u w:val="none"/>
                <w:vertAlign w:val="superscript"/>
              </w:rPr>
              <w:t>-7</w:t>
            </w:r>
            <w:r>
              <w:rPr>
                <w:rFonts w:cs="黑体"/>
                <w:color w:val="auto"/>
                <w:sz w:val="21"/>
                <w:szCs w:val="21"/>
                <w:u w:val="none"/>
              </w:rPr>
              <w:t>cm/s</w:t>
            </w:r>
            <w:r>
              <w:rPr>
                <w:rFonts w:hint="eastAsia" w:cs="黑体"/>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375" w:type="pct"/>
            <w:noWrap w:val="0"/>
            <w:vAlign w:val="center"/>
          </w:tcPr>
          <w:p>
            <w:pPr>
              <w:widowControl w:val="0"/>
              <w:suppressAutoHyphens/>
              <w:topLinePunct/>
              <w:snapToGrid w:val="0"/>
              <w:spacing w:line="240" w:lineRule="auto"/>
              <w:ind w:firstLine="0" w:firstLineChars="0"/>
              <w:jc w:val="center"/>
              <w:rPr>
                <w:rFonts w:hint="eastAsia" w:eastAsia="宋体" w:cs="黑体"/>
                <w:color w:val="auto"/>
                <w:sz w:val="21"/>
                <w:szCs w:val="21"/>
                <w:u w:val="none"/>
                <w:lang w:eastAsia="zh-CN"/>
              </w:rPr>
            </w:pPr>
            <w:r>
              <w:rPr>
                <w:rFonts w:hint="eastAsia" w:cs="黑体"/>
                <w:color w:val="auto"/>
                <w:sz w:val="21"/>
                <w:szCs w:val="21"/>
                <w:u w:val="none"/>
                <w:lang w:val="en-US" w:eastAsia="zh-CN"/>
              </w:rPr>
              <w:t>4</w:t>
            </w:r>
          </w:p>
        </w:tc>
        <w:tc>
          <w:tcPr>
            <w:tcW w:w="957" w:type="pct"/>
            <w:noWrap w:val="0"/>
            <w:vAlign w:val="center"/>
          </w:tcPr>
          <w:p>
            <w:pPr>
              <w:widowControl w:val="0"/>
              <w:suppressAutoHyphens/>
              <w:topLinePunct/>
              <w:snapToGrid w:val="0"/>
              <w:spacing w:line="240" w:lineRule="auto"/>
              <w:ind w:firstLine="0" w:firstLineChars="0"/>
              <w:jc w:val="center"/>
              <w:rPr>
                <w:rFonts w:hint="eastAsia" w:eastAsia="宋体" w:cs="黑体"/>
                <w:color w:val="auto"/>
                <w:sz w:val="21"/>
                <w:szCs w:val="21"/>
                <w:u w:val="none"/>
                <w:lang w:eastAsia="zh-CN"/>
              </w:rPr>
            </w:pPr>
            <w:r>
              <w:rPr>
                <w:rFonts w:hint="eastAsia" w:cs="黑体"/>
                <w:color w:val="auto"/>
                <w:sz w:val="21"/>
                <w:szCs w:val="21"/>
                <w:u w:val="none"/>
                <w:lang w:eastAsia="zh-CN"/>
              </w:rPr>
              <w:t>辅助用房</w:t>
            </w:r>
          </w:p>
        </w:tc>
        <w:tc>
          <w:tcPr>
            <w:tcW w:w="714"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重点防渗区</w:t>
            </w:r>
          </w:p>
        </w:tc>
        <w:tc>
          <w:tcPr>
            <w:tcW w:w="2952"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none"/>
              </w:rPr>
            </w:pPr>
            <w:r>
              <w:rPr>
                <w:rFonts w:hint="eastAsia" w:cs="黑体"/>
                <w:color w:val="auto"/>
                <w:sz w:val="21"/>
                <w:szCs w:val="21"/>
                <w:u w:val="none"/>
              </w:rPr>
              <w:t>混凝土地面加铺防渗剂和人工材料（</w:t>
            </w:r>
            <w:r>
              <w:rPr>
                <w:rFonts w:cs="黑体"/>
                <w:color w:val="auto"/>
                <w:sz w:val="21"/>
                <w:szCs w:val="21"/>
                <w:u w:val="none"/>
              </w:rPr>
              <w:t>HDPE</w:t>
            </w:r>
            <w:r>
              <w:rPr>
                <w:rFonts w:hint="eastAsia" w:cs="黑体"/>
                <w:color w:val="auto"/>
                <w:sz w:val="21"/>
                <w:szCs w:val="21"/>
                <w:u w:val="none"/>
              </w:rPr>
              <w:t>）防渗层，确保等效黏土防渗层</w:t>
            </w:r>
            <w:r>
              <w:rPr>
                <w:rFonts w:cs="黑体"/>
                <w:color w:val="auto"/>
                <w:sz w:val="21"/>
                <w:szCs w:val="21"/>
                <w:u w:val="none"/>
              </w:rPr>
              <w:t>Mb≥6.0m</w:t>
            </w:r>
            <w:r>
              <w:rPr>
                <w:rFonts w:hint="eastAsia" w:cs="黑体"/>
                <w:color w:val="auto"/>
                <w:sz w:val="21"/>
                <w:szCs w:val="21"/>
                <w:u w:val="none"/>
              </w:rPr>
              <w:t>，</w:t>
            </w:r>
            <w:r>
              <w:rPr>
                <w:rFonts w:cs="黑体"/>
                <w:color w:val="auto"/>
                <w:sz w:val="21"/>
                <w:szCs w:val="21"/>
                <w:u w:val="none"/>
              </w:rPr>
              <w:t>K≤1×10</w:t>
            </w:r>
            <w:r>
              <w:rPr>
                <w:rFonts w:cs="黑体"/>
                <w:color w:val="auto"/>
                <w:sz w:val="21"/>
                <w:szCs w:val="21"/>
                <w:u w:val="none"/>
                <w:vertAlign w:val="superscript"/>
              </w:rPr>
              <w:t>-7</w:t>
            </w:r>
            <w:r>
              <w:rPr>
                <w:rFonts w:cs="黑体"/>
                <w:color w:val="auto"/>
                <w:sz w:val="21"/>
                <w:szCs w:val="21"/>
                <w:u w:val="none"/>
              </w:rPr>
              <w:t>cm/s</w:t>
            </w:r>
            <w:r>
              <w:rPr>
                <w:rFonts w:hint="eastAsia" w:cs="黑体"/>
                <w:color w:val="auto"/>
                <w:sz w:val="21"/>
                <w:szCs w:val="21"/>
                <w:u w:val="none"/>
              </w:rPr>
              <w:t>。</w:t>
            </w:r>
          </w:p>
        </w:tc>
      </w:tr>
    </w:tbl>
    <w:p>
      <w:pPr>
        <w:pStyle w:val="69"/>
        <w:rPr>
          <w:color w:val="auto"/>
          <w:u w:val="none"/>
        </w:rPr>
      </w:pPr>
      <w:r>
        <w:rPr>
          <w:rFonts w:hint="eastAsia"/>
          <w:color w:val="auto"/>
          <w:u w:val="none"/>
        </w:rPr>
        <w:t>5</w:t>
      </w:r>
      <w:r>
        <w:rPr>
          <w:color w:val="auto"/>
          <w:u w:val="none"/>
        </w:rPr>
        <w:t>.2.2</w:t>
      </w:r>
      <w:r>
        <w:rPr>
          <w:rFonts w:hint="eastAsia"/>
          <w:color w:val="auto"/>
          <w:u w:val="none"/>
        </w:rPr>
        <w:t>.</w:t>
      </w:r>
      <w:r>
        <w:rPr>
          <w:color w:val="auto"/>
          <w:u w:val="none"/>
        </w:rPr>
        <w:t>2</w:t>
      </w:r>
      <w:r>
        <w:rPr>
          <w:rFonts w:hint="eastAsia"/>
          <w:color w:val="auto"/>
          <w:u w:val="none"/>
        </w:rPr>
        <w:t>地下水环境监测与管理</w:t>
      </w:r>
    </w:p>
    <w:p>
      <w:pPr>
        <w:ind w:firstLine="482"/>
        <w:rPr>
          <w:rFonts w:hint="eastAsia"/>
          <w:b/>
          <w:bCs/>
          <w:color w:val="auto"/>
          <w:kern w:val="0"/>
          <w:u w:val="none"/>
        </w:rPr>
      </w:pPr>
      <w:r>
        <w:rPr>
          <w:rFonts w:hint="eastAsia"/>
          <w:b/>
          <w:bCs/>
          <w:color w:val="auto"/>
          <w:kern w:val="0"/>
          <w:u w:val="none"/>
        </w:rPr>
        <w:t>（1）地下水环境监测计划</w:t>
      </w:r>
    </w:p>
    <w:p>
      <w:pPr>
        <w:ind w:firstLine="480"/>
        <w:jc w:val="both"/>
        <w:rPr>
          <w:color w:val="auto"/>
          <w:kern w:val="0"/>
          <w:u w:val="none"/>
        </w:rPr>
      </w:pPr>
      <w:r>
        <w:rPr>
          <w:rFonts w:hint="eastAsia"/>
          <w:color w:val="auto"/>
          <w:kern w:val="0"/>
          <w:u w:val="none"/>
        </w:rPr>
        <w:t>依据《环境影响评价技术导则 地下水环境》（HJ610-2016）相关要求布置地下水监测井。为了掌握本工程周围地下水环境质量状况和地下水体中污染物的动态变化，应对项目区进行地下水水质监测，以便及时准确地回馈地下水水质状况，为防止对地下水的污染采取相应的措施提供重要的依据。</w:t>
      </w:r>
    </w:p>
    <w:p>
      <w:pPr>
        <w:ind w:firstLine="482"/>
        <w:rPr>
          <w:rFonts w:hint="eastAsia"/>
          <w:b/>
          <w:bCs/>
          <w:color w:val="auto"/>
          <w:kern w:val="0"/>
          <w:u w:val="none"/>
        </w:rPr>
      </w:pPr>
      <w:r>
        <w:rPr>
          <w:rFonts w:hint="eastAsia"/>
          <w:b/>
          <w:bCs/>
          <w:color w:val="auto"/>
          <w:kern w:val="0"/>
          <w:u w:val="none"/>
        </w:rPr>
        <w:t>1）监测原则和重点</w:t>
      </w:r>
    </w:p>
    <w:p>
      <w:pPr>
        <w:ind w:firstLine="480"/>
        <w:jc w:val="both"/>
        <w:rPr>
          <w:color w:val="auto"/>
          <w:kern w:val="0"/>
          <w:u w:val="none"/>
        </w:rPr>
      </w:pPr>
      <w:r>
        <w:rPr>
          <w:rFonts w:hint="eastAsia"/>
          <w:color w:val="auto"/>
          <w:kern w:val="0"/>
          <w:u w:val="none"/>
        </w:rPr>
        <w:t>①根据该项目的水文地质特点、影响区域及主要污染源在项目区上下游</w:t>
      </w:r>
      <w:r>
        <w:rPr>
          <w:rFonts w:hint="eastAsia"/>
          <w:color w:val="auto"/>
          <w:kern w:val="0"/>
          <w:u w:val="none"/>
          <w:lang w:eastAsia="zh-CN"/>
        </w:rPr>
        <w:t>各</w:t>
      </w:r>
      <w:r>
        <w:rPr>
          <w:rFonts w:hint="eastAsia"/>
          <w:color w:val="auto"/>
          <w:kern w:val="0"/>
          <w:u w:val="none"/>
        </w:rPr>
        <w:t>布设</w:t>
      </w:r>
      <w:r>
        <w:rPr>
          <w:rFonts w:hint="eastAsia"/>
          <w:color w:val="auto"/>
          <w:kern w:val="0"/>
          <w:u w:val="none"/>
          <w:lang w:eastAsia="zh-CN"/>
        </w:rPr>
        <w:t>一个</w:t>
      </w:r>
      <w:r>
        <w:rPr>
          <w:rFonts w:hint="eastAsia"/>
          <w:color w:val="auto"/>
          <w:kern w:val="0"/>
          <w:u w:val="none"/>
        </w:rPr>
        <w:t>监测点位</w:t>
      </w:r>
      <w:r>
        <w:rPr>
          <w:rFonts w:hint="eastAsia"/>
          <w:color w:val="auto"/>
          <w:kern w:val="0"/>
          <w:u w:val="none"/>
          <w:lang w:eastAsia="zh-CN"/>
        </w:rPr>
        <w:t>，重点污染风险源处布设一个</w:t>
      </w:r>
      <w:r>
        <w:rPr>
          <w:rFonts w:hint="eastAsia"/>
          <w:color w:val="auto"/>
          <w:kern w:val="0"/>
          <w:u w:val="none"/>
        </w:rPr>
        <w:t>。设置监测井，监测点布设结合地下水流向等进行设计。</w:t>
      </w:r>
    </w:p>
    <w:p>
      <w:pPr>
        <w:ind w:firstLine="480"/>
        <w:jc w:val="both"/>
        <w:rPr>
          <w:rFonts w:hint="eastAsia"/>
          <w:color w:val="auto"/>
          <w:kern w:val="0"/>
          <w:u w:val="none"/>
        </w:rPr>
      </w:pPr>
      <w:r>
        <w:rPr>
          <w:rFonts w:hint="eastAsia"/>
          <w:color w:val="auto"/>
          <w:kern w:val="0"/>
          <w:u w:val="none"/>
        </w:rPr>
        <w:t>②监测井同时作为事故污染时的应急处理截获井和抽水井；</w:t>
      </w:r>
    </w:p>
    <w:p>
      <w:pPr>
        <w:ind w:firstLine="480"/>
        <w:jc w:val="both"/>
        <w:rPr>
          <w:rFonts w:hint="eastAsia"/>
          <w:color w:val="auto"/>
          <w:kern w:val="0"/>
          <w:u w:val="none"/>
        </w:rPr>
      </w:pPr>
      <w:r>
        <w:rPr>
          <w:rFonts w:hint="eastAsia"/>
          <w:color w:val="auto"/>
          <w:kern w:val="0"/>
          <w:u w:val="none"/>
        </w:rPr>
        <w:t>③枯、平、丰水期各一次，出现异常情况下应增加监测频率；</w:t>
      </w:r>
    </w:p>
    <w:p>
      <w:pPr>
        <w:ind w:firstLine="480"/>
        <w:jc w:val="both"/>
        <w:rPr>
          <w:rFonts w:hint="eastAsia"/>
          <w:color w:val="auto"/>
          <w:kern w:val="0"/>
          <w:u w:val="none"/>
        </w:rPr>
      </w:pPr>
      <w:r>
        <w:rPr>
          <w:rFonts w:hint="eastAsia"/>
          <w:color w:val="auto"/>
          <w:kern w:val="0"/>
          <w:u w:val="none"/>
        </w:rPr>
        <w:t>④在污染事故等情况下，要加密监测点，同时增加监测频率，加密监测点以能控制污染扩散范围为原则，应结合污染物特征和水文地质条件进行布设。</w:t>
      </w:r>
    </w:p>
    <w:p>
      <w:pPr>
        <w:ind w:firstLine="482"/>
        <w:rPr>
          <w:rFonts w:hint="eastAsia"/>
          <w:b/>
          <w:bCs/>
          <w:color w:val="auto"/>
          <w:kern w:val="0"/>
          <w:u w:val="none"/>
        </w:rPr>
      </w:pPr>
      <w:r>
        <w:rPr>
          <w:rFonts w:hint="eastAsia"/>
          <w:b/>
          <w:bCs/>
          <w:color w:val="auto"/>
          <w:kern w:val="0"/>
          <w:u w:val="none"/>
        </w:rPr>
        <w:t>2）监测因子</w:t>
      </w:r>
    </w:p>
    <w:p>
      <w:pPr>
        <w:ind w:firstLine="480"/>
        <w:jc w:val="both"/>
        <w:rPr>
          <w:rFonts w:hint="eastAsia"/>
          <w:color w:val="auto"/>
          <w:kern w:val="0"/>
          <w:u w:val="none"/>
        </w:rPr>
      </w:pPr>
      <w:r>
        <w:rPr>
          <w:rFonts w:hint="eastAsia"/>
          <w:color w:val="auto"/>
          <w:kern w:val="0"/>
          <w:u w:val="none"/>
        </w:rPr>
        <w:t>地下水水质监测项目包括：pH、总硬度、溶解性总固体、硫酸盐、氟化物、氯化物、硝酸盐氮、亚硝酸盐氮、挥发酚、氰化物、氨氮、铅、砷、汞、铁、锰、铜、锌、六价铬、镉、高锰酸盐指数、总大肠菌、总磷。</w:t>
      </w:r>
    </w:p>
    <w:p>
      <w:pPr>
        <w:ind w:firstLine="482"/>
        <w:jc w:val="both"/>
        <w:rPr>
          <w:rFonts w:hint="eastAsia"/>
          <w:b/>
          <w:bCs/>
          <w:color w:val="auto"/>
          <w:kern w:val="0"/>
          <w:u w:val="none"/>
        </w:rPr>
      </w:pPr>
      <w:r>
        <w:rPr>
          <w:rFonts w:hint="eastAsia"/>
          <w:b/>
          <w:bCs/>
          <w:color w:val="auto"/>
          <w:kern w:val="0"/>
          <w:u w:val="none"/>
        </w:rPr>
        <w:t>3）监测频率</w:t>
      </w:r>
    </w:p>
    <w:p>
      <w:pPr>
        <w:ind w:firstLine="480"/>
        <w:jc w:val="both"/>
        <w:rPr>
          <w:rFonts w:hint="eastAsia"/>
          <w:color w:val="auto"/>
          <w:kern w:val="0"/>
          <w:u w:val="none"/>
        </w:rPr>
      </w:pPr>
      <w:r>
        <w:rPr>
          <w:rFonts w:hint="eastAsia"/>
          <w:color w:val="auto"/>
          <w:kern w:val="0"/>
          <w:u w:val="none"/>
        </w:rPr>
        <w:t>枯、平、丰水期各一次，如若出现异常值，应根据需求加密监测频率。</w:t>
      </w:r>
    </w:p>
    <w:p>
      <w:pPr>
        <w:ind w:firstLine="482"/>
        <w:jc w:val="both"/>
        <w:rPr>
          <w:rFonts w:hint="eastAsia"/>
          <w:b/>
          <w:bCs/>
          <w:color w:val="auto"/>
          <w:kern w:val="0"/>
          <w:u w:val="none"/>
        </w:rPr>
      </w:pPr>
      <w:r>
        <w:rPr>
          <w:rFonts w:hint="eastAsia"/>
          <w:b/>
          <w:bCs/>
          <w:color w:val="auto"/>
          <w:kern w:val="0"/>
          <w:u w:val="none"/>
        </w:rPr>
        <w:t>4）监测数据管理</w:t>
      </w:r>
    </w:p>
    <w:p>
      <w:pPr>
        <w:ind w:firstLine="480"/>
        <w:jc w:val="both"/>
        <w:rPr>
          <w:rFonts w:hint="eastAsia"/>
          <w:color w:val="auto"/>
          <w:kern w:val="0"/>
          <w:u w:val="none"/>
        </w:rPr>
      </w:pPr>
      <w:r>
        <w:rPr>
          <w:rFonts w:hint="eastAsia"/>
          <w:color w:val="auto"/>
          <w:kern w:val="0"/>
          <w:u w:val="none"/>
        </w:rPr>
        <w:t>上述监测结果应按相关规定及时建立档案，并定期向所在地环境保护行政主管部门汇报。公开常规监测资料。如发现异常或发生事故，应加密监测频次，并分析污染原因，及时采取相应措施。</w:t>
      </w:r>
    </w:p>
    <w:p>
      <w:pPr>
        <w:ind w:firstLine="482"/>
        <w:jc w:val="both"/>
        <w:rPr>
          <w:rFonts w:hint="eastAsia"/>
          <w:b/>
          <w:bCs/>
          <w:color w:val="auto"/>
          <w:kern w:val="0"/>
          <w:u w:val="none"/>
        </w:rPr>
      </w:pPr>
      <w:r>
        <w:rPr>
          <w:rFonts w:hint="eastAsia"/>
          <w:b/>
          <w:bCs/>
          <w:color w:val="auto"/>
          <w:kern w:val="0"/>
          <w:u w:val="none"/>
        </w:rPr>
        <w:t>（2）地下水监测管理</w:t>
      </w:r>
    </w:p>
    <w:p>
      <w:pPr>
        <w:ind w:firstLine="480"/>
        <w:jc w:val="both"/>
        <w:rPr>
          <w:rFonts w:hint="eastAsia"/>
          <w:color w:val="auto"/>
          <w:kern w:val="0"/>
          <w:u w:val="none"/>
        </w:rPr>
      </w:pPr>
      <w:r>
        <w:rPr>
          <w:rFonts w:hint="eastAsia"/>
          <w:color w:val="auto"/>
          <w:kern w:val="0"/>
          <w:u w:val="none"/>
        </w:rPr>
        <w:t>为保证地下水监测有效、有序管理，须制定相关规定、明确职责，采取以下管理措施和技术措施：</w:t>
      </w:r>
    </w:p>
    <w:p>
      <w:pPr>
        <w:ind w:firstLine="482"/>
        <w:jc w:val="both"/>
        <w:rPr>
          <w:rFonts w:hint="eastAsia"/>
          <w:b/>
          <w:bCs/>
          <w:color w:val="auto"/>
          <w:kern w:val="0"/>
          <w:u w:val="none"/>
        </w:rPr>
      </w:pPr>
      <w:r>
        <w:rPr>
          <w:rFonts w:hint="eastAsia"/>
          <w:b/>
          <w:bCs/>
          <w:color w:val="auto"/>
          <w:kern w:val="0"/>
          <w:u w:val="none"/>
        </w:rPr>
        <w:t>（1）管理措施：</w:t>
      </w:r>
    </w:p>
    <w:p>
      <w:pPr>
        <w:ind w:firstLine="480"/>
        <w:jc w:val="both"/>
        <w:rPr>
          <w:rFonts w:hint="eastAsia"/>
          <w:color w:val="auto"/>
          <w:kern w:val="0"/>
          <w:u w:val="none"/>
        </w:rPr>
      </w:pPr>
      <w:r>
        <w:rPr>
          <w:rFonts w:hint="eastAsia"/>
          <w:color w:val="auto"/>
          <w:kern w:val="0"/>
          <w:u w:val="none"/>
        </w:rPr>
        <w:t>①防止地下水污染管理的职责属于环保管理部门的职责之一，应指派专人负责防止地下水污染管理工作。</w:t>
      </w:r>
    </w:p>
    <w:p>
      <w:pPr>
        <w:ind w:firstLine="480"/>
        <w:jc w:val="both"/>
        <w:rPr>
          <w:rFonts w:hint="eastAsia"/>
          <w:color w:val="auto"/>
          <w:kern w:val="0"/>
          <w:u w:val="none"/>
        </w:rPr>
      </w:pPr>
      <w:r>
        <w:rPr>
          <w:rFonts w:hint="eastAsia"/>
          <w:color w:val="auto"/>
          <w:kern w:val="0"/>
          <w:u w:val="none"/>
        </w:rPr>
        <w:t>②应委托具有监测资质的单位负责地下水监测工作，按要求及时分析整理原始资料、监测报告的编写工作。</w:t>
      </w:r>
    </w:p>
    <w:p>
      <w:pPr>
        <w:ind w:firstLine="480"/>
        <w:jc w:val="both"/>
        <w:rPr>
          <w:rFonts w:hint="eastAsia"/>
          <w:color w:val="auto"/>
          <w:kern w:val="0"/>
          <w:u w:val="none"/>
        </w:rPr>
      </w:pPr>
      <w:r>
        <w:rPr>
          <w:rFonts w:hint="eastAsia"/>
          <w:color w:val="auto"/>
          <w:kern w:val="0"/>
          <w:u w:val="none"/>
        </w:rPr>
        <w:t>③建立地下水监测数据信息管理系统。</w:t>
      </w:r>
    </w:p>
    <w:p>
      <w:pPr>
        <w:ind w:firstLine="480"/>
        <w:jc w:val="both"/>
        <w:rPr>
          <w:rFonts w:hint="eastAsia"/>
          <w:color w:val="auto"/>
          <w:kern w:val="0"/>
          <w:u w:val="none"/>
        </w:rPr>
      </w:pPr>
      <w:r>
        <w:rPr>
          <w:rFonts w:hint="eastAsia"/>
          <w:color w:val="auto"/>
          <w:kern w:val="0"/>
          <w:u w:val="none"/>
        </w:rPr>
        <w:t>④根据实际情况，按事故的性质、类型、影响范围、严重后果分等级地制订相应的预案。在制定预案时要根据项目环境污染事故潜在威胁的情况，认真细致地考虑各项影响因素，适当的时候组织有关部门、人员进行演练，不断补充完善。</w:t>
      </w:r>
    </w:p>
    <w:p>
      <w:pPr>
        <w:ind w:firstLine="482"/>
        <w:jc w:val="both"/>
        <w:rPr>
          <w:rFonts w:hint="eastAsia"/>
          <w:b/>
          <w:bCs/>
          <w:color w:val="auto"/>
          <w:kern w:val="0"/>
          <w:u w:val="none"/>
        </w:rPr>
      </w:pPr>
      <w:r>
        <w:rPr>
          <w:rFonts w:hint="eastAsia"/>
          <w:b/>
          <w:bCs/>
          <w:color w:val="auto"/>
          <w:kern w:val="0"/>
          <w:u w:val="none"/>
        </w:rPr>
        <w:t>（2）技术措施：</w:t>
      </w:r>
    </w:p>
    <w:p>
      <w:pPr>
        <w:ind w:firstLine="480"/>
        <w:jc w:val="both"/>
        <w:rPr>
          <w:color w:val="auto"/>
          <w:kern w:val="0"/>
          <w:u w:val="none"/>
        </w:rPr>
      </w:pPr>
      <w:r>
        <w:rPr>
          <w:rFonts w:hint="eastAsia"/>
          <w:color w:val="auto"/>
          <w:kern w:val="0"/>
          <w:u w:val="none"/>
        </w:rPr>
        <w:t>①按照《地下水环境监测技术规范》（HJ/T164-2004）要求，及时上报监测数据和有关表格。</w:t>
      </w:r>
    </w:p>
    <w:p>
      <w:pPr>
        <w:widowControl w:val="0"/>
        <w:ind w:firstLine="480"/>
        <w:jc w:val="both"/>
        <w:rPr>
          <w:rFonts w:hint="eastAsia"/>
          <w:color w:val="auto"/>
          <w:kern w:val="0"/>
          <w:u w:val="none"/>
        </w:rPr>
      </w:pPr>
      <w:r>
        <w:rPr>
          <w:rFonts w:hint="eastAsia"/>
          <w:color w:val="auto"/>
          <w:kern w:val="0"/>
          <w:u w:val="none"/>
        </w:rPr>
        <w:t>②在日常例行监测中，一旦发现地下水水质监测数据异常，应尽快核查数据，确保数据的正确性。并将核查过的监测数据通告安全环保部门，由专人负责对数据进行分析、核实，并密切关注生产设施的运行情况，为防止地下水污染采取措施提供正确的依据。应采取的措施如下：了解项目运行是否出现异常情况，出现异常情况的装置、原因。加大监测密度，分析变化动向。</w:t>
      </w:r>
    </w:p>
    <w:p>
      <w:pPr>
        <w:ind w:firstLine="480"/>
        <w:rPr>
          <w:rFonts w:hint="eastAsia"/>
          <w:color w:val="auto"/>
          <w:kern w:val="0"/>
          <w:u w:val="none"/>
        </w:rPr>
      </w:pPr>
      <w:r>
        <w:rPr>
          <w:rFonts w:hint="eastAsia"/>
          <w:color w:val="auto"/>
          <w:kern w:val="0"/>
          <w:u w:val="none"/>
        </w:rPr>
        <w:t>③周期性地编写地下水动态监测报告。</w:t>
      </w:r>
    </w:p>
    <w:p>
      <w:pPr>
        <w:ind w:firstLine="480"/>
        <w:rPr>
          <w:rFonts w:hint="eastAsia"/>
          <w:color w:val="auto"/>
          <w:kern w:val="0"/>
          <w:u w:val="none"/>
        </w:rPr>
      </w:pPr>
      <w:r>
        <w:rPr>
          <w:rFonts w:hint="eastAsia"/>
          <w:color w:val="auto"/>
          <w:kern w:val="0"/>
          <w:u w:val="none"/>
        </w:rPr>
        <w:t>④定期对污染区的储罐、法兰、阀门、管道等进行检查。</w:t>
      </w:r>
    </w:p>
    <w:p>
      <w:pPr>
        <w:pStyle w:val="69"/>
        <w:rPr>
          <w:rFonts w:hint="eastAsia"/>
          <w:color w:val="auto"/>
          <w:u w:val="none"/>
        </w:rPr>
      </w:pPr>
      <w:r>
        <w:rPr>
          <w:color w:val="auto"/>
          <w:u w:val="none"/>
        </w:rPr>
        <w:t>5.2.2.3</w:t>
      </w:r>
      <w:r>
        <w:rPr>
          <w:rFonts w:hint="eastAsia"/>
          <w:color w:val="auto"/>
          <w:u w:val="none"/>
        </w:rPr>
        <w:t>应急治理措施</w:t>
      </w:r>
    </w:p>
    <w:p>
      <w:pPr>
        <w:ind w:firstLine="482"/>
        <w:rPr>
          <w:rFonts w:hint="eastAsia"/>
          <w:b/>
          <w:bCs/>
          <w:color w:val="auto"/>
          <w:kern w:val="0"/>
          <w:u w:val="none"/>
        </w:rPr>
      </w:pPr>
      <w:r>
        <w:rPr>
          <w:rFonts w:hint="eastAsia"/>
          <w:b/>
          <w:bCs/>
          <w:color w:val="auto"/>
          <w:kern w:val="0"/>
          <w:u w:val="none"/>
        </w:rPr>
        <w:t>（1）风险应急预案</w:t>
      </w:r>
    </w:p>
    <w:p>
      <w:pPr>
        <w:ind w:firstLine="480"/>
        <w:rPr>
          <w:rFonts w:hint="eastAsia"/>
          <w:color w:val="auto"/>
          <w:kern w:val="0"/>
          <w:u w:val="none"/>
        </w:rPr>
      </w:pPr>
      <w:r>
        <w:rPr>
          <w:rFonts w:hint="eastAsia"/>
          <w:color w:val="auto"/>
          <w:kern w:val="0"/>
          <w:u w:val="none"/>
        </w:rPr>
        <w:t>制定风险事故应急预案的目的是为了在发生风险事故时，能以最快的速度发挥最大的效能，有序地实施救援，尽快控制事态的发展，降低事故对潜水和承压水含水层的污染。针对应急工作需要，参照相关技术导则，结合地下水污染治理的技术特点，制定地下水污染应急治理程序，具体见图</w:t>
      </w:r>
      <w:r>
        <w:rPr>
          <w:color w:val="auto"/>
          <w:kern w:val="0"/>
          <w:u w:val="none"/>
        </w:rPr>
        <w:t>5.2-1</w:t>
      </w:r>
      <w:r>
        <w:rPr>
          <w:rFonts w:hint="eastAsia"/>
          <w:color w:val="auto"/>
          <w:kern w:val="0"/>
          <w:u w:val="none"/>
        </w:rPr>
        <w:t>。</w:t>
      </w:r>
    </w:p>
    <w:p>
      <w:pPr>
        <w:ind w:firstLine="480"/>
        <w:rPr>
          <w:rFonts w:hint="eastAsia"/>
          <w:color w:val="auto"/>
          <w:kern w:val="0"/>
          <w:u w:val="none"/>
        </w:rPr>
      </w:pPr>
      <w:r>
        <w:rPr>
          <w:rFonts w:hint="eastAsia"/>
          <w:color w:val="auto"/>
          <w:kern w:val="0"/>
          <w:u w:val="none"/>
        </w:rPr>
        <w:t>应采取如下污染治理措施：</w:t>
      </w:r>
    </w:p>
    <w:p>
      <w:pPr>
        <w:ind w:firstLine="480"/>
        <w:rPr>
          <w:rFonts w:hint="eastAsia"/>
          <w:color w:val="auto"/>
          <w:kern w:val="0"/>
          <w:u w:val="none"/>
        </w:rPr>
      </w:pPr>
      <w:r>
        <w:rPr>
          <w:rFonts w:hint="eastAsia"/>
          <w:color w:val="auto"/>
          <w:kern w:val="0"/>
          <w:u w:val="none"/>
        </w:rPr>
        <w:t>1）一旦发生地下水污染事故，应立即启动应急预案。</w:t>
      </w:r>
    </w:p>
    <w:p>
      <w:pPr>
        <w:ind w:firstLine="480"/>
        <w:rPr>
          <w:rFonts w:hint="eastAsia"/>
          <w:color w:val="auto"/>
          <w:kern w:val="0"/>
          <w:u w:val="none"/>
        </w:rPr>
      </w:pPr>
      <w:r>
        <w:rPr>
          <w:rFonts w:hint="eastAsia"/>
          <w:color w:val="auto"/>
          <w:kern w:val="0"/>
          <w:u w:val="none"/>
        </w:rPr>
        <w:t>2）查明并切断水污染源。</w:t>
      </w:r>
    </w:p>
    <w:p>
      <w:pPr>
        <w:ind w:firstLine="480"/>
        <w:rPr>
          <w:rFonts w:hint="eastAsia"/>
          <w:color w:val="auto"/>
          <w:kern w:val="0"/>
          <w:u w:val="none"/>
        </w:rPr>
      </w:pPr>
      <w:r>
        <w:rPr>
          <w:rFonts w:hint="eastAsia"/>
          <w:color w:val="auto"/>
          <w:kern w:val="0"/>
          <w:u w:val="none"/>
        </w:rPr>
        <w:t>3）探明地下水污染深度、范围和污染程度。</w:t>
      </w:r>
    </w:p>
    <w:p>
      <w:pPr>
        <w:ind w:firstLine="480"/>
        <w:rPr>
          <w:rFonts w:hint="eastAsia"/>
          <w:color w:val="auto"/>
          <w:kern w:val="0"/>
          <w:u w:val="none"/>
        </w:rPr>
      </w:pPr>
      <w:r>
        <w:rPr>
          <w:rFonts w:hint="eastAsia"/>
          <w:color w:val="auto"/>
          <w:kern w:val="0"/>
          <w:u w:val="none"/>
        </w:rPr>
        <w:t>4）依据探明的地下水污染情况，合理布置截渗井，并进行试抽工作。</w:t>
      </w:r>
    </w:p>
    <w:p>
      <w:pPr>
        <w:ind w:firstLine="480"/>
        <w:rPr>
          <w:rFonts w:hint="eastAsia"/>
          <w:color w:val="auto"/>
          <w:kern w:val="0"/>
          <w:u w:val="none"/>
        </w:rPr>
      </w:pPr>
      <w:r>
        <w:rPr>
          <w:rFonts w:hint="eastAsia"/>
          <w:color w:val="auto"/>
          <w:kern w:val="0"/>
          <w:u w:val="none"/>
        </w:rPr>
        <w:t>5）依据抽水设计方案进行施工，抽取被污染的地下水体，并依据各井孔出水情况进行调整。</w:t>
      </w:r>
    </w:p>
    <w:p>
      <w:pPr>
        <w:ind w:firstLine="480"/>
        <w:rPr>
          <w:rFonts w:hint="eastAsia"/>
          <w:color w:val="auto"/>
          <w:kern w:val="0"/>
          <w:u w:val="none"/>
        </w:rPr>
      </w:pPr>
      <w:r>
        <w:rPr>
          <w:rFonts w:hint="eastAsia"/>
          <w:color w:val="auto"/>
          <w:kern w:val="0"/>
          <w:u w:val="none"/>
        </w:rPr>
        <w:t>6）将抽取的地下水进行集中收集处理，并</w:t>
      </w:r>
      <w:r>
        <w:rPr>
          <w:rFonts w:hint="eastAsia"/>
          <w:color w:val="auto"/>
          <w:kern w:val="0"/>
          <w:u w:val="none"/>
          <w:lang w:eastAsia="zh-CN"/>
        </w:rPr>
        <w:t>进行检测</w:t>
      </w:r>
      <w:r>
        <w:rPr>
          <w:rFonts w:hint="eastAsia"/>
          <w:color w:val="auto"/>
          <w:kern w:val="0"/>
          <w:u w:val="none"/>
        </w:rPr>
        <w:t>。</w:t>
      </w:r>
    </w:p>
    <w:p>
      <w:pPr>
        <w:ind w:firstLine="480"/>
        <w:rPr>
          <w:rFonts w:hint="eastAsia"/>
          <w:color w:val="auto"/>
          <w:kern w:val="0"/>
          <w:u w:val="none"/>
        </w:rPr>
      </w:pPr>
      <w:r>
        <w:rPr>
          <w:rFonts w:hint="eastAsia"/>
          <w:color w:val="auto"/>
          <w:kern w:val="0"/>
          <w:u w:val="none"/>
        </w:rPr>
        <w:t>7）当地下水中的特征污染物浓度满足地下水功能区划的标准后，逐步停止抽水，并进行土壤修复治理工作。</w:t>
      </w:r>
    </w:p>
    <w:p>
      <w:pPr>
        <w:ind w:firstLine="482"/>
        <w:rPr>
          <w:rFonts w:hint="eastAsia"/>
          <w:b/>
          <w:bCs/>
          <w:color w:val="auto"/>
          <w:kern w:val="0"/>
          <w:u w:val="none"/>
        </w:rPr>
      </w:pPr>
      <w:r>
        <w:rPr>
          <w:rFonts w:hint="eastAsia"/>
          <w:b/>
          <w:bCs/>
          <w:color w:val="auto"/>
          <w:kern w:val="0"/>
          <w:u w:val="none"/>
        </w:rPr>
        <w:t>（2）相关建议</w:t>
      </w:r>
    </w:p>
    <w:p>
      <w:pPr>
        <w:ind w:firstLine="480"/>
        <w:jc w:val="both"/>
        <w:rPr>
          <w:rFonts w:hint="eastAsia"/>
          <w:color w:val="auto"/>
          <w:kern w:val="0"/>
          <w:u w:val="none"/>
        </w:rPr>
      </w:pPr>
      <w:r>
        <w:rPr>
          <w:rFonts w:hint="eastAsia"/>
          <w:color w:val="auto"/>
          <w:kern w:val="0"/>
          <w:u w:val="none"/>
        </w:rPr>
        <w:t>1）地下水污染具有不易发现和一旦污染很难治理的特点，因此，防止地下水污染应遵循源头控制、防止渗漏、污染监测及事故应急处理的主动及被动防渗相结合的原则。</w:t>
      </w:r>
    </w:p>
    <w:p>
      <w:pPr>
        <w:ind w:firstLine="480"/>
        <w:jc w:val="both"/>
        <w:rPr>
          <w:color w:val="auto"/>
          <w:kern w:val="0"/>
          <w:u w:val="none"/>
        </w:rPr>
      </w:pPr>
      <w:r>
        <w:rPr>
          <w:rFonts w:hint="eastAsia"/>
          <w:color w:val="auto"/>
          <w:kern w:val="0"/>
          <w:u w:val="none"/>
        </w:rPr>
        <w:t>2）地下水污染情况勘察是一项专业性很强的工作，一旦发生污染事故，应委托具有水文地质勘察资质的单位查明地下水污染情况。</w:t>
      </w:r>
    </w:p>
    <w:p>
      <w:pPr>
        <w:ind w:firstLine="480"/>
        <w:jc w:val="both"/>
        <w:rPr>
          <w:color w:val="auto"/>
          <w:kern w:val="0"/>
          <w:u w:val="none"/>
        </w:rPr>
      </w:pPr>
      <w:r>
        <w:rPr>
          <w:rFonts w:hint="eastAsia"/>
          <w:color w:val="auto"/>
          <w:kern w:val="0"/>
          <w:u w:val="none"/>
        </w:rPr>
        <w:t>3）当污染事故发生后，污染物首先渗透到不饱和层，然后依据污染物的特性、土壤结构以及场地状况等因素，污染物可能渗透至含水层，而污染地下水。地下水一旦污染，治理非常困难，建设单位应重视地下水污染预防的重要性，确保各项预防措施落实到位、运行正常。</w:t>
      </w:r>
    </w:p>
    <w:p>
      <w:pPr>
        <w:ind w:firstLine="480"/>
        <w:rPr>
          <w:color w:val="auto"/>
          <w:u w:val="none"/>
        </w:rPr>
      </w:pPr>
      <w:r>
        <w:rPr>
          <w:color w:val="auto"/>
          <w:u w:val="none"/>
        </w:rPr>
        <w:drawing>
          <wp:inline distT="0" distB="0" distL="114300" distR="114300">
            <wp:extent cx="5274945" cy="5910580"/>
            <wp:effectExtent l="0" t="0" r="13335" b="254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75"/>
                    <a:stretch>
                      <a:fillRect/>
                    </a:stretch>
                  </pic:blipFill>
                  <pic:spPr>
                    <a:xfrm>
                      <a:off x="0" y="0"/>
                      <a:ext cx="5274945" cy="5910580"/>
                    </a:xfrm>
                    <a:prstGeom prst="rect">
                      <a:avLst/>
                    </a:prstGeom>
                    <a:noFill/>
                    <a:ln>
                      <a:noFill/>
                    </a:ln>
                  </pic:spPr>
                </pic:pic>
              </a:graphicData>
            </a:graphic>
          </wp:inline>
        </w:drawing>
      </w:r>
    </w:p>
    <w:p>
      <w:pPr>
        <w:pStyle w:val="103"/>
        <w:rPr>
          <w:rFonts w:hint="eastAsia"/>
          <w:color w:val="auto"/>
          <w:u w:val="none"/>
        </w:rPr>
      </w:pPr>
      <w:r>
        <w:rPr>
          <w:rFonts w:hint="eastAsia"/>
          <w:color w:val="auto"/>
          <w:u w:val="none"/>
        </w:rPr>
        <w:t>图5</w:t>
      </w:r>
      <w:r>
        <w:rPr>
          <w:color w:val="auto"/>
          <w:u w:val="none"/>
        </w:rPr>
        <w:t xml:space="preserve">.2-1 </w:t>
      </w:r>
      <w:r>
        <w:rPr>
          <w:rFonts w:hint="eastAsia"/>
          <w:color w:val="auto"/>
          <w:u w:val="none"/>
        </w:rPr>
        <w:t>地下水污染应急治理程序框图</w:t>
      </w:r>
    </w:p>
    <w:p>
      <w:pPr>
        <w:pStyle w:val="6"/>
        <w:bidi w:val="0"/>
        <w:rPr>
          <w:rFonts w:hint="eastAsia"/>
        </w:rPr>
      </w:pPr>
      <w:r>
        <w:rPr>
          <w:rFonts w:hint="eastAsia"/>
        </w:rPr>
        <w:t>5.2.</w:t>
      </w:r>
      <w:r>
        <w:rPr>
          <w:rFonts w:hint="eastAsia"/>
          <w:lang w:val="en-US" w:eastAsia="zh-CN"/>
        </w:rPr>
        <w:t>3</w:t>
      </w:r>
      <w:r>
        <w:rPr>
          <w:rFonts w:hint="eastAsia"/>
        </w:rPr>
        <w:t>废气环境防治措施分析</w:t>
      </w:r>
    </w:p>
    <w:p>
      <w:pPr>
        <w:ind w:firstLine="480"/>
        <w:rPr>
          <w:rFonts w:hint="eastAsia"/>
          <w:color w:val="auto"/>
          <w:kern w:val="0"/>
          <w:u w:val="none"/>
        </w:rPr>
      </w:pPr>
      <w:r>
        <w:rPr>
          <w:rFonts w:hint="eastAsia"/>
          <w:color w:val="auto"/>
          <w:kern w:val="0"/>
          <w:u w:val="none"/>
        </w:rPr>
        <w:t>运营期废气主要为污水处理厂运行过程中的臭气。</w:t>
      </w:r>
    </w:p>
    <w:p>
      <w:pPr>
        <w:ind w:firstLine="480"/>
        <w:rPr>
          <w:color w:val="auto"/>
          <w:u w:val="none"/>
        </w:rPr>
      </w:pPr>
      <w:r>
        <w:rPr>
          <w:rFonts w:hint="eastAsia"/>
          <w:color w:val="auto"/>
          <w:u w:val="none"/>
        </w:rPr>
        <w:t>臭气处理常见的方法有</w:t>
      </w:r>
      <w:r>
        <w:rPr>
          <w:color w:val="auto"/>
          <w:u w:val="none"/>
        </w:rPr>
        <w:t>目前应用较为广泛的除臭工艺有：活性炭吸附、化学吸收、热力燃烧、等离子体、</w:t>
      </w:r>
      <w:r>
        <w:rPr>
          <w:rFonts w:eastAsia="Times New Roman"/>
          <w:color w:val="auto"/>
          <w:u w:val="none"/>
        </w:rPr>
        <w:t>UV</w:t>
      </w:r>
      <w:r>
        <w:rPr>
          <w:color w:val="auto"/>
          <w:u w:val="none"/>
        </w:rPr>
        <w:t>光催化、植物液喷淋、生物除臭工艺。</w:t>
      </w:r>
      <w:r>
        <w:rPr>
          <w:rFonts w:hint="eastAsia"/>
          <w:color w:val="auto"/>
          <w:u w:val="none"/>
        </w:rPr>
        <w:t>几种除臭方法的比较具体见下表。</w:t>
      </w:r>
    </w:p>
    <w:p>
      <w:pPr>
        <w:pStyle w:val="103"/>
        <w:rPr>
          <w:color w:val="auto"/>
          <w:u w:val="none"/>
        </w:rPr>
      </w:pPr>
      <w:r>
        <w:rPr>
          <w:color w:val="auto"/>
          <w:u w:val="none"/>
        </w:rPr>
        <w:t>表</w:t>
      </w:r>
      <w:r>
        <w:rPr>
          <w:rFonts w:hint="eastAsia"/>
          <w:color w:val="auto"/>
          <w:u w:val="none"/>
        </w:rPr>
        <w:t>5</w:t>
      </w:r>
      <w:r>
        <w:rPr>
          <w:color w:val="auto"/>
          <w:u w:val="none"/>
        </w:rPr>
        <w:t>.2-6</w:t>
      </w:r>
      <w:r>
        <w:rPr>
          <w:color w:val="auto"/>
          <w:u w:val="none"/>
        </w:rPr>
        <w:tab/>
      </w:r>
      <w:r>
        <w:rPr>
          <w:color w:val="auto"/>
          <w:u w:val="none"/>
        </w:rPr>
        <w:t>除臭技术比较</w:t>
      </w:r>
    </w:p>
    <w:tbl>
      <w:tblPr>
        <w:tblStyle w:val="36"/>
        <w:tblW w:w="511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283"/>
        <w:gridCol w:w="809"/>
        <w:gridCol w:w="850"/>
        <w:gridCol w:w="851"/>
        <w:gridCol w:w="989"/>
        <w:gridCol w:w="851"/>
        <w:gridCol w:w="707"/>
        <w:gridCol w:w="217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8" w:hRule="exact"/>
          <w:jc w:val="center"/>
        </w:trPr>
        <w:tc>
          <w:tcPr>
            <w:tcW w:w="754" w:type="pct"/>
            <w:noWrap w:val="0"/>
            <w:vAlign w:val="center"/>
          </w:tcPr>
          <w:p>
            <w:pPr>
              <w:widowControl w:val="0"/>
              <w:suppressAutoHyphens/>
              <w:wordWrap w:val="0"/>
              <w:topLinePunct/>
              <w:spacing w:line="240" w:lineRule="auto"/>
              <w:ind w:firstLine="0" w:firstLineChars="0"/>
              <w:jc w:val="center"/>
              <w:rPr>
                <w:b/>
                <w:color w:val="auto"/>
                <w:sz w:val="21"/>
                <w:szCs w:val="21"/>
                <w:u w:val="none"/>
              </w:rPr>
            </w:pPr>
            <w:r>
              <w:rPr>
                <w:b/>
                <w:color w:val="auto"/>
                <w:sz w:val="21"/>
                <w:szCs w:val="21"/>
                <w:u w:val="none"/>
              </w:rPr>
              <w:t>工艺类型</w:t>
            </w:r>
          </w:p>
        </w:tc>
        <w:tc>
          <w:tcPr>
            <w:tcW w:w="475" w:type="pct"/>
            <w:noWrap w:val="0"/>
            <w:vAlign w:val="center"/>
          </w:tcPr>
          <w:p>
            <w:pPr>
              <w:widowControl w:val="0"/>
              <w:suppressAutoHyphens/>
              <w:wordWrap w:val="0"/>
              <w:topLinePunct/>
              <w:spacing w:line="240" w:lineRule="auto"/>
              <w:ind w:firstLine="0" w:firstLineChars="0"/>
              <w:jc w:val="center"/>
              <w:rPr>
                <w:b/>
                <w:color w:val="auto"/>
                <w:sz w:val="21"/>
                <w:szCs w:val="21"/>
                <w:u w:val="none"/>
              </w:rPr>
            </w:pPr>
            <w:r>
              <w:rPr>
                <w:b/>
                <w:color w:val="auto"/>
                <w:sz w:val="21"/>
                <w:szCs w:val="21"/>
                <w:u w:val="none"/>
              </w:rPr>
              <w:t>除臭效果</w:t>
            </w:r>
          </w:p>
        </w:tc>
        <w:tc>
          <w:tcPr>
            <w:tcW w:w="499" w:type="pct"/>
            <w:noWrap w:val="0"/>
            <w:vAlign w:val="center"/>
          </w:tcPr>
          <w:p>
            <w:pPr>
              <w:widowControl w:val="0"/>
              <w:suppressAutoHyphens/>
              <w:wordWrap w:val="0"/>
              <w:topLinePunct/>
              <w:spacing w:line="240" w:lineRule="auto"/>
              <w:ind w:firstLine="0" w:firstLineChars="0"/>
              <w:jc w:val="center"/>
              <w:rPr>
                <w:b/>
                <w:color w:val="auto"/>
                <w:sz w:val="21"/>
                <w:szCs w:val="21"/>
                <w:u w:val="none"/>
              </w:rPr>
            </w:pPr>
            <w:r>
              <w:rPr>
                <w:b/>
                <w:color w:val="auto"/>
                <w:sz w:val="21"/>
                <w:szCs w:val="21"/>
                <w:u w:val="none"/>
              </w:rPr>
              <w:t>投资成本</w:t>
            </w:r>
          </w:p>
        </w:tc>
        <w:tc>
          <w:tcPr>
            <w:tcW w:w="500" w:type="pct"/>
            <w:noWrap w:val="0"/>
            <w:vAlign w:val="center"/>
          </w:tcPr>
          <w:p>
            <w:pPr>
              <w:widowControl w:val="0"/>
              <w:suppressAutoHyphens/>
              <w:wordWrap w:val="0"/>
              <w:topLinePunct/>
              <w:spacing w:line="240" w:lineRule="auto"/>
              <w:ind w:firstLine="0" w:firstLineChars="0"/>
              <w:jc w:val="center"/>
              <w:rPr>
                <w:b/>
                <w:color w:val="auto"/>
                <w:sz w:val="21"/>
                <w:szCs w:val="21"/>
                <w:u w:val="none"/>
              </w:rPr>
            </w:pPr>
            <w:r>
              <w:rPr>
                <w:b/>
                <w:color w:val="auto"/>
                <w:sz w:val="21"/>
                <w:szCs w:val="21"/>
                <w:u w:val="none"/>
              </w:rPr>
              <w:t>运行费用</w:t>
            </w:r>
          </w:p>
        </w:tc>
        <w:tc>
          <w:tcPr>
            <w:tcW w:w="581" w:type="pct"/>
            <w:noWrap w:val="0"/>
            <w:vAlign w:val="center"/>
          </w:tcPr>
          <w:p>
            <w:pPr>
              <w:widowControl w:val="0"/>
              <w:suppressAutoHyphens/>
              <w:wordWrap w:val="0"/>
              <w:topLinePunct/>
              <w:spacing w:line="240" w:lineRule="auto"/>
              <w:ind w:firstLine="0" w:firstLineChars="0"/>
              <w:jc w:val="center"/>
              <w:rPr>
                <w:b/>
                <w:color w:val="auto"/>
                <w:sz w:val="21"/>
                <w:szCs w:val="21"/>
                <w:u w:val="none"/>
              </w:rPr>
            </w:pPr>
            <w:r>
              <w:rPr>
                <w:b/>
                <w:color w:val="auto"/>
                <w:sz w:val="21"/>
                <w:szCs w:val="21"/>
                <w:u w:val="none"/>
              </w:rPr>
              <w:t>运行维护</w:t>
            </w:r>
          </w:p>
        </w:tc>
        <w:tc>
          <w:tcPr>
            <w:tcW w:w="500" w:type="pct"/>
            <w:noWrap w:val="0"/>
            <w:vAlign w:val="center"/>
          </w:tcPr>
          <w:p>
            <w:pPr>
              <w:widowControl w:val="0"/>
              <w:suppressAutoHyphens/>
              <w:wordWrap w:val="0"/>
              <w:topLinePunct/>
              <w:spacing w:line="240" w:lineRule="auto"/>
              <w:ind w:firstLine="0" w:firstLineChars="0"/>
              <w:jc w:val="center"/>
              <w:rPr>
                <w:b/>
                <w:color w:val="auto"/>
                <w:sz w:val="21"/>
                <w:szCs w:val="21"/>
                <w:u w:val="none"/>
              </w:rPr>
            </w:pPr>
            <w:r>
              <w:rPr>
                <w:b/>
                <w:color w:val="auto"/>
                <w:sz w:val="21"/>
                <w:szCs w:val="21"/>
                <w:u w:val="none"/>
              </w:rPr>
              <w:t>二次污染</w:t>
            </w:r>
          </w:p>
        </w:tc>
        <w:tc>
          <w:tcPr>
            <w:tcW w:w="415" w:type="pct"/>
            <w:noWrap w:val="0"/>
            <w:vAlign w:val="center"/>
          </w:tcPr>
          <w:p>
            <w:pPr>
              <w:widowControl w:val="0"/>
              <w:suppressAutoHyphens/>
              <w:wordWrap w:val="0"/>
              <w:topLinePunct/>
              <w:spacing w:line="240" w:lineRule="auto"/>
              <w:ind w:firstLine="0" w:firstLineChars="0"/>
              <w:jc w:val="center"/>
              <w:rPr>
                <w:b/>
                <w:color w:val="auto"/>
                <w:sz w:val="21"/>
                <w:szCs w:val="21"/>
                <w:u w:val="none"/>
              </w:rPr>
            </w:pPr>
            <w:r>
              <w:rPr>
                <w:b/>
                <w:color w:val="auto"/>
                <w:sz w:val="21"/>
                <w:szCs w:val="21"/>
                <w:u w:val="none"/>
              </w:rPr>
              <w:t>安全等级</w:t>
            </w:r>
          </w:p>
        </w:tc>
        <w:tc>
          <w:tcPr>
            <w:tcW w:w="1276" w:type="pct"/>
            <w:noWrap w:val="0"/>
            <w:vAlign w:val="center"/>
          </w:tcPr>
          <w:p>
            <w:pPr>
              <w:widowControl w:val="0"/>
              <w:suppressAutoHyphens/>
              <w:wordWrap w:val="0"/>
              <w:topLinePunct/>
              <w:spacing w:line="240" w:lineRule="auto"/>
              <w:ind w:firstLine="0" w:firstLineChars="0"/>
              <w:jc w:val="center"/>
              <w:rPr>
                <w:b/>
                <w:color w:val="auto"/>
                <w:sz w:val="21"/>
                <w:szCs w:val="21"/>
                <w:u w:val="none"/>
              </w:rPr>
            </w:pPr>
            <w:r>
              <w:rPr>
                <w:b/>
                <w:color w:val="auto"/>
                <w:sz w:val="21"/>
                <w:szCs w:val="21"/>
                <w:u w:val="none"/>
              </w:rPr>
              <w:t>应用范围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3" w:hRule="exact"/>
          <w:jc w:val="center"/>
        </w:trPr>
        <w:tc>
          <w:tcPr>
            <w:tcW w:w="754"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活性炭吸附</w:t>
            </w:r>
          </w:p>
        </w:tc>
        <w:tc>
          <w:tcPr>
            <w:tcW w:w="47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优</w:t>
            </w:r>
          </w:p>
        </w:tc>
        <w:tc>
          <w:tcPr>
            <w:tcW w:w="499"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w:t>
            </w:r>
          </w:p>
        </w:tc>
        <w:tc>
          <w:tcPr>
            <w:tcW w:w="581"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更换吸附剂</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rFonts w:hint="eastAsia"/>
                <w:color w:val="auto"/>
                <w:sz w:val="21"/>
                <w:szCs w:val="21"/>
                <w:u w:val="none"/>
              </w:rPr>
              <w:t>低</w:t>
            </w:r>
          </w:p>
        </w:tc>
        <w:tc>
          <w:tcPr>
            <w:tcW w:w="41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1276"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低浓度污染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5" w:hRule="exact"/>
          <w:jc w:val="center"/>
        </w:trPr>
        <w:tc>
          <w:tcPr>
            <w:tcW w:w="754"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化学吸收</w:t>
            </w:r>
          </w:p>
        </w:tc>
        <w:tc>
          <w:tcPr>
            <w:tcW w:w="47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499"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w:t>
            </w:r>
          </w:p>
        </w:tc>
        <w:tc>
          <w:tcPr>
            <w:tcW w:w="581"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更换化学药剂</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w:t>
            </w:r>
          </w:p>
        </w:tc>
        <w:tc>
          <w:tcPr>
            <w:tcW w:w="41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w:t>
            </w:r>
          </w:p>
        </w:tc>
        <w:tc>
          <w:tcPr>
            <w:tcW w:w="1276"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中高浓度污染，污染物去除率要求不高时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 w:hRule="exact"/>
          <w:jc w:val="center"/>
        </w:trPr>
        <w:tc>
          <w:tcPr>
            <w:tcW w:w="754"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热力燃烧</w:t>
            </w:r>
          </w:p>
        </w:tc>
        <w:tc>
          <w:tcPr>
            <w:tcW w:w="47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优</w:t>
            </w:r>
          </w:p>
        </w:tc>
        <w:tc>
          <w:tcPr>
            <w:tcW w:w="499"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w:t>
            </w:r>
          </w:p>
        </w:tc>
        <w:tc>
          <w:tcPr>
            <w:tcW w:w="581"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设备操作复杂</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w:t>
            </w:r>
          </w:p>
        </w:tc>
        <w:tc>
          <w:tcPr>
            <w:tcW w:w="41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w:t>
            </w:r>
          </w:p>
        </w:tc>
        <w:tc>
          <w:tcPr>
            <w:tcW w:w="1276"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高浓度污染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exact"/>
          <w:jc w:val="center"/>
        </w:trPr>
        <w:tc>
          <w:tcPr>
            <w:tcW w:w="754"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等离子体</w:t>
            </w:r>
          </w:p>
        </w:tc>
        <w:tc>
          <w:tcPr>
            <w:tcW w:w="47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499"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w:t>
            </w:r>
          </w:p>
        </w:tc>
        <w:tc>
          <w:tcPr>
            <w:tcW w:w="581"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配件易损</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41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1276"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中低浓度污染，一般需与其他技术组合使用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4" w:hRule="exact"/>
          <w:jc w:val="center"/>
        </w:trPr>
        <w:tc>
          <w:tcPr>
            <w:tcW w:w="754"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UV光催化</w:t>
            </w:r>
          </w:p>
        </w:tc>
        <w:tc>
          <w:tcPr>
            <w:tcW w:w="47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优</w:t>
            </w:r>
          </w:p>
        </w:tc>
        <w:tc>
          <w:tcPr>
            <w:tcW w:w="499"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w:t>
            </w:r>
          </w:p>
        </w:tc>
        <w:tc>
          <w:tcPr>
            <w:tcW w:w="581"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简单方便</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w:t>
            </w:r>
          </w:p>
        </w:tc>
        <w:tc>
          <w:tcPr>
            <w:tcW w:w="41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w:t>
            </w:r>
          </w:p>
        </w:tc>
        <w:tc>
          <w:tcPr>
            <w:tcW w:w="1276"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中低浓度污染，逐渐在市政领域广泛使用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exact"/>
          <w:jc w:val="center"/>
        </w:trPr>
        <w:tc>
          <w:tcPr>
            <w:tcW w:w="754"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植物液喷淋</w:t>
            </w:r>
          </w:p>
        </w:tc>
        <w:tc>
          <w:tcPr>
            <w:tcW w:w="47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w:t>
            </w:r>
          </w:p>
        </w:tc>
        <w:tc>
          <w:tcPr>
            <w:tcW w:w="499"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w:t>
            </w:r>
          </w:p>
        </w:tc>
        <w:tc>
          <w:tcPr>
            <w:tcW w:w="581"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简单方便</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41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1276"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低浓度污染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7" w:hRule="exact"/>
          <w:jc w:val="center"/>
        </w:trPr>
        <w:tc>
          <w:tcPr>
            <w:tcW w:w="754"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生物除臭</w:t>
            </w:r>
          </w:p>
        </w:tc>
        <w:tc>
          <w:tcPr>
            <w:tcW w:w="47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优</w:t>
            </w:r>
          </w:p>
        </w:tc>
        <w:tc>
          <w:tcPr>
            <w:tcW w:w="499"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w:t>
            </w:r>
          </w:p>
        </w:tc>
        <w:tc>
          <w:tcPr>
            <w:tcW w:w="581"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简单方便</w:t>
            </w:r>
          </w:p>
        </w:tc>
        <w:tc>
          <w:tcPr>
            <w:tcW w:w="500"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低</w:t>
            </w:r>
          </w:p>
        </w:tc>
        <w:tc>
          <w:tcPr>
            <w:tcW w:w="415"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高</w:t>
            </w:r>
          </w:p>
        </w:tc>
        <w:tc>
          <w:tcPr>
            <w:tcW w:w="1276" w:type="pct"/>
            <w:noWrap w:val="0"/>
            <w:vAlign w:val="center"/>
          </w:tcPr>
          <w:p>
            <w:pPr>
              <w:widowControl w:val="0"/>
              <w:suppressAutoHyphens/>
              <w:wordWrap w:val="0"/>
              <w:topLinePunct/>
              <w:spacing w:line="240" w:lineRule="auto"/>
              <w:ind w:firstLine="0" w:firstLineChars="0"/>
              <w:jc w:val="center"/>
              <w:rPr>
                <w:color w:val="auto"/>
                <w:sz w:val="21"/>
                <w:szCs w:val="21"/>
                <w:u w:val="none"/>
              </w:rPr>
            </w:pPr>
            <w:r>
              <w:rPr>
                <w:color w:val="auto"/>
                <w:sz w:val="21"/>
                <w:szCs w:val="21"/>
                <w:u w:val="none"/>
              </w:rPr>
              <w:t>中低浓度污染，市政领域广泛使用</w:t>
            </w:r>
          </w:p>
        </w:tc>
      </w:tr>
    </w:tbl>
    <w:p>
      <w:pPr>
        <w:widowControl w:val="0"/>
        <w:suppressAutoHyphens/>
        <w:wordWrap w:val="0"/>
        <w:topLinePunct/>
        <w:ind w:firstLine="480"/>
        <w:jc w:val="both"/>
        <w:rPr>
          <w:color w:val="auto"/>
          <w:u w:val="none"/>
        </w:rPr>
      </w:pPr>
      <w:r>
        <w:rPr>
          <w:color w:val="auto"/>
          <w:u w:val="none"/>
        </w:rPr>
        <w:t>由上表对比分析，可以看出化学吸收、热力燃烧</w:t>
      </w:r>
      <w:r>
        <w:rPr>
          <w:rFonts w:hint="eastAsia"/>
          <w:color w:val="auto"/>
          <w:u w:val="none"/>
        </w:rPr>
        <w:t>、</w:t>
      </w:r>
      <w:r>
        <w:rPr>
          <w:color w:val="auto"/>
          <w:u w:val="none"/>
        </w:rPr>
        <w:t>和等离子体的运行成本都很高，且二次污染严重，所以不适用于本项目。UV光催化</w:t>
      </w:r>
      <w:r>
        <w:rPr>
          <w:rFonts w:hint="eastAsia"/>
          <w:color w:val="auto"/>
          <w:u w:val="none"/>
        </w:rPr>
        <w:t>投资成本略高。</w:t>
      </w:r>
    </w:p>
    <w:p>
      <w:pPr>
        <w:widowControl w:val="0"/>
        <w:suppressAutoHyphens/>
        <w:wordWrap w:val="0"/>
        <w:topLinePunct/>
        <w:ind w:firstLine="480"/>
        <w:jc w:val="both"/>
        <w:rPr>
          <w:color w:val="auto"/>
          <w:u w:val="none"/>
        </w:rPr>
      </w:pPr>
      <w:r>
        <w:rPr>
          <w:color w:val="auto"/>
          <w:u w:val="none"/>
        </w:rPr>
        <w:t>生物除臭工艺利用微生物对臭气物质吸附降解，将臭气转化成CO</w:t>
      </w:r>
      <w:r>
        <w:rPr>
          <w:rFonts w:hint="eastAsia"/>
          <w:color w:val="auto"/>
          <w:u w:val="none"/>
          <w:vertAlign w:val="subscript"/>
        </w:rPr>
        <w:t>2</w:t>
      </w:r>
      <w:r>
        <w:rPr>
          <w:color w:val="auto"/>
          <w:u w:val="none"/>
        </w:rPr>
        <w:t>、H</w:t>
      </w:r>
      <w:r>
        <w:rPr>
          <w:rFonts w:hint="eastAsia"/>
          <w:color w:val="auto"/>
          <w:u w:val="none"/>
          <w:vertAlign w:val="subscript"/>
        </w:rPr>
        <w:t>2</w:t>
      </w:r>
      <w:r>
        <w:rPr>
          <w:color w:val="auto"/>
          <w:u w:val="none"/>
        </w:rPr>
        <w:t>O 和无机盐等无臭或低臭成分从而达到除臭的目的，对以H</w:t>
      </w:r>
      <w:r>
        <w:rPr>
          <w:rFonts w:hint="eastAsia"/>
          <w:color w:val="auto"/>
          <w:u w:val="none"/>
          <w:vertAlign w:val="subscript"/>
        </w:rPr>
        <w:t>2</w:t>
      </w:r>
      <w:r>
        <w:rPr>
          <w:color w:val="auto"/>
          <w:u w:val="none"/>
        </w:rPr>
        <w:t>S和NH</w:t>
      </w:r>
      <w:r>
        <w:rPr>
          <w:rFonts w:hint="eastAsia"/>
          <w:color w:val="auto"/>
          <w:u w:val="none"/>
          <w:vertAlign w:val="subscript"/>
        </w:rPr>
        <w:t>3</w:t>
      </w:r>
      <w:r>
        <w:rPr>
          <w:color w:val="auto"/>
          <w:u w:val="none"/>
        </w:rPr>
        <w:t>为主的典型生活污水市政臭气具有高效稳定处理的技术优势。该工艺具有设备可靠、运行维护方便、运行费用低、无二次污染等显著优点，但由于需建设除臭生物滤池，具有占地大、投资成本高等缺点。</w:t>
      </w:r>
    </w:p>
    <w:p>
      <w:pPr>
        <w:widowControl w:val="0"/>
        <w:suppressAutoHyphens/>
        <w:wordWrap w:val="0"/>
        <w:topLinePunct/>
        <w:ind w:firstLine="480"/>
        <w:jc w:val="both"/>
        <w:rPr>
          <w:color w:val="auto"/>
          <w:u w:val="none"/>
        </w:rPr>
      </w:pPr>
      <w:r>
        <w:rPr>
          <w:color w:val="auto"/>
          <w:u w:val="none"/>
        </w:rPr>
        <w:t>结合上述除臭工艺比较内容，综合考虑本工程的进水性质、用地情况、构筑物所产生的臭气的特点及数量、投资、工艺适应性、运行管理成本等因素后，本项目</w:t>
      </w:r>
      <w:r>
        <w:rPr>
          <w:rFonts w:hint="eastAsia"/>
          <w:color w:val="auto"/>
          <w:u w:val="none"/>
        </w:rPr>
        <w:t>污泥脱水间</w:t>
      </w:r>
      <w:r>
        <w:rPr>
          <w:color w:val="auto"/>
          <w:u w:val="none"/>
        </w:rPr>
        <w:t>采用</w:t>
      </w:r>
      <w:r>
        <w:rPr>
          <w:rFonts w:hint="eastAsia"/>
          <w:color w:val="auto"/>
          <w:u w:val="none"/>
        </w:rPr>
        <w:t>活性炭</w:t>
      </w:r>
      <w:r>
        <w:rPr>
          <w:color w:val="auto"/>
          <w:u w:val="none"/>
        </w:rPr>
        <w:t>作为除臭工艺</w:t>
      </w:r>
      <w:r>
        <w:rPr>
          <w:rFonts w:hint="eastAsia"/>
          <w:color w:val="auto"/>
          <w:u w:val="none"/>
        </w:rPr>
        <w:t>，其他污水构筑物采用植物液喷淋方式。</w:t>
      </w:r>
    </w:p>
    <w:p>
      <w:pPr>
        <w:widowControl w:val="0"/>
        <w:suppressAutoHyphens/>
        <w:wordWrap w:val="0"/>
        <w:topLinePunct/>
        <w:ind w:firstLine="480"/>
        <w:jc w:val="both"/>
        <w:rPr>
          <w:color w:val="auto"/>
          <w:u w:val="none"/>
        </w:rPr>
      </w:pPr>
      <w:r>
        <w:rPr>
          <w:color w:val="auto"/>
          <w:u w:val="none"/>
        </w:rPr>
        <w:t>项目运行期间将有一定量的臭气产生，产生臭气的主要场所为</w:t>
      </w:r>
      <w:r>
        <w:rPr>
          <w:rFonts w:hint="eastAsia"/>
          <w:color w:val="auto"/>
          <w:u w:val="none"/>
          <w:lang w:eastAsia="zh-CN"/>
        </w:rPr>
        <w:t>格栅渠</w:t>
      </w:r>
      <w:r>
        <w:rPr>
          <w:color w:val="auto"/>
          <w:u w:val="none"/>
        </w:rPr>
        <w:t>、</w:t>
      </w:r>
      <w:r>
        <w:rPr>
          <w:rFonts w:hint="eastAsia"/>
          <w:color w:val="auto"/>
          <w:u w:val="none"/>
          <w:lang w:eastAsia="zh-CN"/>
        </w:rPr>
        <w:t>调节池、</w:t>
      </w:r>
      <w:r>
        <w:rPr>
          <w:color w:val="auto"/>
          <w:u w:val="none"/>
        </w:rPr>
        <w:t>沉砂池、</w:t>
      </w:r>
      <w:r>
        <w:rPr>
          <w:rFonts w:hint="eastAsia"/>
          <w:color w:val="auto"/>
          <w:u w:val="none"/>
          <w:lang w:val="en-US" w:eastAsia="zh-CN"/>
        </w:rPr>
        <w:t>MBR设备</w:t>
      </w:r>
      <w:r>
        <w:rPr>
          <w:color w:val="auto"/>
          <w:u w:val="none"/>
        </w:rPr>
        <w:t>、</w:t>
      </w:r>
      <w:r>
        <w:rPr>
          <w:rFonts w:hint="eastAsia"/>
          <w:color w:val="auto"/>
          <w:u w:val="none"/>
          <w:lang w:eastAsia="zh-CN"/>
        </w:rPr>
        <w:t>污泥池及污泥脱水间</w:t>
      </w:r>
      <w:r>
        <w:rPr>
          <w:color w:val="auto"/>
          <w:u w:val="none"/>
        </w:rPr>
        <w:t>等，项目拟对每组构筑物的恶臭污染源采用封闭式结构</w:t>
      </w:r>
      <w:r>
        <w:rPr>
          <w:rFonts w:hint="eastAsia"/>
          <w:color w:val="auto"/>
          <w:u w:val="none"/>
        </w:rPr>
        <w:t>、定期喷洒植物除臭剂，</w:t>
      </w:r>
      <w:r>
        <w:rPr>
          <w:color w:val="auto"/>
          <w:u w:val="none"/>
        </w:rPr>
        <w:t>将</w:t>
      </w:r>
      <w:r>
        <w:rPr>
          <w:rFonts w:hint="eastAsia"/>
          <w:color w:val="auto"/>
          <w:u w:val="none"/>
          <w:lang w:eastAsia="zh-CN"/>
        </w:rPr>
        <w:t>污泥脱水间</w:t>
      </w:r>
      <w:r>
        <w:rPr>
          <w:color w:val="auto"/>
          <w:u w:val="none"/>
        </w:rPr>
        <w:t>产生的臭气抽送到除臭处理装置中进行集中处理后通过15m高排气筒排放，排气筒风量为</w:t>
      </w:r>
      <w:r>
        <w:rPr>
          <w:rFonts w:hint="eastAsia"/>
          <w:color w:val="auto"/>
          <w:u w:val="none"/>
          <w:lang w:val="en-US" w:eastAsia="zh-CN"/>
        </w:rPr>
        <w:t>2500</w:t>
      </w:r>
      <w:r>
        <w:rPr>
          <w:color w:val="auto"/>
          <w:u w:val="none"/>
        </w:rPr>
        <w:t>Nm</w:t>
      </w:r>
      <w:r>
        <w:rPr>
          <w:rFonts w:hint="eastAsia"/>
          <w:color w:val="auto"/>
          <w:u w:val="none"/>
          <w:vertAlign w:val="superscript"/>
        </w:rPr>
        <w:t>3</w:t>
      </w:r>
      <w:r>
        <w:rPr>
          <w:color w:val="auto"/>
          <w:u w:val="none"/>
        </w:rPr>
        <w:t>/h，排气筒内径0.5m</w:t>
      </w:r>
      <w:r>
        <w:rPr>
          <w:rFonts w:hint="eastAsia"/>
          <w:color w:val="auto"/>
          <w:spacing w:val="-2"/>
          <w:u w:val="none"/>
        </w:rPr>
        <w:t>。</w:t>
      </w:r>
      <w:r>
        <w:rPr>
          <w:color w:val="auto"/>
          <w:u w:val="none"/>
        </w:rPr>
        <w:t>同时通过在厂区设一定宽度的绿化带，利用耐臭气的高大乔木和灌木、地被进行密植，可以形成有效的安全隔离带，以防止污水处理厂内的臭气对周围环境的影响。</w:t>
      </w:r>
    </w:p>
    <w:p>
      <w:pPr>
        <w:widowControl w:val="0"/>
        <w:suppressAutoHyphens/>
        <w:wordWrap w:val="0"/>
        <w:topLinePunct/>
        <w:ind w:firstLine="480"/>
        <w:jc w:val="both"/>
        <w:rPr>
          <w:color w:val="auto"/>
          <w:u w:val="none"/>
        </w:rPr>
      </w:pPr>
      <w:r>
        <w:rPr>
          <w:rFonts w:hint="eastAsia"/>
          <w:color w:val="auto"/>
          <w:u w:val="none"/>
        </w:rPr>
        <w:t>本项目恶臭污染物NH</w:t>
      </w:r>
      <w:r>
        <w:rPr>
          <w:rFonts w:hint="eastAsia"/>
          <w:color w:val="auto"/>
          <w:u w:val="none"/>
          <w:vertAlign w:val="subscript"/>
        </w:rPr>
        <w:t>3</w:t>
      </w:r>
      <w:r>
        <w:rPr>
          <w:rFonts w:hint="eastAsia"/>
          <w:color w:val="auto"/>
          <w:u w:val="none"/>
        </w:rPr>
        <w:t>和H</w:t>
      </w:r>
      <w:r>
        <w:rPr>
          <w:rFonts w:hint="eastAsia"/>
          <w:color w:val="auto"/>
          <w:u w:val="none"/>
          <w:vertAlign w:val="subscript"/>
        </w:rPr>
        <w:t>2</w:t>
      </w:r>
      <w:r>
        <w:rPr>
          <w:rFonts w:hint="eastAsia"/>
          <w:color w:val="auto"/>
          <w:u w:val="none"/>
        </w:rPr>
        <w:t>S源强是类比工程相似的咸阳市过塘污水处理厂及配套管网项目，臭气产生量与处理单元的面积成正相关。本项目污泥脱水间</w:t>
      </w:r>
      <w:r>
        <w:rPr>
          <w:rFonts w:hint="eastAsia"/>
          <w:color w:val="auto"/>
          <w:u w:val="none"/>
          <w:lang w:eastAsia="zh-CN"/>
        </w:rPr>
        <w:t>设置</w:t>
      </w:r>
      <w:r>
        <w:rPr>
          <w:rFonts w:hint="eastAsia"/>
          <w:color w:val="auto"/>
          <w:u w:val="none"/>
        </w:rPr>
        <w:t>一套活性炭</w:t>
      </w:r>
      <w:r>
        <w:rPr>
          <w:color w:val="auto"/>
          <w:u w:val="none"/>
        </w:rPr>
        <w:t>除臭处理装置</w:t>
      </w:r>
      <w:r>
        <w:rPr>
          <w:rFonts w:hint="eastAsia"/>
          <w:color w:val="auto"/>
          <w:u w:val="none"/>
        </w:rPr>
        <w:t>、一个1</w:t>
      </w:r>
      <w:r>
        <w:rPr>
          <w:color w:val="auto"/>
          <w:u w:val="none"/>
        </w:rPr>
        <w:t>5m</w:t>
      </w:r>
      <w:r>
        <w:rPr>
          <w:rFonts w:hint="eastAsia"/>
          <w:color w:val="auto"/>
          <w:u w:val="none"/>
        </w:rPr>
        <w:t>排气筒。项目废气处理效率具体见表5.2-7。</w:t>
      </w:r>
    </w:p>
    <w:p>
      <w:pPr>
        <w:pStyle w:val="73"/>
        <w:rPr>
          <w:b/>
          <w:bCs/>
          <w:color w:val="auto"/>
          <w:u w:val="none"/>
        </w:rPr>
      </w:pPr>
      <w:r>
        <w:rPr>
          <w:rFonts w:hint="eastAsia"/>
          <w:b/>
          <w:bCs/>
          <w:color w:val="auto"/>
          <w:u w:val="none"/>
        </w:rPr>
        <w:t>表5.2-7 废气处理效果一览表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910"/>
        <w:gridCol w:w="1220"/>
        <w:gridCol w:w="905"/>
        <w:gridCol w:w="1297"/>
        <w:gridCol w:w="1328"/>
        <w:gridCol w:w="1067"/>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排放类型</w:t>
            </w:r>
          </w:p>
        </w:tc>
        <w:tc>
          <w:tcPr>
            <w:tcW w:w="534" w:type="pc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浓度物</w:t>
            </w:r>
          </w:p>
        </w:tc>
        <w:tc>
          <w:tcPr>
            <w:tcW w:w="716" w:type="pc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产生速率（kg/h）</w:t>
            </w:r>
          </w:p>
        </w:tc>
        <w:tc>
          <w:tcPr>
            <w:tcW w:w="531" w:type="pc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处理措施</w:t>
            </w:r>
          </w:p>
        </w:tc>
        <w:tc>
          <w:tcPr>
            <w:tcW w:w="761" w:type="pc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排气量(m</w:t>
            </w:r>
            <w:r>
              <w:rPr>
                <w:rFonts w:hint="default" w:ascii="Times New Roman" w:hAnsi="Times New Roman" w:cs="Times New Roman"/>
                <w:vertAlign w:val="superscript"/>
                <w:lang w:eastAsia="zh-CN"/>
              </w:rPr>
              <w:t>3</w:t>
            </w:r>
            <w:r>
              <w:rPr>
                <w:rFonts w:hint="default" w:ascii="Times New Roman" w:hAnsi="Times New Roman" w:cs="Times New Roman"/>
                <w:lang w:eastAsia="zh-CN"/>
              </w:rPr>
              <w:t>/h)</w:t>
            </w:r>
          </w:p>
        </w:tc>
        <w:tc>
          <w:tcPr>
            <w:tcW w:w="779" w:type="pc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排放速率（kg/h）</w:t>
            </w:r>
          </w:p>
        </w:tc>
        <w:tc>
          <w:tcPr>
            <w:tcW w:w="626" w:type="pc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执行</w:t>
            </w:r>
          </w:p>
          <w:p>
            <w:pPr>
              <w:pStyle w:val="73"/>
              <w:bidi w:val="0"/>
              <w:rPr>
                <w:rFonts w:hint="default" w:ascii="Times New Roman" w:hAnsi="Times New Roman" w:cs="Times New Roman"/>
                <w:lang w:eastAsia="zh-CN"/>
              </w:rPr>
            </w:pPr>
            <w:r>
              <w:rPr>
                <w:rFonts w:hint="default" w:ascii="Times New Roman" w:hAnsi="Times New Roman" w:cs="Times New Roman"/>
                <w:lang w:eastAsia="zh-CN"/>
              </w:rPr>
              <w:t>标准</w:t>
            </w:r>
          </w:p>
          <w:p>
            <w:pPr>
              <w:pStyle w:val="73"/>
              <w:bidi w:val="0"/>
              <w:rPr>
                <w:rFonts w:hint="default" w:ascii="Times New Roman" w:hAnsi="Times New Roman" w:cs="Times New Roman"/>
                <w:lang w:eastAsia="zh-CN"/>
              </w:rPr>
            </w:pPr>
            <w:r>
              <w:rPr>
                <w:rFonts w:hint="default" w:ascii="Times New Roman" w:hAnsi="Times New Roman" w:cs="Times New Roman"/>
                <w:lang w:eastAsia="zh-CN"/>
              </w:rPr>
              <w:t>(kg/h)</w:t>
            </w:r>
          </w:p>
        </w:tc>
        <w:tc>
          <w:tcPr>
            <w:tcW w:w="543" w:type="pc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510" w:type="pct"/>
            <w:vMerge w:val="restar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有组织</w:t>
            </w:r>
          </w:p>
        </w:tc>
        <w:tc>
          <w:tcPr>
            <w:tcW w:w="534" w:type="pc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氨</w:t>
            </w:r>
          </w:p>
        </w:tc>
        <w:tc>
          <w:tcPr>
            <w:tcW w:w="716" w:type="pct"/>
            <w:noWrap w:val="0"/>
            <w:vAlign w:val="center"/>
          </w:tcPr>
          <w:p>
            <w:pPr>
              <w:pStyle w:val="73"/>
              <w:bidi w:val="0"/>
              <w:rPr>
                <w:rFonts w:hint="default" w:ascii="Times New Roman" w:hAnsi="Times New Roman" w:cs="Times New Roman"/>
                <w:lang w:val="en-US" w:eastAsia="zh-CN"/>
              </w:rPr>
            </w:pPr>
            <w:r>
              <w:rPr>
                <w:rFonts w:hint="eastAsia" w:ascii="Times New Roman" w:cs="Times New Roman"/>
                <w:lang w:val="en-US" w:eastAsia="zh-CN"/>
              </w:rPr>
              <w:t>0.033713</w:t>
            </w:r>
          </w:p>
        </w:tc>
        <w:tc>
          <w:tcPr>
            <w:tcW w:w="531" w:type="pct"/>
            <w:vMerge w:val="restar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活性炭吸附</w:t>
            </w:r>
          </w:p>
        </w:tc>
        <w:tc>
          <w:tcPr>
            <w:tcW w:w="761" w:type="pct"/>
            <w:vMerge w:val="restar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val="en-US" w:eastAsia="zh-CN"/>
              </w:rPr>
              <w:t>2500</w:t>
            </w:r>
            <w:r>
              <w:rPr>
                <w:rFonts w:hint="default" w:ascii="Times New Roman" w:hAnsi="Times New Roman" w:cs="Times New Roman"/>
                <w:lang w:eastAsia="zh-CN"/>
              </w:rPr>
              <w:t>Nm</w:t>
            </w:r>
            <w:r>
              <w:rPr>
                <w:rFonts w:hint="default" w:ascii="Times New Roman" w:hAnsi="Times New Roman" w:cs="Times New Roman"/>
                <w:vertAlign w:val="superscript"/>
                <w:lang w:eastAsia="zh-CN"/>
              </w:rPr>
              <w:t>3</w:t>
            </w:r>
            <w:r>
              <w:rPr>
                <w:rFonts w:hint="default" w:ascii="Times New Roman" w:hAnsi="Times New Roman" w:cs="Times New Roman"/>
                <w:lang w:eastAsia="zh-CN"/>
              </w:rPr>
              <w:t>/h</w:t>
            </w:r>
          </w:p>
        </w:tc>
        <w:tc>
          <w:tcPr>
            <w:tcW w:w="779" w:type="pct"/>
            <w:noWrap w:val="0"/>
            <w:vAlign w:val="center"/>
          </w:tcPr>
          <w:p>
            <w:pPr>
              <w:pStyle w:val="73"/>
              <w:bidi w:val="0"/>
              <w:rPr>
                <w:rFonts w:hint="default" w:ascii="Times New Roman" w:hAnsi="Times New Roman" w:cs="Times New Roman"/>
                <w:lang w:val="en-US"/>
              </w:rPr>
            </w:pPr>
            <w:r>
              <w:rPr>
                <w:rFonts w:hint="eastAsia" w:ascii="Times New Roman" w:cs="Times New Roman"/>
                <w:lang w:val="en-US" w:eastAsia="zh-CN"/>
              </w:rPr>
              <w:t>0.003371</w:t>
            </w:r>
          </w:p>
        </w:tc>
        <w:tc>
          <w:tcPr>
            <w:tcW w:w="626" w:type="pct"/>
            <w:noWrap w:val="0"/>
            <w:vAlign w:val="center"/>
          </w:tcPr>
          <w:p>
            <w:pPr>
              <w:pStyle w:val="73"/>
              <w:bidi w:val="0"/>
              <w:rPr>
                <w:rFonts w:hint="default" w:ascii="Times New Roman" w:hAnsi="Times New Roman" w:cs="Times New Roman"/>
              </w:rPr>
            </w:pPr>
            <w:r>
              <w:rPr>
                <w:rFonts w:hint="default" w:ascii="Times New Roman" w:hAnsi="Times New Roman" w:cs="Times New Roman"/>
              </w:rPr>
              <w:t>4.9</w:t>
            </w:r>
          </w:p>
        </w:tc>
        <w:tc>
          <w:tcPr>
            <w:tcW w:w="543" w:type="pct"/>
            <w:noWrap w:val="0"/>
            <w:vAlign w:val="center"/>
          </w:tcPr>
          <w:p>
            <w:pPr>
              <w:pStyle w:val="73"/>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10" w:type="pct"/>
            <w:vMerge w:val="continue"/>
            <w:noWrap w:val="0"/>
            <w:vAlign w:val="center"/>
          </w:tcPr>
          <w:p>
            <w:pPr>
              <w:pStyle w:val="73"/>
              <w:bidi w:val="0"/>
              <w:rPr>
                <w:rFonts w:hint="default" w:ascii="Times New Roman" w:hAnsi="Times New Roman" w:cs="Times New Roman"/>
                <w:lang w:eastAsia="zh-CN"/>
              </w:rPr>
            </w:pPr>
          </w:p>
        </w:tc>
        <w:tc>
          <w:tcPr>
            <w:tcW w:w="534" w:type="pct"/>
            <w:noWrap w:val="0"/>
            <w:vAlign w:val="center"/>
          </w:tcPr>
          <w:p>
            <w:pPr>
              <w:pStyle w:val="73"/>
              <w:bidi w:val="0"/>
              <w:rPr>
                <w:rFonts w:hint="default" w:ascii="Times New Roman" w:hAnsi="Times New Roman" w:cs="Times New Roman"/>
                <w:lang w:eastAsia="zh-CN"/>
              </w:rPr>
            </w:pPr>
            <w:r>
              <w:rPr>
                <w:rFonts w:hint="default" w:ascii="Times New Roman" w:hAnsi="Times New Roman" w:cs="Times New Roman"/>
                <w:lang w:eastAsia="zh-CN"/>
              </w:rPr>
              <w:t>硫化氢</w:t>
            </w:r>
          </w:p>
        </w:tc>
        <w:tc>
          <w:tcPr>
            <w:tcW w:w="716" w:type="pct"/>
            <w:noWrap w:val="0"/>
            <w:vAlign w:val="center"/>
          </w:tcPr>
          <w:p>
            <w:pPr>
              <w:pStyle w:val="73"/>
              <w:bidi w:val="0"/>
              <w:rPr>
                <w:rFonts w:hint="default" w:ascii="Times New Roman" w:hAnsi="Times New Roman" w:cs="Times New Roman"/>
                <w:lang w:val="en-US" w:eastAsia="zh-CN"/>
              </w:rPr>
            </w:pPr>
            <w:r>
              <w:rPr>
                <w:rFonts w:hint="eastAsia" w:ascii="Times New Roman" w:cs="Times New Roman"/>
                <w:lang w:val="en-US" w:eastAsia="zh-CN"/>
              </w:rPr>
              <w:t>0.001305</w:t>
            </w:r>
          </w:p>
        </w:tc>
        <w:tc>
          <w:tcPr>
            <w:tcW w:w="531" w:type="pct"/>
            <w:vMerge w:val="continue"/>
            <w:noWrap w:val="0"/>
            <w:vAlign w:val="center"/>
          </w:tcPr>
          <w:p>
            <w:pPr>
              <w:pStyle w:val="73"/>
              <w:bidi w:val="0"/>
              <w:rPr>
                <w:rFonts w:hint="default" w:ascii="Times New Roman" w:hAnsi="Times New Roman" w:cs="Times New Roman"/>
                <w:lang w:eastAsia="zh-CN"/>
              </w:rPr>
            </w:pPr>
          </w:p>
        </w:tc>
        <w:tc>
          <w:tcPr>
            <w:tcW w:w="761" w:type="pct"/>
            <w:vMerge w:val="continue"/>
            <w:noWrap w:val="0"/>
            <w:vAlign w:val="center"/>
          </w:tcPr>
          <w:p>
            <w:pPr>
              <w:pStyle w:val="73"/>
              <w:bidi w:val="0"/>
              <w:rPr>
                <w:rFonts w:hint="default" w:ascii="Times New Roman" w:hAnsi="Times New Roman" w:cs="Times New Roman"/>
                <w:lang w:eastAsia="zh-CN"/>
              </w:rPr>
            </w:pPr>
          </w:p>
        </w:tc>
        <w:tc>
          <w:tcPr>
            <w:tcW w:w="779" w:type="pct"/>
            <w:noWrap w:val="0"/>
            <w:vAlign w:val="center"/>
          </w:tcPr>
          <w:p>
            <w:pPr>
              <w:pStyle w:val="73"/>
              <w:bidi w:val="0"/>
              <w:rPr>
                <w:rFonts w:hint="default" w:ascii="Times New Roman" w:hAnsi="Times New Roman" w:cs="Times New Roman"/>
                <w:lang w:val="en-US"/>
              </w:rPr>
            </w:pPr>
            <w:r>
              <w:rPr>
                <w:rFonts w:hint="eastAsia" w:ascii="Times New Roman" w:cs="Times New Roman"/>
                <w:lang w:val="en-US" w:eastAsia="zh-CN"/>
              </w:rPr>
              <w:t>0.000131</w:t>
            </w:r>
          </w:p>
        </w:tc>
        <w:tc>
          <w:tcPr>
            <w:tcW w:w="626" w:type="pct"/>
            <w:noWrap w:val="0"/>
            <w:vAlign w:val="center"/>
          </w:tcPr>
          <w:p>
            <w:pPr>
              <w:pStyle w:val="73"/>
              <w:bidi w:val="0"/>
              <w:rPr>
                <w:rFonts w:hint="default" w:ascii="Times New Roman" w:hAnsi="Times New Roman" w:cs="Times New Roman"/>
              </w:rPr>
            </w:pPr>
            <w:r>
              <w:rPr>
                <w:rFonts w:hint="default" w:ascii="Times New Roman" w:hAnsi="Times New Roman" w:cs="Times New Roman"/>
              </w:rPr>
              <w:t>0.33</w:t>
            </w:r>
          </w:p>
        </w:tc>
        <w:tc>
          <w:tcPr>
            <w:tcW w:w="543" w:type="pct"/>
            <w:noWrap w:val="0"/>
            <w:vAlign w:val="center"/>
          </w:tcPr>
          <w:p>
            <w:pPr>
              <w:pStyle w:val="73"/>
              <w:bidi w:val="0"/>
              <w:rPr>
                <w:rFonts w:hint="default" w:ascii="Times New Roman" w:hAnsi="Times New Roman" w:cs="Times New Roman"/>
              </w:rPr>
            </w:pPr>
            <w:r>
              <w:rPr>
                <w:rFonts w:hint="default" w:ascii="Times New Roman" w:hAnsi="Times New Roman" w:cs="Times New Roman"/>
              </w:rPr>
              <w:t>达标</w:t>
            </w:r>
          </w:p>
        </w:tc>
      </w:tr>
    </w:tbl>
    <w:p>
      <w:pPr>
        <w:widowControl w:val="0"/>
        <w:suppressAutoHyphens/>
        <w:wordWrap w:val="0"/>
        <w:topLinePunct/>
        <w:ind w:firstLine="480"/>
        <w:jc w:val="both"/>
        <w:rPr>
          <w:color w:val="auto"/>
          <w:u w:val="none"/>
        </w:rPr>
      </w:pPr>
      <w:r>
        <w:rPr>
          <w:rFonts w:hint="eastAsia"/>
          <w:color w:val="auto"/>
          <w:u w:val="none"/>
        </w:rPr>
        <w:t>综上所述，项目的</w:t>
      </w:r>
      <w:r>
        <w:rPr>
          <w:rFonts w:hint="eastAsia"/>
          <w:color w:val="auto"/>
          <w:u w:val="none"/>
          <w:lang w:eastAsia="zh-CN"/>
        </w:rPr>
        <w:t>污泥脱水间</w:t>
      </w:r>
      <w:r>
        <w:rPr>
          <w:rFonts w:hint="eastAsia"/>
          <w:color w:val="auto"/>
          <w:u w:val="none"/>
        </w:rPr>
        <w:t>恶臭气体经活性炭吸附除臭系统处理后，排放筒中氨、硫化氢速率满足《恶臭污染物排放标准》（GB14554-93）二级标准要求。项目污泥脱水间臭气含水量较低，不会影响活性炭吸附效率，故活性炭除臭工艺可长期稳定运行，废气可达标排放。</w:t>
      </w:r>
    </w:p>
    <w:p>
      <w:pPr>
        <w:widowControl w:val="0"/>
        <w:suppressAutoHyphens/>
        <w:wordWrap w:val="0"/>
        <w:topLinePunct/>
        <w:ind w:firstLine="480"/>
        <w:jc w:val="both"/>
        <w:rPr>
          <w:color w:val="auto"/>
          <w:u w:val="none"/>
        </w:rPr>
      </w:pPr>
      <w:r>
        <w:rPr>
          <w:rFonts w:hint="eastAsia"/>
          <w:color w:val="auto"/>
          <w:u w:val="none"/>
        </w:rPr>
        <w:t>本环评要求建设单位定期</w:t>
      </w:r>
      <w:r>
        <w:rPr>
          <w:color w:val="auto"/>
          <w:u w:val="none"/>
        </w:rPr>
        <w:t>监测活性炭</w:t>
      </w:r>
      <w:r>
        <w:rPr>
          <w:rFonts w:hint="eastAsia"/>
          <w:color w:val="auto"/>
          <w:u w:val="none"/>
        </w:rPr>
        <w:t>装置</w:t>
      </w:r>
      <w:r>
        <w:rPr>
          <w:color w:val="auto"/>
          <w:u w:val="none"/>
        </w:rPr>
        <w:t>前后污染物浓度变化，</w:t>
      </w:r>
      <w:r>
        <w:rPr>
          <w:rFonts w:hint="eastAsia"/>
          <w:color w:val="auto"/>
          <w:u w:val="none"/>
        </w:rPr>
        <w:t>保证废气处理设施的臭气处理效率，若处理效率达不到9</w:t>
      </w:r>
      <w:r>
        <w:rPr>
          <w:color w:val="auto"/>
          <w:u w:val="none"/>
        </w:rPr>
        <w:t>0%</w:t>
      </w:r>
      <w:r>
        <w:rPr>
          <w:rFonts w:hint="eastAsia"/>
          <w:color w:val="auto"/>
          <w:u w:val="none"/>
        </w:rPr>
        <w:t>，则</w:t>
      </w:r>
      <w:r>
        <w:rPr>
          <w:color w:val="auto"/>
          <w:u w:val="none"/>
        </w:rPr>
        <w:t>活性炭应更换</w:t>
      </w:r>
      <w:r>
        <w:rPr>
          <w:rFonts w:hint="eastAsia"/>
          <w:color w:val="auto"/>
          <w:u w:val="none"/>
        </w:rPr>
        <w:t>。</w:t>
      </w:r>
    </w:p>
    <w:p>
      <w:pPr>
        <w:pStyle w:val="6"/>
        <w:bidi w:val="0"/>
      </w:pPr>
      <w:r>
        <w:rPr>
          <w:rFonts w:hint="eastAsia"/>
        </w:rPr>
        <w:t>5.2.</w:t>
      </w:r>
      <w:r>
        <w:rPr>
          <w:rFonts w:hint="eastAsia"/>
          <w:lang w:val="en-US" w:eastAsia="zh-CN"/>
        </w:rPr>
        <w:t>4</w:t>
      </w:r>
      <w:r>
        <w:rPr>
          <w:rFonts w:hint="eastAsia"/>
        </w:rPr>
        <w:t>噪声环境防治措施分析</w:t>
      </w:r>
    </w:p>
    <w:p>
      <w:pPr>
        <w:ind w:firstLine="480"/>
        <w:jc w:val="both"/>
        <w:rPr>
          <w:color w:val="000000"/>
        </w:rPr>
      </w:pPr>
      <w:r>
        <w:rPr>
          <w:color w:val="000000"/>
        </w:rPr>
        <w:t>污水处理工程主要噪声源为污水处理厂的设备噪声，包括污水泵、污泥泵、风机、污泥脱水机等，噪声污染防治主要可从噪声源、传播途径以及接受者三方面进行防护，采取如下措施：</w:t>
      </w:r>
    </w:p>
    <w:p>
      <w:pPr>
        <w:ind w:firstLine="480"/>
        <w:jc w:val="both"/>
        <w:rPr>
          <w:color w:val="000000"/>
          <w:kern w:val="0"/>
        </w:rPr>
      </w:pPr>
      <w:r>
        <w:rPr>
          <w:color w:val="000000"/>
          <w:kern w:val="0"/>
        </w:rPr>
        <w:t>（1）尽量选用低噪声设备，大型设备均安装减震座垫。</w:t>
      </w:r>
    </w:p>
    <w:p>
      <w:pPr>
        <w:ind w:firstLine="480"/>
        <w:jc w:val="both"/>
        <w:rPr>
          <w:color w:val="000000"/>
          <w:kern w:val="0"/>
        </w:rPr>
      </w:pPr>
      <w:r>
        <w:rPr>
          <w:color w:val="000000"/>
          <w:kern w:val="0"/>
        </w:rPr>
        <w:t>（2）采用</w:t>
      </w:r>
      <w:r>
        <w:rPr>
          <w:rFonts w:hint="eastAsia"/>
          <w:color w:val="000000"/>
          <w:kern w:val="0"/>
        </w:rPr>
        <w:t>“</w:t>
      </w:r>
      <w:r>
        <w:rPr>
          <w:color w:val="000000"/>
          <w:kern w:val="0"/>
        </w:rPr>
        <w:t>闹静分开</w:t>
      </w:r>
      <w:r>
        <w:rPr>
          <w:rFonts w:hint="eastAsia"/>
          <w:color w:val="000000"/>
          <w:kern w:val="0"/>
        </w:rPr>
        <w:t>”</w:t>
      </w:r>
      <w:r>
        <w:rPr>
          <w:color w:val="000000"/>
          <w:kern w:val="0"/>
        </w:rPr>
        <w:t>和</w:t>
      </w:r>
      <w:r>
        <w:rPr>
          <w:rFonts w:hint="eastAsia"/>
          <w:color w:val="000000"/>
          <w:kern w:val="0"/>
        </w:rPr>
        <w:t>“</w:t>
      </w:r>
      <w:r>
        <w:rPr>
          <w:color w:val="000000"/>
          <w:kern w:val="0"/>
        </w:rPr>
        <w:t>合理布局</w:t>
      </w:r>
      <w:r>
        <w:rPr>
          <w:rFonts w:hint="eastAsia"/>
          <w:color w:val="000000"/>
          <w:kern w:val="0"/>
        </w:rPr>
        <w:t>”</w:t>
      </w:r>
      <w:r>
        <w:rPr>
          <w:color w:val="000000"/>
          <w:kern w:val="0"/>
        </w:rPr>
        <w:t>的设计原则，使高噪声设备尽可能远离噪声敏感区</w:t>
      </w:r>
      <w:r>
        <w:rPr>
          <w:rFonts w:hint="eastAsia"/>
          <w:color w:val="000000"/>
          <w:kern w:val="0"/>
        </w:rPr>
        <w:t>（</w:t>
      </w:r>
      <w:r>
        <w:rPr>
          <w:rFonts w:hint="eastAsia"/>
          <w:color w:val="000000"/>
          <w:kern w:val="0"/>
          <w:lang w:eastAsia="zh-CN"/>
        </w:rPr>
        <w:t>西北</w:t>
      </w:r>
      <w:r>
        <w:rPr>
          <w:rFonts w:hint="eastAsia"/>
          <w:color w:val="000000"/>
          <w:kern w:val="0"/>
        </w:rPr>
        <w:t>侧</w:t>
      </w:r>
      <w:r>
        <w:rPr>
          <w:rFonts w:hint="eastAsia"/>
          <w:color w:val="000000"/>
          <w:kern w:val="0"/>
          <w:lang w:eastAsia="zh-CN"/>
        </w:rPr>
        <w:t>公租房</w:t>
      </w:r>
      <w:r>
        <w:rPr>
          <w:rFonts w:hint="eastAsia"/>
          <w:color w:val="000000"/>
          <w:kern w:val="0"/>
        </w:rPr>
        <w:t>居民点）</w:t>
      </w:r>
      <w:r>
        <w:rPr>
          <w:color w:val="000000"/>
          <w:kern w:val="0"/>
        </w:rPr>
        <w:t>。把车间的噪声影响限制在厂区范围内，降低噪声对外界的影响，确保厂界噪声符合标准要求。</w:t>
      </w:r>
    </w:p>
    <w:p>
      <w:pPr>
        <w:ind w:firstLine="480"/>
        <w:jc w:val="both"/>
        <w:rPr>
          <w:color w:val="auto"/>
          <w:kern w:val="0"/>
          <w:u w:val="none"/>
        </w:rPr>
      </w:pPr>
      <w:r>
        <w:rPr>
          <w:color w:val="auto"/>
          <w:kern w:val="0"/>
          <w:u w:val="none"/>
        </w:rPr>
        <w:t>（3）鼓风机房采取减振、隔音、地下廊道式送风等措施。</w:t>
      </w:r>
    </w:p>
    <w:p>
      <w:pPr>
        <w:ind w:firstLine="480"/>
        <w:jc w:val="both"/>
        <w:rPr>
          <w:color w:val="auto"/>
          <w:kern w:val="0"/>
          <w:u w:val="none"/>
        </w:rPr>
      </w:pPr>
      <w:r>
        <w:rPr>
          <w:color w:val="auto"/>
          <w:kern w:val="0"/>
          <w:u w:val="none"/>
        </w:rPr>
        <w:t>（4）风机的进、出气口设阻抗复合式消声器。风机安装减振底座，管道、阀门接口采用缓动及减振的挠性接头（口）。挠性接头（口）可有效地阻断噪音并防止震动的传播。</w:t>
      </w:r>
    </w:p>
    <w:p>
      <w:pPr>
        <w:ind w:firstLine="480"/>
        <w:jc w:val="both"/>
        <w:rPr>
          <w:color w:val="auto"/>
          <w:kern w:val="0"/>
          <w:u w:val="none"/>
        </w:rPr>
      </w:pPr>
      <w:r>
        <w:rPr>
          <w:color w:val="auto"/>
          <w:kern w:val="0"/>
          <w:u w:val="none"/>
        </w:rPr>
        <w:t>（5）鼓风机房噪声较大，为保护操作人员，应设置隔声操作室。</w:t>
      </w:r>
    </w:p>
    <w:p>
      <w:pPr>
        <w:ind w:firstLine="480"/>
        <w:rPr>
          <w:color w:val="auto"/>
          <w:kern w:val="0"/>
          <w:u w:val="none"/>
        </w:rPr>
      </w:pPr>
      <w:r>
        <w:rPr>
          <w:color w:val="auto"/>
          <w:kern w:val="0"/>
          <w:u w:val="none"/>
        </w:rPr>
        <w:t>（6）在厂界周围种植绿化树种，增减噪声衰减量。</w:t>
      </w:r>
    </w:p>
    <w:p>
      <w:pPr>
        <w:pStyle w:val="6"/>
        <w:bidi w:val="0"/>
      </w:pPr>
      <w:r>
        <w:rPr>
          <w:rFonts w:hint="eastAsia"/>
        </w:rPr>
        <w:t>5.2.</w:t>
      </w:r>
      <w:r>
        <w:rPr>
          <w:rFonts w:hint="eastAsia"/>
          <w:lang w:val="en-US" w:eastAsia="zh-CN"/>
        </w:rPr>
        <w:t>5</w:t>
      </w:r>
      <w:r>
        <w:rPr>
          <w:rFonts w:hint="eastAsia"/>
        </w:rPr>
        <w:t>固体废物处置措施分析</w:t>
      </w:r>
    </w:p>
    <w:p>
      <w:pPr>
        <w:pStyle w:val="3"/>
        <w:ind w:left="0" w:firstLine="420"/>
        <w:jc w:val="both"/>
        <w:rPr>
          <w:rFonts w:hint="eastAsia" w:ascii="Times New Roman" w:hAnsi="Times New Roman" w:cs="Times New Roman"/>
          <w:color w:val="auto"/>
          <w:u w:val="none"/>
          <w:lang w:eastAsia="zh-CN"/>
        </w:rPr>
      </w:pPr>
      <w:r>
        <w:rPr>
          <w:rFonts w:ascii="Times New Roman" w:hAnsi="Times New Roman"/>
          <w:color w:val="auto"/>
          <w:u w:val="none"/>
          <w:lang w:eastAsia="zh-CN"/>
        </w:rPr>
        <w:t>污水处理厂工程运行过程中产生的固体废弃物主要为格栅拦截渣、沉砂池沉砂</w:t>
      </w:r>
      <w:r>
        <w:rPr>
          <w:rFonts w:hint="eastAsia" w:ascii="Times New Roman" w:hAnsi="Times New Roman"/>
          <w:color w:val="auto"/>
          <w:u w:val="none"/>
          <w:lang w:eastAsia="zh-CN"/>
        </w:rPr>
        <w:t>、</w:t>
      </w:r>
      <w:r>
        <w:rPr>
          <w:rFonts w:ascii="Times New Roman" w:hAnsi="Times New Roman"/>
          <w:color w:val="auto"/>
          <w:u w:val="none"/>
          <w:lang w:eastAsia="zh-CN"/>
        </w:rPr>
        <w:t>生化处理产生的剩余污泥</w:t>
      </w:r>
      <w:r>
        <w:rPr>
          <w:rFonts w:hint="eastAsia" w:ascii="Times New Roman" w:hAnsi="Times New Roman"/>
          <w:color w:val="auto"/>
          <w:u w:val="none"/>
          <w:lang w:eastAsia="zh-CN"/>
        </w:rPr>
        <w:t>、</w:t>
      </w:r>
      <w:r>
        <w:rPr>
          <w:rFonts w:hint="eastAsia" w:ascii="Times New Roman" w:hAnsi="Times New Roman" w:cs="Times New Roman"/>
          <w:color w:val="auto"/>
          <w:u w:val="none"/>
          <w:lang w:eastAsia="zh-CN"/>
        </w:rPr>
        <w:t>员工生活垃圾、</w:t>
      </w:r>
      <w:r>
        <w:rPr>
          <w:rFonts w:hint="eastAsia" w:ascii="Times New Roman" w:hAnsi="Times New Roman"/>
          <w:color w:val="auto"/>
          <w:u w:val="none"/>
          <w:lang w:eastAsia="zh-CN"/>
        </w:rPr>
        <w:t>消毒产生少量废弃紫外灯管及废气处理产生的废活性炭。</w:t>
      </w:r>
    </w:p>
    <w:p>
      <w:pPr>
        <w:ind w:firstLine="480"/>
        <w:jc w:val="both"/>
        <w:rPr>
          <w:rFonts w:hint="eastAsia"/>
          <w:color w:val="auto"/>
          <w:kern w:val="0"/>
          <w:u w:val="none"/>
        </w:rPr>
      </w:pPr>
      <w:r>
        <w:rPr>
          <w:rFonts w:hint="eastAsia"/>
          <w:color w:val="auto"/>
          <w:kern w:val="0"/>
          <w:u w:val="none"/>
        </w:rPr>
        <w:t>（1）格栅渣以及</w:t>
      </w:r>
      <w:r>
        <w:rPr>
          <w:color w:val="auto"/>
          <w:kern w:val="0"/>
          <w:u w:val="none"/>
        </w:rPr>
        <w:t>沉砂池沉砂</w:t>
      </w:r>
      <w:r>
        <w:rPr>
          <w:rFonts w:hint="eastAsia"/>
          <w:color w:val="auto"/>
          <w:kern w:val="0"/>
          <w:u w:val="none"/>
        </w:rPr>
        <w:t>固体废物处置措施</w:t>
      </w:r>
    </w:p>
    <w:p>
      <w:pPr>
        <w:ind w:firstLine="480"/>
        <w:jc w:val="both"/>
        <w:rPr>
          <w:rFonts w:hint="eastAsia"/>
          <w:color w:val="auto"/>
          <w:kern w:val="0"/>
          <w:u w:val="none"/>
        </w:rPr>
      </w:pPr>
      <w:r>
        <w:rPr>
          <w:color w:val="auto"/>
          <w:kern w:val="0"/>
          <w:u w:val="none"/>
        </w:rPr>
        <w:t>格栅渣成分主要为玻璃、塑料等垃圾，沉砂池沉砂主要的不溶性泥砂以无机物固体颗粒物为主，格栅渣与沉砂池中的沉渣存放于垃圾车内，定期外运至</w:t>
      </w:r>
      <w:r>
        <w:rPr>
          <w:rFonts w:hint="eastAsia"/>
          <w:color w:val="auto"/>
          <w:kern w:val="0"/>
          <w:u w:val="none"/>
          <w:lang w:eastAsia="zh-CN"/>
        </w:rPr>
        <w:t>永顺县</w:t>
      </w:r>
      <w:r>
        <w:rPr>
          <w:rFonts w:hint="eastAsia"/>
          <w:color w:val="auto"/>
          <w:kern w:val="0"/>
          <w:u w:val="none"/>
        </w:rPr>
        <w:t>生活垃圾填埋场填埋，运输车辆要求为全封闭车辆，不得污染道路对环境造成影响，在进行上述处理措施后基本不会对外环境造成影响。</w:t>
      </w:r>
    </w:p>
    <w:p>
      <w:pPr>
        <w:ind w:firstLine="480"/>
        <w:jc w:val="both"/>
        <w:rPr>
          <w:rFonts w:hint="eastAsia"/>
          <w:color w:val="auto"/>
          <w:kern w:val="0"/>
          <w:u w:val="none"/>
        </w:rPr>
      </w:pPr>
      <w:r>
        <w:rPr>
          <w:rFonts w:hint="eastAsia"/>
          <w:color w:val="auto"/>
          <w:kern w:val="0"/>
          <w:u w:val="none"/>
        </w:rPr>
        <w:t>（2）生化污泥处理措施</w:t>
      </w:r>
    </w:p>
    <w:p>
      <w:pPr>
        <w:ind w:firstLine="480"/>
        <w:jc w:val="both"/>
        <w:rPr>
          <w:rFonts w:hint="eastAsia"/>
          <w:color w:val="auto"/>
          <w:kern w:val="0"/>
          <w:u w:val="none"/>
        </w:rPr>
      </w:pPr>
      <w:r>
        <w:rPr>
          <w:rFonts w:hint="eastAsia"/>
          <w:color w:val="auto"/>
          <w:kern w:val="0"/>
          <w:u w:val="none"/>
        </w:rPr>
        <w:t>项目运营后生化处理系统剩余污泥采用</w:t>
      </w:r>
      <w:r>
        <w:rPr>
          <w:rFonts w:hint="eastAsia"/>
          <w:color w:val="auto"/>
          <w:kern w:val="0"/>
          <w:u w:val="none"/>
          <w:lang w:eastAsia="zh-CN"/>
        </w:rPr>
        <w:t>叠螺式污泥脱水机</w:t>
      </w:r>
      <w:r>
        <w:rPr>
          <w:rFonts w:hint="eastAsia"/>
          <w:color w:val="auto"/>
          <w:kern w:val="0"/>
          <w:u w:val="none"/>
        </w:rPr>
        <w:t>对其进行脱水处理，脱水后的污泥首先应按照《危险废物鉴别标准浸出毒性鉴别》（GB5085.3-2007）进行浸出实验，确认污泥性质，如属于危险废物，运营单位应按照危险废物要求进行管理，并委托具有相应资质单位进行安全处置；如鉴别属于一般固废，则可同格栅渣以及沉</w:t>
      </w:r>
      <w:r>
        <w:rPr>
          <w:color w:val="auto"/>
          <w:kern w:val="0"/>
          <w:u w:val="none"/>
        </w:rPr>
        <w:t>池沉砂</w:t>
      </w:r>
      <w:r>
        <w:rPr>
          <w:rFonts w:hint="eastAsia"/>
          <w:color w:val="auto"/>
          <w:kern w:val="0"/>
          <w:u w:val="none"/>
        </w:rPr>
        <w:t>固体废物</w:t>
      </w:r>
      <w:r>
        <w:rPr>
          <w:color w:val="auto"/>
          <w:kern w:val="0"/>
          <w:u w:val="none"/>
        </w:rPr>
        <w:t>外运至</w:t>
      </w:r>
      <w:r>
        <w:rPr>
          <w:rFonts w:hint="eastAsia"/>
          <w:color w:val="auto"/>
          <w:kern w:val="0"/>
          <w:u w:val="none"/>
          <w:lang w:eastAsia="zh-CN"/>
        </w:rPr>
        <w:t>永顺县</w:t>
      </w:r>
      <w:r>
        <w:rPr>
          <w:rFonts w:hint="eastAsia"/>
          <w:color w:val="auto"/>
          <w:kern w:val="0"/>
          <w:u w:val="none"/>
        </w:rPr>
        <w:t>生活垃圾填埋场填埋。</w:t>
      </w:r>
    </w:p>
    <w:p>
      <w:pPr>
        <w:ind w:firstLine="480"/>
        <w:jc w:val="both"/>
        <w:rPr>
          <w:rFonts w:hint="eastAsia"/>
          <w:color w:val="auto"/>
          <w:kern w:val="0"/>
          <w:u w:val="none"/>
        </w:rPr>
      </w:pPr>
      <w:r>
        <w:rPr>
          <w:rFonts w:hint="eastAsia"/>
          <w:color w:val="auto"/>
          <w:kern w:val="0"/>
          <w:u w:val="none"/>
        </w:rPr>
        <w:t>针对生化污泥中可能产生的危险废物，本环评要求运营后项目需提前设立危险废物暂存间，对危险废物无害化处理前进行暂存处理，危险废物暂存间设置要求如下：</w:t>
      </w:r>
    </w:p>
    <w:p>
      <w:pPr>
        <w:ind w:firstLine="480"/>
        <w:jc w:val="both"/>
        <w:rPr>
          <w:rFonts w:hint="eastAsia"/>
          <w:color w:val="auto"/>
          <w:kern w:val="0"/>
          <w:u w:val="none"/>
        </w:rPr>
      </w:pPr>
      <w:r>
        <w:rPr>
          <w:rFonts w:hint="eastAsia"/>
          <w:color w:val="auto"/>
          <w:kern w:val="0"/>
          <w:u w:val="none"/>
        </w:rPr>
        <w:t>①地面与裙脚要用坚固、防渗的材料建筑，建筑材料必须与危险废物相容。</w:t>
      </w:r>
    </w:p>
    <w:p>
      <w:pPr>
        <w:ind w:firstLine="480"/>
        <w:jc w:val="both"/>
        <w:rPr>
          <w:rFonts w:hint="eastAsia"/>
          <w:color w:val="auto"/>
          <w:kern w:val="0"/>
          <w:u w:val="none"/>
        </w:rPr>
      </w:pPr>
      <w:r>
        <w:rPr>
          <w:rFonts w:hint="eastAsia"/>
          <w:color w:val="auto"/>
          <w:kern w:val="0"/>
          <w:u w:val="none"/>
        </w:rPr>
        <w:t>②设施内要有安全照明设施和观察窗口。</w:t>
      </w:r>
    </w:p>
    <w:p>
      <w:pPr>
        <w:ind w:firstLine="480"/>
        <w:jc w:val="both"/>
        <w:rPr>
          <w:rFonts w:hint="eastAsia"/>
          <w:color w:val="auto"/>
          <w:kern w:val="0"/>
          <w:u w:val="none"/>
        </w:rPr>
      </w:pPr>
      <w:r>
        <w:rPr>
          <w:rFonts w:hint="eastAsia"/>
          <w:color w:val="auto"/>
          <w:kern w:val="0"/>
          <w:u w:val="none"/>
        </w:rPr>
        <w:t>③不相容的危险废物必须分开存放，并设有隔离间隔断</w:t>
      </w:r>
    </w:p>
    <w:p>
      <w:pPr>
        <w:ind w:firstLine="480"/>
        <w:jc w:val="both"/>
        <w:rPr>
          <w:rFonts w:hint="eastAsia"/>
          <w:color w:val="auto"/>
          <w:kern w:val="0"/>
          <w:u w:val="none"/>
        </w:rPr>
      </w:pPr>
      <w:r>
        <w:rPr>
          <w:rFonts w:hint="eastAsia"/>
          <w:color w:val="auto"/>
          <w:kern w:val="0"/>
          <w:u w:val="none"/>
        </w:rPr>
        <w:t>④基础必须防渗，防渗层为至少1m厚粘土层（渗透系数≤10</w:t>
      </w:r>
      <w:r>
        <w:rPr>
          <w:rFonts w:hint="eastAsia"/>
          <w:color w:val="auto"/>
          <w:kern w:val="0"/>
          <w:u w:val="none"/>
          <w:vertAlign w:val="superscript"/>
        </w:rPr>
        <w:t>-7</w:t>
      </w:r>
      <w:r>
        <w:rPr>
          <w:rFonts w:hint="eastAsia"/>
          <w:color w:val="auto"/>
          <w:kern w:val="0"/>
          <w:u w:val="none"/>
        </w:rPr>
        <w:t>cm/s），或2mm厚高密度聚乙烯，或至少2mm的其他人工材料，渗透系数≤10</w:t>
      </w:r>
      <w:r>
        <w:rPr>
          <w:rFonts w:hint="eastAsia"/>
          <w:color w:val="auto"/>
          <w:kern w:val="0"/>
          <w:u w:val="none"/>
          <w:vertAlign w:val="superscript"/>
        </w:rPr>
        <w:t>-10</w:t>
      </w:r>
      <w:r>
        <w:rPr>
          <w:rFonts w:hint="eastAsia"/>
          <w:color w:val="auto"/>
          <w:kern w:val="0"/>
          <w:u w:val="none"/>
        </w:rPr>
        <w:t>cm/s。</w:t>
      </w:r>
    </w:p>
    <w:p>
      <w:pPr>
        <w:ind w:firstLine="480"/>
        <w:jc w:val="both"/>
        <w:rPr>
          <w:rFonts w:hint="eastAsia"/>
          <w:color w:val="auto"/>
          <w:kern w:val="0"/>
          <w:u w:val="none"/>
        </w:rPr>
      </w:pPr>
      <w:r>
        <w:rPr>
          <w:rFonts w:hint="eastAsia"/>
          <w:color w:val="auto"/>
          <w:kern w:val="0"/>
          <w:u w:val="none"/>
        </w:rPr>
        <w:t>⑤堆放危险废物的高度应根据地面承载力确定</w:t>
      </w:r>
    </w:p>
    <w:p>
      <w:pPr>
        <w:ind w:firstLine="480"/>
        <w:jc w:val="both"/>
        <w:rPr>
          <w:rFonts w:hint="eastAsia"/>
          <w:color w:val="auto"/>
          <w:kern w:val="0"/>
          <w:u w:val="none"/>
        </w:rPr>
      </w:pPr>
      <w:r>
        <w:rPr>
          <w:rFonts w:hint="eastAsia"/>
          <w:color w:val="auto"/>
          <w:kern w:val="0"/>
          <w:u w:val="none"/>
        </w:rPr>
        <w:t>⑥危险废物贮存必须按GB15562.2的规定设置警示标志。</w:t>
      </w:r>
    </w:p>
    <w:p>
      <w:pPr>
        <w:ind w:firstLine="480"/>
        <w:jc w:val="both"/>
        <w:rPr>
          <w:rFonts w:hint="eastAsia"/>
          <w:color w:val="auto"/>
          <w:kern w:val="0"/>
          <w:u w:val="none"/>
        </w:rPr>
      </w:pPr>
      <w:r>
        <w:rPr>
          <w:rFonts w:hint="eastAsia"/>
          <w:color w:val="auto"/>
          <w:kern w:val="0"/>
          <w:u w:val="none"/>
        </w:rPr>
        <w:t>⑦危险废物贮存设施周围应设置围墙或其他防护栅。</w:t>
      </w:r>
    </w:p>
    <w:p>
      <w:pPr>
        <w:ind w:firstLine="480"/>
        <w:jc w:val="both"/>
        <w:rPr>
          <w:rFonts w:hint="eastAsia"/>
          <w:color w:val="auto"/>
          <w:kern w:val="0"/>
          <w:u w:val="none"/>
        </w:rPr>
      </w:pPr>
      <w:r>
        <w:rPr>
          <w:rFonts w:hint="eastAsia"/>
          <w:color w:val="auto"/>
          <w:kern w:val="0"/>
          <w:u w:val="none"/>
        </w:rPr>
        <w:t>⑧设漏液、清洗液、浸出液碧玺符合GB8978的要求排放，气体导出口排出的气体经处理后满足GB16297和GB14554的要求。</w:t>
      </w:r>
    </w:p>
    <w:p>
      <w:pPr>
        <w:ind w:firstLine="480"/>
        <w:jc w:val="both"/>
        <w:rPr>
          <w:color w:val="auto"/>
          <w:kern w:val="0"/>
          <w:u w:val="none"/>
        </w:rPr>
      </w:pPr>
      <w:r>
        <w:rPr>
          <w:rFonts w:hint="eastAsia"/>
          <w:color w:val="auto"/>
          <w:kern w:val="0"/>
          <w:u w:val="none"/>
        </w:rPr>
        <w:t>运营期后运营方在具体建设暂存间时，需严格按照《危险废物贮存污染控制标准》（GB18579-2001）及2013年修改单中危险废物贮存设施选址与设计原则对其进行设计，危险废物的堆放、贮存设施的运行和管理以及安全防护与监测需达到《危险废物贮存污染控制标准》（GB18579-2001）及2013年修改单中的相关要求，确保危险废物在进行无害化处理前不会对区域外环境以及周边敏感目标造成不良环境影响。</w:t>
      </w:r>
    </w:p>
    <w:p>
      <w:pPr>
        <w:ind w:firstLine="480"/>
        <w:jc w:val="both"/>
        <w:rPr>
          <w:rFonts w:hint="eastAsia"/>
          <w:color w:val="auto"/>
          <w:kern w:val="0"/>
          <w:szCs w:val="22"/>
          <w:u w:val="none"/>
        </w:rPr>
      </w:pPr>
      <w:r>
        <w:rPr>
          <w:rFonts w:hint="eastAsia"/>
          <w:color w:val="auto"/>
          <w:kern w:val="0"/>
          <w:szCs w:val="22"/>
          <w:u w:val="none"/>
        </w:rPr>
        <w:t>上述处理方法可满足污泥处理要求，处理处置措施可行。</w:t>
      </w:r>
    </w:p>
    <w:p>
      <w:pPr>
        <w:ind w:firstLine="480"/>
        <w:jc w:val="both"/>
        <w:rPr>
          <w:rFonts w:hint="eastAsia"/>
          <w:color w:val="auto"/>
          <w:kern w:val="0"/>
          <w:u w:val="none"/>
        </w:rPr>
      </w:pPr>
      <w:r>
        <w:rPr>
          <w:rFonts w:hint="eastAsia"/>
          <w:color w:val="auto"/>
          <w:kern w:val="0"/>
          <w:u w:val="none"/>
        </w:rPr>
        <w:t>（3）废弃紫外灯管处理措施</w:t>
      </w:r>
    </w:p>
    <w:p>
      <w:pPr>
        <w:ind w:firstLine="480"/>
        <w:jc w:val="both"/>
        <w:rPr>
          <w:rFonts w:hint="eastAsia"/>
          <w:color w:val="auto"/>
          <w:kern w:val="0"/>
          <w:u w:val="none"/>
        </w:rPr>
      </w:pPr>
      <w:r>
        <w:rPr>
          <w:rFonts w:hint="eastAsia"/>
          <w:color w:val="auto"/>
          <w:kern w:val="0"/>
          <w:u w:val="none"/>
        </w:rPr>
        <w:t>本项目运营期紫外消毒工艺会产生少量废弃紫外灯管，根据《国家危险废物名录》，废弃灯管属于名录中HW29含汞废物</w:t>
      </w:r>
      <w:r>
        <w:rPr>
          <w:rFonts w:hint="eastAsia"/>
          <w:color w:val="auto"/>
          <w:kern w:val="0"/>
          <w:u w:val="none"/>
          <w:lang w:eastAsia="zh-CN"/>
        </w:rPr>
        <w:t>“</w:t>
      </w:r>
      <w:r>
        <w:rPr>
          <w:rFonts w:hint="eastAsia"/>
          <w:color w:val="auto"/>
          <w:kern w:val="0"/>
          <w:u w:val="none"/>
          <w:lang w:val="en-US" w:eastAsia="zh-CN"/>
        </w:rPr>
        <w:t>900-023-29生产销售及使用过程中废含汞荧光灯管及其他含汞电光源</w:t>
      </w:r>
      <w:r>
        <w:rPr>
          <w:rFonts w:hint="eastAsia"/>
          <w:color w:val="auto"/>
          <w:kern w:val="0"/>
          <w:u w:val="none"/>
          <w:lang w:eastAsia="zh-CN"/>
        </w:rPr>
        <w:t>”</w:t>
      </w:r>
      <w:r>
        <w:rPr>
          <w:rFonts w:hint="eastAsia"/>
          <w:color w:val="auto"/>
          <w:kern w:val="0"/>
          <w:u w:val="none"/>
        </w:rPr>
        <w:t>，属于危险废物，</w:t>
      </w:r>
      <w:r>
        <w:rPr>
          <w:rFonts w:hint="eastAsia"/>
          <w:color w:val="auto"/>
          <w:kern w:val="0"/>
          <w:u w:val="none"/>
          <w:lang w:eastAsia="zh-CN"/>
        </w:rPr>
        <w:t>废紫外灯光由厂家定期更换回收，不再场内暂存</w:t>
      </w:r>
      <w:r>
        <w:rPr>
          <w:rFonts w:hint="eastAsia"/>
          <w:color w:val="auto"/>
          <w:kern w:val="0"/>
          <w:u w:val="none"/>
        </w:rPr>
        <w:t>。</w:t>
      </w:r>
    </w:p>
    <w:p>
      <w:pPr>
        <w:pStyle w:val="3"/>
        <w:wordWrap w:val="0"/>
        <w:ind w:left="0" w:firstLine="480" w:firstLineChars="200"/>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4</w:t>
      </w:r>
      <w:r>
        <w:rPr>
          <w:rFonts w:hint="eastAsia" w:ascii="Times New Roman" w:hAnsi="Times New Roman" w:cs="Times New Roman"/>
          <w:color w:val="auto"/>
          <w:u w:val="none"/>
          <w:lang w:eastAsia="zh-CN"/>
        </w:rPr>
        <w:t>）员工生活固废</w:t>
      </w:r>
    </w:p>
    <w:p>
      <w:pPr>
        <w:pStyle w:val="3"/>
        <w:wordWrap w:val="0"/>
        <w:ind w:left="0" w:firstLine="600" w:firstLineChars="250"/>
        <w:jc w:val="both"/>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本项目运营期员工生活垃圾产生量较小，在厂区内设立垃圾收集桶后，圾统一由环卫部门统一处理，基本不会对外环境造成影响。</w:t>
      </w:r>
    </w:p>
    <w:p>
      <w:pPr>
        <w:pStyle w:val="3"/>
        <w:ind w:left="0" w:firstLine="420"/>
        <w:jc w:val="both"/>
        <w:rPr>
          <w:rFonts w:ascii="Times New Roman" w:hAnsi="Times New Roman" w:cs="Times New Roman"/>
          <w:color w:val="auto"/>
          <w:u w:val="none"/>
          <w:lang w:eastAsia="zh-CN"/>
        </w:rPr>
      </w:pPr>
      <w:r>
        <w:rPr>
          <w:rFonts w:hint="eastAsia" w:ascii="Times New Roman" w:hAnsi="Times New Roman" w:cs="Times New Roman"/>
          <w:color w:val="auto"/>
          <w:u w:val="none"/>
          <w:lang w:eastAsia="zh-CN"/>
        </w:rPr>
        <w:t>（</w:t>
      </w:r>
      <w:r>
        <w:rPr>
          <w:rFonts w:ascii="Times New Roman" w:hAnsi="Times New Roman" w:cs="Times New Roman"/>
          <w:color w:val="auto"/>
          <w:u w:val="none"/>
          <w:lang w:eastAsia="zh-CN"/>
        </w:rPr>
        <w:t>5</w:t>
      </w:r>
      <w:r>
        <w:rPr>
          <w:rFonts w:hint="eastAsia" w:ascii="Times New Roman" w:hAnsi="Times New Roman" w:cs="Times New Roman"/>
          <w:color w:val="auto"/>
          <w:u w:val="none"/>
          <w:lang w:eastAsia="zh-CN"/>
        </w:rPr>
        <w:t>）废活性炭</w:t>
      </w:r>
    </w:p>
    <w:p>
      <w:pPr>
        <w:ind w:firstLine="480"/>
        <w:jc w:val="both"/>
        <w:rPr>
          <w:rFonts w:hint="eastAsia"/>
          <w:color w:val="auto"/>
          <w:kern w:val="0"/>
          <w:u w:val="none"/>
        </w:rPr>
      </w:pPr>
      <w:r>
        <w:rPr>
          <w:rFonts w:hint="eastAsia"/>
          <w:color w:val="auto"/>
          <w:kern w:val="0"/>
          <w:u w:val="none"/>
        </w:rPr>
        <w:t>本项目运营期臭气处理工艺将会定期更换活性炭吸附系统的活性炭，会产生少量废活性炭，根据《国家危险废物名录》，废活性炭属于名录中</w:t>
      </w:r>
      <w:r>
        <w:rPr>
          <w:color w:val="auto"/>
          <w:szCs w:val="21"/>
          <w:u w:val="none"/>
        </w:rPr>
        <w:t>HW49</w:t>
      </w:r>
      <w:r>
        <w:rPr>
          <w:rFonts w:hint="eastAsia"/>
          <w:color w:val="auto"/>
          <w:szCs w:val="21"/>
          <w:u w:val="none"/>
          <w:lang w:eastAsia="zh-CN"/>
        </w:rPr>
        <w:t>其他废物中“</w:t>
      </w:r>
      <w:r>
        <w:rPr>
          <w:rFonts w:hint="eastAsia"/>
          <w:color w:val="auto"/>
          <w:szCs w:val="21"/>
          <w:u w:val="none"/>
          <w:lang w:val="en-US" w:eastAsia="zh-CN"/>
        </w:rPr>
        <w:t>900-039-49烟气治理过程中产生的废活性炭</w:t>
      </w:r>
      <w:r>
        <w:rPr>
          <w:rFonts w:hint="eastAsia"/>
          <w:color w:val="auto"/>
          <w:szCs w:val="21"/>
          <w:u w:val="none"/>
          <w:lang w:eastAsia="zh-CN"/>
        </w:rPr>
        <w:t>”</w:t>
      </w:r>
      <w:r>
        <w:rPr>
          <w:rFonts w:hint="eastAsia"/>
          <w:color w:val="auto"/>
          <w:kern w:val="0"/>
          <w:u w:val="none"/>
        </w:rPr>
        <w:t>，废活性炭属于危险废物，</w:t>
      </w:r>
      <w:r>
        <w:rPr>
          <w:rFonts w:hint="eastAsia"/>
          <w:color w:val="auto"/>
          <w:kern w:val="0"/>
          <w:u w:val="none"/>
          <w:lang w:eastAsia="zh-CN"/>
        </w:rPr>
        <w:t>由厂家定期更换回收，不再场内暂存</w:t>
      </w:r>
      <w:r>
        <w:rPr>
          <w:rFonts w:hint="eastAsia"/>
          <w:color w:val="auto"/>
          <w:kern w:val="0"/>
          <w:u w:val="none"/>
        </w:rPr>
        <w:t>。</w:t>
      </w:r>
    </w:p>
    <w:p>
      <w:pPr>
        <w:pStyle w:val="6"/>
        <w:bidi w:val="0"/>
      </w:pPr>
      <w:r>
        <w:rPr>
          <w:rFonts w:hint="eastAsia"/>
        </w:rPr>
        <w:t>5.2.</w:t>
      </w:r>
      <w:r>
        <w:rPr>
          <w:rFonts w:hint="eastAsia"/>
          <w:lang w:val="en-US" w:eastAsia="zh-CN"/>
        </w:rPr>
        <w:t>6</w:t>
      </w:r>
      <w:r>
        <w:t>土壤污染防治措施</w:t>
      </w:r>
    </w:p>
    <w:p>
      <w:pPr>
        <w:ind w:firstLine="480"/>
        <w:jc w:val="both"/>
        <w:rPr>
          <w:rFonts w:hint="eastAsia"/>
          <w:color w:val="auto"/>
          <w:u w:val="none"/>
        </w:rPr>
      </w:pPr>
      <w:r>
        <w:rPr>
          <w:rFonts w:hint="eastAsia"/>
          <w:color w:val="auto"/>
          <w:u w:val="none"/>
        </w:rPr>
        <w:t>建设项目施工期对土壤环境影响主要包括废水污染物以及固废污染物对土壤环境的影响。建设项目运营期对土壤环境影响主要包括废气污染物、废水污染物以及固废污染物对土壤环境的影响。</w:t>
      </w:r>
    </w:p>
    <w:p>
      <w:pPr>
        <w:ind w:firstLine="480"/>
        <w:jc w:val="both"/>
        <w:rPr>
          <w:color w:val="auto"/>
          <w:u w:val="none"/>
        </w:rPr>
      </w:pPr>
      <w:r>
        <w:rPr>
          <w:rFonts w:hint="eastAsia"/>
          <w:color w:val="auto"/>
          <w:u w:val="none"/>
        </w:rPr>
        <w:t>本环评要求建设单位采取以下措施：</w:t>
      </w:r>
    </w:p>
    <w:p>
      <w:pPr>
        <w:ind w:firstLine="480"/>
        <w:jc w:val="both"/>
        <w:rPr>
          <w:rFonts w:hint="eastAsia"/>
          <w:color w:val="auto"/>
          <w:u w:val="none"/>
        </w:rPr>
      </w:pPr>
      <w:r>
        <w:rPr>
          <w:rFonts w:hint="eastAsia"/>
          <w:color w:val="auto"/>
          <w:u w:val="none"/>
        </w:rPr>
        <w:t>（1）控制项目“三废”的排放，减少污染物质，控制污染物排放的数量和浓度，使之符合排放标准和总量要求。</w:t>
      </w:r>
    </w:p>
    <w:p>
      <w:pPr>
        <w:ind w:firstLine="480"/>
        <w:jc w:val="both"/>
        <w:rPr>
          <w:rFonts w:hint="eastAsia"/>
          <w:color w:val="auto"/>
          <w:u w:val="none"/>
        </w:rPr>
      </w:pPr>
      <w:r>
        <w:rPr>
          <w:rFonts w:hint="eastAsia"/>
          <w:color w:val="auto"/>
          <w:u w:val="none"/>
        </w:rPr>
        <w:t>（</w:t>
      </w:r>
      <w:r>
        <w:rPr>
          <w:color w:val="auto"/>
          <w:u w:val="none"/>
        </w:rPr>
        <w:t>2</w:t>
      </w:r>
      <w:r>
        <w:rPr>
          <w:rFonts w:hint="eastAsia"/>
          <w:color w:val="auto"/>
          <w:u w:val="none"/>
        </w:rPr>
        <w:t>）防渗措施：</w:t>
      </w:r>
    </w:p>
    <w:p>
      <w:pPr>
        <w:ind w:firstLine="480"/>
        <w:jc w:val="both"/>
        <w:rPr>
          <w:rFonts w:hint="eastAsia"/>
          <w:color w:val="auto"/>
          <w:u w:val="none"/>
        </w:rPr>
      </w:pPr>
      <w:r>
        <w:rPr>
          <w:rFonts w:hint="eastAsia"/>
          <w:color w:val="auto"/>
          <w:u w:val="none"/>
        </w:rPr>
        <w:t>①</w:t>
      </w:r>
      <w:r>
        <w:rPr>
          <w:rFonts w:hint="eastAsia"/>
          <w:color w:val="auto"/>
          <w:u w:val="none"/>
          <w:lang w:eastAsia="zh-CN"/>
        </w:rPr>
        <w:t>辅助用房</w:t>
      </w:r>
      <w:r>
        <w:rPr>
          <w:rFonts w:hint="eastAsia"/>
          <w:color w:val="auto"/>
          <w:u w:val="none"/>
        </w:rPr>
        <w:t>防渗：地面采用水泥硬化，</w:t>
      </w:r>
      <w:r>
        <w:rPr>
          <w:rFonts w:hint="eastAsia"/>
          <w:color w:val="auto"/>
          <w:u w:val="none"/>
          <w:lang w:eastAsia="zh-CN"/>
        </w:rPr>
        <w:t>污泥脱水在污泥脱水间</w:t>
      </w:r>
      <w:r>
        <w:rPr>
          <w:rFonts w:hint="eastAsia"/>
          <w:color w:val="auto"/>
          <w:u w:val="none"/>
        </w:rPr>
        <w:t>进行，周围设置废水收集沟，收集的废水回到厂区内的污水处理设施进行处理。</w:t>
      </w:r>
    </w:p>
    <w:p>
      <w:pPr>
        <w:ind w:firstLine="480"/>
        <w:jc w:val="both"/>
        <w:rPr>
          <w:rFonts w:hint="eastAsia"/>
          <w:color w:val="auto"/>
          <w:u w:val="none"/>
        </w:rPr>
      </w:pPr>
      <w:r>
        <w:rPr>
          <w:rFonts w:hint="eastAsia"/>
          <w:color w:val="auto"/>
          <w:u w:val="none"/>
        </w:rPr>
        <w:t>②污水管网铺设防渗：各处理构筑物为钢混结构或钢制防腐结构，污水管道采用耐腐蚀、防渗漏材料，接头全部进行防渗处理。</w:t>
      </w:r>
    </w:p>
    <w:p>
      <w:pPr>
        <w:ind w:firstLine="480"/>
        <w:jc w:val="both"/>
        <w:rPr>
          <w:color w:val="auto"/>
          <w:u w:val="none"/>
        </w:rPr>
      </w:pPr>
      <w:r>
        <w:rPr>
          <w:rFonts w:hint="eastAsia"/>
          <w:color w:val="auto"/>
          <w:u w:val="none"/>
        </w:rPr>
        <w:t>③生产过程中做好对设备的维护、检修，切实杜绝“跑、冒、滴、漏”现象发生，同时，应加强关键部位的安全防护、报警措施，以便及时发现事故隐患，采取有效的应对措施以防事故的发生。</w:t>
      </w:r>
    </w:p>
    <w:p>
      <w:pPr>
        <w:ind w:firstLine="480"/>
        <w:jc w:val="both"/>
        <w:rPr>
          <w:rFonts w:hint="eastAsia"/>
          <w:color w:val="auto"/>
          <w:u w:val="none"/>
        </w:rPr>
      </w:pPr>
      <w:r>
        <w:rPr>
          <w:rFonts w:hint="eastAsia"/>
          <w:color w:val="auto"/>
          <w:u w:val="none"/>
        </w:rPr>
        <w:t>根据本项目建设特点，经采用源头控制、分区防渗、加强运营期的管理等措施，在采取以上措施后，建设项目对土壤环境的影响较小。</w:t>
      </w:r>
    </w:p>
    <w:p>
      <w:pPr>
        <w:pStyle w:val="6"/>
        <w:bidi w:val="0"/>
        <w:rPr>
          <w:rFonts w:hint="eastAsia"/>
        </w:rPr>
      </w:pPr>
      <w:r>
        <w:rPr>
          <w:rFonts w:hint="eastAsia"/>
        </w:rPr>
        <w:t>5</w:t>
      </w:r>
      <w:r>
        <w:t>.2.</w:t>
      </w:r>
      <w:r>
        <w:rPr>
          <w:rFonts w:hint="eastAsia"/>
          <w:lang w:val="en-US" w:eastAsia="zh-CN"/>
        </w:rPr>
        <w:t>7</w:t>
      </w:r>
      <w:r>
        <w:rPr>
          <w:rFonts w:hint="eastAsia"/>
        </w:rPr>
        <w:t>厂区绿化</w:t>
      </w:r>
    </w:p>
    <w:p>
      <w:pPr>
        <w:ind w:firstLine="480"/>
        <w:jc w:val="both"/>
        <w:rPr>
          <w:color w:val="auto"/>
          <w:kern w:val="0"/>
          <w:u w:val="none"/>
        </w:rPr>
      </w:pPr>
      <w:r>
        <w:rPr>
          <w:color w:val="auto"/>
          <w:kern w:val="0"/>
          <w:u w:val="none"/>
        </w:rPr>
        <w:t>保护环境，保护自然，保持可持续发展是本工程环境设计的主导思想，厂区内以植物造景为主，大面积草皮、植被及防护林、行道树、低矮灌木营造出一片郁郁葱葱的景象，真正做到工厂园林化，绿化率不低于3</w:t>
      </w:r>
      <w:r>
        <w:rPr>
          <w:rFonts w:hint="eastAsia"/>
          <w:color w:val="auto"/>
          <w:kern w:val="0"/>
          <w:u w:val="none"/>
        </w:rPr>
        <w:t>0</w:t>
      </w:r>
      <w:r>
        <w:rPr>
          <w:color w:val="auto"/>
          <w:kern w:val="0"/>
          <w:u w:val="none"/>
        </w:rPr>
        <w:t>%。厂区构筑物尽可能少占用地，靠内侧布置，厂区周围布置绿化防护隔离带，利用大量乔木和灌木相间布置，尽可能有效的净化空气，隔绝噪音，尽可能减少对周边用地的影响。</w:t>
      </w:r>
    </w:p>
    <w:p>
      <w:pPr>
        <w:ind w:firstLine="480"/>
        <w:jc w:val="both"/>
        <w:rPr>
          <w:color w:val="auto"/>
          <w:kern w:val="0"/>
          <w:u w:val="none"/>
        </w:rPr>
      </w:pPr>
      <w:r>
        <w:rPr>
          <w:color w:val="auto"/>
          <w:kern w:val="0"/>
          <w:u w:val="none"/>
        </w:rPr>
        <w:t>厂区建筑物尽量集中布置，争取最大的绿化面积，形成相对集中开阔的绿地进行重点绿化，局部运用人工造景，如石砌人行道等。</w:t>
      </w:r>
    </w:p>
    <w:p>
      <w:pPr>
        <w:pStyle w:val="76"/>
        <w:spacing w:before="163" w:after="163"/>
        <w:rPr>
          <w:rFonts w:hint="eastAsia"/>
          <w:color w:val="auto"/>
          <w:u w:val="none"/>
        </w:rPr>
      </w:pPr>
      <w:bookmarkStart w:id="300" w:name="_Toc6686"/>
      <w:r>
        <w:rPr>
          <w:rFonts w:hint="eastAsia"/>
          <w:color w:val="auto"/>
          <w:u w:val="none"/>
        </w:rPr>
        <w:t>5.3污染防治措施结论</w:t>
      </w:r>
      <w:bookmarkEnd w:id="300"/>
    </w:p>
    <w:p>
      <w:pPr>
        <w:ind w:firstLine="480"/>
        <w:rPr>
          <w:b/>
          <w:color w:val="auto"/>
          <w:kern w:val="0"/>
          <w:u w:val="none"/>
        </w:rPr>
      </w:pPr>
      <w:r>
        <w:rPr>
          <w:rFonts w:hint="eastAsia"/>
          <w:color w:val="auto"/>
          <w:kern w:val="0"/>
          <w:u w:val="none"/>
        </w:rPr>
        <w:t>上述施工期和营运期的废气、废水、噪声、固体废物的污染防治措施在同类型建设项目已得到广泛的应用，其防治措施在技术上、经济上均是可行和合理的，易于操作和落实，效果较好，适宜拟建项目的环保工程采用。</w:t>
      </w:r>
    </w:p>
    <w:p>
      <w:pPr>
        <w:pStyle w:val="4"/>
        <w:ind w:firstLine="643"/>
        <w:rPr>
          <w:rFonts w:hint="eastAsia"/>
          <w:color w:val="auto"/>
          <w:u w:val="none"/>
        </w:rPr>
      </w:pPr>
      <w:r>
        <w:rPr>
          <w:color w:val="auto"/>
          <w:u w:val="none"/>
        </w:rPr>
        <w:br w:type="page"/>
      </w:r>
      <w:bookmarkStart w:id="301" w:name="_Toc20452"/>
      <w:r>
        <w:rPr>
          <w:rFonts w:hint="eastAsia"/>
          <w:color w:val="auto"/>
          <w:u w:val="none"/>
        </w:rPr>
        <w:t>第6章 环境影响经济损益分析</w:t>
      </w:r>
      <w:bookmarkEnd w:id="301"/>
    </w:p>
    <w:p>
      <w:pPr>
        <w:pStyle w:val="76"/>
        <w:spacing w:before="163" w:after="163"/>
        <w:rPr>
          <w:rFonts w:hint="eastAsia"/>
          <w:color w:val="auto"/>
          <w:kern w:val="0"/>
          <w:u w:val="none"/>
        </w:rPr>
      </w:pPr>
      <w:bookmarkStart w:id="302" w:name="_Toc27538"/>
      <w:r>
        <w:rPr>
          <w:rFonts w:hint="eastAsia"/>
          <w:color w:val="auto"/>
          <w:kern w:val="0"/>
          <w:u w:val="none"/>
        </w:rPr>
        <w:t>6.1环境保护投资</w:t>
      </w:r>
      <w:bookmarkEnd w:id="302"/>
    </w:p>
    <w:p>
      <w:pPr>
        <w:ind w:firstLine="480"/>
        <w:jc w:val="both"/>
        <w:rPr>
          <w:rFonts w:hint="eastAsia"/>
          <w:color w:val="auto"/>
          <w:u w:val="single"/>
        </w:rPr>
      </w:pPr>
      <w:r>
        <w:rPr>
          <w:color w:val="auto"/>
          <w:u w:val="single"/>
        </w:rPr>
        <w:t>本工程本身是一项旨在削减区域废水污染物排放量的环保工程，工程本身的全部投资都用于环境保护基础设施建设。本评价主要统计其用于施工期环境环保和营运期二次污染防治的资金，作为本工程的环保投资。具体见表</w:t>
      </w:r>
      <w:r>
        <w:rPr>
          <w:rFonts w:hint="eastAsia"/>
          <w:color w:val="auto"/>
          <w:u w:val="single"/>
        </w:rPr>
        <w:t>6.1-1</w:t>
      </w:r>
      <w:r>
        <w:rPr>
          <w:color w:val="auto"/>
          <w:u w:val="single"/>
        </w:rPr>
        <w:t>。</w:t>
      </w:r>
      <w:r>
        <w:rPr>
          <w:rFonts w:hint="eastAsia"/>
          <w:color w:val="auto"/>
          <w:u w:val="single"/>
        </w:rPr>
        <w:t>项目共计环保投资</w:t>
      </w:r>
      <w:r>
        <w:rPr>
          <w:rFonts w:hint="eastAsia"/>
          <w:color w:val="auto"/>
          <w:u w:val="single"/>
          <w:lang w:val="en-US" w:eastAsia="zh-CN"/>
        </w:rPr>
        <w:t>80</w:t>
      </w:r>
      <w:r>
        <w:rPr>
          <w:rFonts w:hint="eastAsia"/>
          <w:color w:val="auto"/>
          <w:u w:val="single"/>
        </w:rPr>
        <w:t>万元。</w:t>
      </w:r>
    </w:p>
    <w:p>
      <w:pPr>
        <w:ind w:firstLine="422"/>
        <w:jc w:val="center"/>
        <w:rPr>
          <w:b/>
          <w:color w:val="auto"/>
          <w:kern w:val="0"/>
          <w:sz w:val="21"/>
          <w:szCs w:val="21"/>
          <w:u w:val="single"/>
        </w:rPr>
      </w:pPr>
      <w:r>
        <w:rPr>
          <w:rFonts w:hint="eastAsia"/>
          <w:b/>
          <w:color w:val="auto"/>
          <w:kern w:val="0"/>
          <w:sz w:val="21"/>
          <w:szCs w:val="21"/>
          <w:u w:val="single"/>
        </w:rPr>
        <w:t>表6.1-1环保措施投资估算一览表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2109"/>
        <w:gridCol w:w="1134"/>
        <w:gridCol w:w="2881"/>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污染源</w:t>
            </w: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环保设施名称</w:t>
            </w:r>
          </w:p>
        </w:tc>
        <w:tc>
          <w:tcPr>
            <w:tcW w:w="1134"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投资</w:t>
            </w:r>
          </w:p>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（万元）</w:t>
            </w:r>
          </w:p>
        </w:tc>
        <w:tc>
          <w:tcPr>
            <w:tcW w:w="2881"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内容</w:t>
            </w:r>
          </w:p>
        </w:tc>
        <w:tc>
          <w:tcPr>
            <w:tcW w:w="151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投资时期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93" w:type="dxa"/>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废水</w:t>
            </w: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地面硬化、防渗措施、地下水分区防渗、地下监测井</w:t>
            </w:r>
          </w:p>
        </w:tc>
        <w:tc>
          <w:tcPr>
            <w:tcW w:w="1134" w:type="dxa"/>
            <w:noWrap w:val="0"/>
            <w:vAlign w:val="center"/>
          </w:tcPr>
          <w:p>
            <w:pPr>
              <w:pStyle w:val="73"/>
              <w:rPr>
                <w:rFonts w:hint="default"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val="en-US" w:eastAsia="zh-CN"/>
              </w:rPr>
              <w:t>12</w:t>
            </w:r>
          </w:p>
        </w:tc>
        <w:tc>
          <w:tcPr>
            <w:tcW w:w="2881"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污水池、排水沟等防渗措施、地下水分区防渗、地下监测井</w:t>
            </w:r>
          </w:p>
        </w:tc>
        <w:tc>
          <w:tcPr>
            <w:tcW w:w="151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项目运营期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noWrap w:val="0"/>
            <w:vAlign w:val="center"/>
          </w:tcPr>
          <w:p>
            <w:pPr>
              <w:pStyle w:val="73"/>
              <w:rPr>
                <w:rFonts w:hint="default" w:ascii="Times New Roman" w:hAnsi="Times New Roman" w:cs="Times New Roman"/>
                <w:b w:val="0"/>
                <w:bCs/>
                <w:color w:val="auto"/>
                <w:u w:val="single"/>
              </w:rPr>
            </w:pP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污水进、出口在线监测设施</w:t>
            </w:r>
          </w:p>
        </w:tc>
        <w:tc>
          <w:tcPr>
            <w:tcW w:w="1134" w:type="dxa"/>
            <w:noWrap w:val="0"/>
            <w:vAlign w:val="center"/>
          </w:tcPr>
          <w:p>
            <w:pPr>
              <w:pStyle w:val="73"/>
              <w:rPr>
                <w:rFonts w:hint="default"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val="en-US" w:eastAsia="zh-CN"/>
              </w:rPr>
              <w:t>8</w:t>
            </w:r>
          </w:p>
        </w:tc>
        <w:tc>
          <w:tcPr>
            <w:tcW w:w="2881"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在线监测废水中pH、COD、TP、氨氮、流量等</w:t>
            </w:r>
          </w:p>
        </w:tc>
        <w:tc>
          <w:tcPr>
            <w:tcW w:w="151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项目运营期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废气</w:t>
            </w: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地面洒水、车辆冲洗设施</w:t>
            </w:r>
          </w:p>
        </w:tc>
        <w:tc>
          <w:tcPr>
            <w:tcW w:w="1134"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val="en-US" w:eastAsia="zh-CN"/>
              </w:rPr>
              <w:t>3</w:t>
            </w:r>
          </w:p>
        </w:tc>
        <w:tc>
          <w:tcPr>
            <w:tcW w:w="2881"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洒水、施工场地出口洗车装置</w:t>
            </w:r>
          </w:p>
        </w:tc>
        <w:tc>
          <w:tcPr>
            <w:tcW w:w="151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noWrap w:val="0"/>
            <w:vAlign w:val="center"/>
          </w:tcPr>
          <w:p>
            <w:pPr>
              <w:pStyle w:val="73"/>
              <w:rPr>
                <w:rFonts w:hint="default" w:ascii="Times New Roman" w:hAnsi="Times New Roman" w:cs="Times New Roman"/>
                <w:b w:val="0"/>
                <w:bCs/>
                <w:color w:val="auto"/>
                <w:u w:val="single"/>
              </w:rPr>
            </w:pP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活性炭除臭设施、排气筒</w:t>
            </w:r>
          </w:p>
        </w:tc>
        <w:tc>
          <w:tcPr>
            <w:tcW w:w="1134" w:type="dxa"/>
            <w:noWrap w:val="0"/>
            <w:vAlign w:val="center"/>
          </w:tcPr>
          <w:p>
            <w:pPr>
              <w:pStyle w:val="73"/>
              <w:rPr>
                <w:rFonts w:hint="default"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val="en-US" w:eastAsia="zh-CN"/>
              </w:rPr>
              <w:t>22</w:t>
            </w:r>
          </w:p>
        </w:tc>
        <w:tc>
          <w:tcPr>
            <w:tcW w:w="2881"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污泥脱水间</w:t>
            </w:r>
          </w:p>
        </w:tc>
        <w:tc>
          <w:tcPr>
            <w:tcW w:w="151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项目运营期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噪声</w:t>
            </w: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减震基座、厂房隔声、消音</w:t>
            </w:r>
          </w:p>
        </w:tc>
        <w:tc>
          <w:tcPr>
            <w:tcW w:w="1134" w:type="dxa"/>
            <w:noWrap w:val="0"/>
            <w:vAlign w:val="center"/>
          </w:tcPr>
          <w:p>
            <w:pPr>
              <w:pStyle w:val="73"/>
              <w:rPr>
                <w:rFonts w:hint="default"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val="en-US" w:eastAsia="zh-CN"/>
              </w:rPr>
              <w:t>12</w:t>
            </w:r>
          </w:p>
        </w:tc>
        <w:tc>
          <w:tcPr>
            <w:tcW w:w="2881" w:type="dxa"/>
            <w:noWrap w:val="0"/>
            <w:vAlign w:val="center"/>
          </w:tcPr>
          <w:p>
            <w:pPr>
              <w:pStyle w:val="73"/>
              <w:rPr>
                <w:rFonts w:hint="default" w:ascii="Times New Roman" w:hAnsi="Times New Roman" w:cs="Times New Roman"/>
                <w:b w:val="0"/>
                <w:bCs/>
                <w:color w:val="auto"/>
                <w:u w:val="single"/>
              </w:rPr>
            </w:pPr>
            <w:r>
              <w:rPr>
                <w:rFonts w:hint="eastAsia" w:cs="Times New Roman"/>
                <w:b w:val="0"/>
                <w:bCs/>
                <w:color w:val="auto"/>
                <w:u w:val="single"/>
                <w:lang w:eastAsia="zh-CN"/>
              </w:rPr>
              <w:t>潜污泵</w:t>
            </w:r>
            <w:r>
              <w:rPr>
                <w:rFonts w:hint="default" w:ascii="Times New Roman" w:hAnsi="Times New Roman" w:cs="Times New Roman"/>
                <w:b w:val="0"/>
                <w:bCs/>
                <w:color w:val="auto"/>
                <w:u w:val="single"/>
              </w:rPr>
              <w:t>、污泥泵、风机等设备</w:t>
            </w:r>
          </w:p>
        </w:tc>
        <w:tc>
          <w:tcPr>
            <w:tcW w:w="151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项目运营期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固废</w:t>
            </w: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垃圾收集与清运措施</w:t>
            </w:r>
          </w:p>
        </w:tc>
        <w:tc>
          <w:tcPr>
            <w:tcW w:w="1134" w:type="dxa"/>
            <w:vMerge w:val="restart"/>
            <w:noWrap w:val="0"/>
            <w:vAlign w:val="center"/>
          </w:tcPr>
          <w:p>
            <w:pPr>
              <w:pStyle w:val="73"/>
              <w:rPr>
                <w:rFonts w:hint="eastAsia"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val="en-US" w:eastAsia="zh-CN"/>
              </w:rPr>
              <w:t>8</w:t>
            </w:r>
          </w:p>
        </w:tc>
        <w:tc>
          <w:tcPr>
            <w:tcW w:w="2881"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施工生活区垃圾收集</w:t>
            </w:r>
          </w:p>
        </w:tc>
        <w:tc>
          <w:tcPr>
            <w:tcW w:w="151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项目运营期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noWrap w:val="0"/>
            <w:vAlign w:val="center"/>
          </w:tcPr>
          <w:p>
            <w:pPr>
              <w:pStyle w:val="73"/>
              <w:rPr>
                <w:rFonts w:hint="default" w:ascii="Times New Roman" w:hAnsi="Times New Roman" w:cs="Times New Roman"/>
                <w:b w:val="0"/>
                <w:bCs/>
                <w:color w:val="auto"/>
                <w:u w:val="single"/>
              </w:rPr>
            </w:pP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废活性炭</w:t>
            </w:r>
          </w:p>
        </w:tc>
        <w:tc>
          <w:tcPr>
            <w:tcW w:w="1134" w:type="dxa"/>
            <w:vMerge w:val="continue"/>
            <w:noWrap w:val="0"/>
            <w:vAlign w:val="center"/>
          </w:tcPr>
          <w:p>
            <w:pPr>
              <w:pStyle w:val="73"/>
              <w:rPr>
                <w:rFonts w:hint="default" w:ascii="Times New Roman" w:hAnsi="Times New Roman" w:cs="Times New Roman"/>
                <w:b w:val="0"/>
                <w:bCs/>
                <w:color w:val="auto"/>
                <w:u w:val="single"/>
              </w:rPr>
            </w:pPr>
          </w:p>
        </w:tc>
        <w:tc>
          <w:tcPr>
            <w:tcW w:w="2881" w:type="dxa"/>
            <w:vMerge w:val="restart"/>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cs="Times New Roman"/>
                <w:b w:val="0"/>
                <w:bCs/>
                <w:color w:val="auto"/>
                <w:u w:val="single"/>
                <w:lang w:eastAsia="zh-CN"/>
              </w:rPr>
              <w:t>厂家定期回收</w:t>
            </w:r>
          </w:p>
        </w:tc>
        <w:tc>
          <w:tcPr>
            <w:tcW w:w="1513" w:type="dxa"/>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项目运营期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noWrap w:val="0"/>
            <w:vAlign w:val="center"/>
          </w:tcPr>
          <w:p>
            <w:pPr>
              <w:pStyle w:val="73"/>
              <w:rPr>
                <w:rFonts w:hint="default" w:ascii="Times New Roman" w:hAnsi="Times New Roman" w:cs="Times New Roman"/>
                <w:b w:val="0"/>
                <w:bCs/>
                <w:color w:val="auto"/>
                <w:u w:val="single"/>
              </w:rPr>
            </w:pP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废弃紫外灯管</w:t>
            </w:r>
          </w:p>
        </w:tc>
        <w:tc>
          <w:tcPr>
            <w:tcW w:w="1134" w:type="dxa"/>
            <w:vMerge w:val="continue"/>
            <w:noWrap w:val="0"/>
            <w:vAlign w:val="center"/>
          </w:tcPr>
          <w:p>
            <w:pPr>
              <w:pStyle w:val="73"/>
              <w:rPr>
                <w:rFonts w:hint="default" w:ascii="Times New Roman" w:hAnsi="Times New Roman" w:cs="Times New Roman"/>
                <w:b w:val="0"/>
                <w:bCs/>
                <w:color w:val="auto"/>
                <w:u w:val="single"/>
              </w:rPr>
            </w:pPr>
          </w:p>
        </w:tc>
        <w:tc>
          <w:tcPr>
            <w:tcW w:w="2881" w:type="dxa"/>
            <w:vMerge w:val="continue"/>
            <w:noWrap w:val="0"/>
            <w:vAlign w:val="center"/>
          </w:tcPr>
          <w:p>
            <w:pPr>
              <w:pStyle w:val="73"/>
              <w:rPr>
                <w:rFonts w:hint="default" w:ascii="Times New Roman" w:hAnsi="Times New Roman" w:cs="Times New Roman"/>
                <w:b w:val="0"/>
                <w:bCs/>
                <w:color w:val="auto"/>
                <w:u w:val="single"/>
              </w:rPr>
            </w:pPr>
          </w:p>
        </w:tc>
        <w:tc>
          <w:tcPr>
            <w:tcW w:w="1513" w:type="dxa"/>
            <w:vMerge w:val="continue"/>
            <w:noWrap w:val="0"/>
            <w:vAlign w:val="center"/>
          </w:tcPr>
          <w:p>
            <w:pPr>
              <w:pStyle w:val="73"/>
              <w:rPr>
                <w:rFonts w:hint="default" w:ascii="Times New Roman" w:hAnsi="Times New Roman" w:cs="Times New Roman"/>
                <w:b w:val="0"/>
                <w:bCs/>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noWrap w:val="0"/>
            <w:vAlign w:val="center"/>
          </w:tcPr>
          <w:p>
            <w:pPr>
              <w:pStyle w:val="73"/>
              <w:rPr>
                <w:rFonts w:hint="default" w:ascii="Times New Roman" w:hAnsi="Times New Roman" w:cs="Times New Roman"/>
                <w:b w:val="0"/>
                <w:bCs/>
                <w:color w:val="auto"/>
                <w:u w:val="single"/>
              </w:rPr>
            </w:pP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污泥运输</w:t>
            </w:r>
          </w:p>
        </w:tc>
        <w:tc>
          <w:tcPr>
            <w:tcW w:w="1134" w:type="dxa"/>
            <w:noWrap w:val="0"/>
            <w:vAlign w:val="center"/>
          </w:tcPr>
          <w:p>
            <w:pPr>
              <w:pStyle w:val="73"/>
              <w:rPr>
                <w:rFonts w:hint="default"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val="en-US" w:eastAsia="zh-CN"/>
              </w:rPr>
              <w:t>10</w:t>
            </w:r>
          </w:p>
        </w:tc>
        <w:tc>
          <w:tcPr>
            <w:tcW w:w="2881"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加盖、翻斗污泥运输车</w:t>
            </w:r>
          </w:p>
        </w:tc>
        <w:tc>
          <w:tcPr>
            <w:tcW w:w="151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项目运营期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绿化</w:t>
            </w:r>
          </w:p>
        </w:tc>
        <w:tc>
          <w:tcPr>
            <w:tcW w:w="2109"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厂区绿化以及周边防林带、管线以及道路周围植被恢复</w:t>
            </w:r>
          </w:p>
        </w:tc>
        <w:tc>
          <w:tcPr>
            <w:tcW w:w="1134" w:type="dxa"/>
            <w:noWrap w:val="0"/>
            <w:vAlign w:val="center"/>
          </w:tcPr>
          <w:p>
            <w:pPr>
              <w:pStyle w:val="73"/>
              <w:rPr>
                <w:rFonts w:hint="default"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val="en-US" w:eastAsia="zh-CN"/>
              </w:rPr>
              <w:t>5</w:t>
            </w:r>
          </w:p>
        </w:tc>
        <w:tc>
          <w:tcPr>
            <w:tcW w:w="2881"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类比周围环境、减少恶臭类气体对周边环境的影响，恢复生态原貌</w:t>
            </w:r>
          </w:p>
        </w:tc>
        <w:tc>
          <w:tcPr>
            <w:tcW w:w="151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施工期、运营期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gridSpan w:val="2"/>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合计</w:t>
            </w:r>
          </w:p>
        </w:tc>
        <w:tc>
          <w:tcPr>
            <w:tcW w:w="1134" w:type="dxa"/>
            <w:noWrap w:val="0"/>
            <w:vAlign w:val="center"/>
          </w:tcPr>
          <w:p>
            <w:pPr>
              <w:pStyle w:val="73"/>
              <w:rPr>
                <w:rFonts w:hint="default"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val="en-US" w:eastAsia="zh-CN"/>
              </w:rPr>
              <w:t>80</w:t>
            </w:r>
          </w:p>
        </w:tc>
        <w:tc>
          <w:tcPr>
            <w:tcW w:w="2881"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w:t>
            </w:r>
          </w:p>
        </w:tc>
        <w:tc>
          <w:tcPr>
            <w:tcW w:w="1513"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w:t>
            </w:r>
          </w:p>
        </w:tc>
      </w:tr>
    </w:tbl>
    <w:p>
      <w:pPr>
        <w:pStyle w:val="76"/>
        <w:spacing w:before="163" w:after="163"/>
        <w:rPr>
          <w:color w:val="auto"/>
          <w:kern w:val="0"/>
          <w:u w:val="none"/>
        </w:rPr>
      </w:pPr>
      <w:bookmarkStart w:id="303" w:name="_Toc12277"/>
      <w:r>
        <w:rPr>
          <w:rFonts w:hint="eastAsia"/>
          <w:color w:val="auto"/>
          <w:kern w:val="0"/>
          <w:u w:val="none"/>
        </w:rPr>
        <w:t>6.2环境损益分析</w:t>
      </w:r>
      <w:bookmarkEnd w:id="303"/>
    </w:p>
    <w:p>
      <w:pPr>
        <w:ind w:firstLine="480"/>
        <w:jc w:val="both"/>
        <w:rPr>
          <w:rFonts w:hint="eastAsia"/>
          <w:color w:val="auto"/>
          <w:kern w:val="0"/>
          <w:u w:val="none"/>
        </w:rPr>
      </w:pPr>
      <w:r>
        <w:rPr>
          <w:rFonts w:hint="eastAsia"/>
          <w:color w:val="auto"/>
          <w:kern w:val="0"/>
          <w:u w:val="none"/>
          <w:lang w:eastAsia="zh-CN"/>
        </w:rPr>
        <w:t>湖南永顺经济开发区猛洞河产业园污水处理厂建设项目一期</w:t>
      </w:r>
      <w:r>
        <w:rPr>
          <w:rFonts w:hint="eastAsia"/>
          <w:color w:val="auto"/>
          <w:kern w:val="0"/>
          <w:u w:val="none"/>
        </w:rPr>
        <w:t>处理能力为</w:t>
      </w:r>
      <w:r>
        <w:rPr>
          <w:rFonts w:hint="eastAsia"/>
          <w:color w:val="auto"/>
          <w:kern w:val="0"/>
          <w:u w:val="none"/>
          <w:lang w:val="en-US" w:eastAsia="zh-CN"/>
        </w:rPr>
        <w:t>400</w:t>
      </w:r>
      <w:r>
        <w:rPr>
          <w:rFonts w:hint="eastAsia"/>
          <w:color w:val="auto"/>
          <w:kern w:val="0"/>
          <w:u w:val="none"/>
        </w:rPr>
        <w:t>m</w:t>
      </w:r>
      <w:r>
        <w:rPr>
          <w:rFonts w:hint="eastAsia"/>
          <w:color w:val="auto"/>
          <w:kern w:val="0"/>
          <w:u w:val="none"/>
          <w:vertAlign w:val="superscript"/>
        </w:rPr>
        <w:t>3</w:t>
      </w:r>
      <w:r>
        <w:rPr>
          <w:rFonts w:hint="eastAsia"/>
          <w:color w:val="auto"/>
          <w:kern w:val="0"/>
          <w:u w:val="none"/>
        </w:rPr>
        <w:t>/d，</w:t>
      </w:r>
      <w:r>
        <w:rPr>
          <w:rFonts w:hint="eastAsia"/>
          <w:color w:val="auto"/>
          <w:kern w:val="0"/>
          <w:u w:val="none"/>
          <w:lang w:eastAsia="zh-CN"/>
        </w:rPr>
        <w:t>二期处理能力增加后</w:t>
      </w:r>
      <w:r>
        <w:rPr>
          <w:rFonts w:hint="eastAsia"/>
          <w:color w:val="auto"/>
          <w:kern w:val="0"/>
          <w:u w:val="none"/>
        </w:rPr>
        <w:t>处理能力为</w:t>
      </w:r>
      <w:r>
        <w:rPr>
          <w:rFonts w:hint="eastAsia"/>
          <w:color w:val="auto"/>
          <w:kern w:val="0"/>
          <w:u w:val="none"/>
          <w:lang w:val="en-US" w:eastAsia="zh-CN"/>
        </w:rPr>
        <w:t>1000</w:t>
      </w:r>
      <w:r>
        <w:rPr>
          <w:rFonts w:hint="eastAsia"/>
          <w:color w:val="auto"/>
          <w:kern w:val="0"/>
          <w:u w:val="none"/>
        </w:rPr>
        <w:t>m</w:t>
      </w:r>
      <w:r>
        <w:rPr>
          <w:rFonts w:hint="eastAsia"/>
          <w:color w:val="auto"/>
          <w:kern w:val="0"/>
          <w:u w:val="none"/>
          <w:vertAlign w:val="superscript"/>
        </w:rPr>
        <w:t>3</w:t>
      </w:r>
      <w:r>
        <w:rPr>
          <w:rFonts w:hint="eastAsia"/>
          <w:color w:val="auto"/>
          <w:kern w:val="0"/>
          <w:u w:val="none"/>
        </w:rPr>
        <w:t>/d，主要污染物为COD、氨氮。该工程的实施将减轻污水排放对</w:t>
      </w:r>
      <w:r>
        <w:rPr>
          <w:rFonts w:hint="eastAsia"/>
          <w:color w:val="auto"/>
          <w:kern w:val="0"/>
          <w:u w:val="none"/>
          <w:lang w:eastAsia="zh-CN"/>
        </w:rPr>
        <w:t>猛洞河</w:t>
      </w:r>
      <w:r>
        <w:rPr>
          <w:rFonts w:hint="eastAsia"/>
          <w:color w:val="auto"/>
          <w:kern w:val="0"/>
          <w:u w:val="none"/>
        </w:rPr>
        <w:t>的污染，并为</w:t>
      </w:r>
      <w:r>
        <w:rPr>
          <w:rFonts w:hint="eastAsia"/>
          <w:color w:val="auto"/>
          <w:kern w:val="0"/>
          <w:u w:val="none"/>
          <w:lang w:eastAsia="zh-CN"/>
        </w:rPr>
        <w:t>永顺经济开发区猛洞河产业园</w:t>
      </w:r>
      <w:r>
        <w:rPr>
          <w:rFonts w:hint="eastAsia"/>
          <w:color w:val="auto"/>
          <w:kern w:val="0"/>
          <w:u w:val="none"/>
        </w:rPr>
        <w:t>的建设提供环境保障，环境效益显著。</w:t>
      </w:r>
    </w:p>
    <w:p>
      <w:pPr>
        <w:ind w:firstLine="480"/>
        <w:rPr>
          <w:rFonts w:hint="eastAsia"/>
          <w:color w:val="auto"/>
          <w:kern w:val="0"/>
          <w:u w:val="none"/>
        </w:rPr>
      </w:pPr>
      <w:r>
        <w:rPr>
          <w:rFonts w:hint="eastAsia"/>
          <w:color w:val="auto"/>
          <w:kern w:val="0"/>
          <w:u w:val="none"/>
        </w:rPr>
        <w:t>（1）直接经济效益</w:t>
      </w:r>
    </w:p>
    <w:p>
      <w:pPr>
        <w:ind w:firstLine="480"/>
        <w:jc w:val="both"/>
        <w:rPr>
          <w:rFonts w:eastAsia="Times New Roman"/>
          <w:color w:val="auto"/>
          <w:kern w:val="0"/>
          <w:sz w:val="16"/>
          <w:u w:val="none"/>
        </w:rPr>
      </w:pPr>
      <w:r>
        <w:rPr>
          <w:color w:val="auto"/>
          <w:kern w:val="0"/>
          <w:u w:val="none"/>
        </w:rPr>
        <w:t>鉴于本工程系城市公用设施，为国民经济所作的贡献表现为社会产生的间接经济效益。但根据现行的排污收费制度，本工程的直接经济效益可以单方面从污水处理量和污水管率来进行定量收费。按照排污收费标准，假定排污收费按</w:t>
      </w:r>
      <w:r>
        <w:rPr>
          <w:rFonts w:eastAsia="Times New Roman"/>
          <w:color w:val="auto"/>
          <w:kern w:val="0"/>
          <w:u w:val="none"/>
        </w:rPr>
        <w:t>1.75</w:t>
      </w:r>
      <w:r>
        <w:rPr>
          <w:color w:val="auto"/>
          <w:kern w:val="0"/>
          <w:u w:val="none"/>
        </w:rPr>
        <w:t>元</w:t>
      </w:r>
      <w:r>
        <w:rPr>
          <w:rFonts w:eastAsia="Times New Roman"/>
          <w:color w:val="auto"/>
          <w:kern w:val="0"/>
          <w:u w:val="none"/>
        </w:rPr>
        <w:t>/m</w:t>
      </w:r>
      <w:r>
        <w:rPr>
          <w:rFonts w:eastAsia="Times New Roman"/>
          <w:color w:val="auto"/>
          <w:kern w:val="0"/>
          <w:position w:val="9"/>
          <w:sz w:val="16"/>
          <w:u w:val="none"/>
        </w:rPr>
        <w:t>3</w:t>
      </w:r>
      <w:r>
        <w:rPr>
          <w:color w:val="auto"/>
          <w:kern w:val="0"/>
          <w:u w:val="none"/>
        </w:rPr>
        <w:t>计算，则本工程</w:t>
      </w:r>
      <w:r>
        <w:rPr>
          <w:rFonts w:hint="eastAsia"/>
          <w:color w:val="auto"/>
          <w:kern w:val="0"/>
          <w:u w:val="none"/>
          <w:lang w:eastAsia="zh-CN"/>
        </w:rPr>
        <w:t>一期</w:t>
      </w:r>
      <w:r>
        <w:rPr>
          <w:color w:val="auto"/>
          <w:kern w:val="0"/>
          <w:u w:val="none"/>
        </w:rPr>
        <w:t>运行的财务收入为</w:t>
      </w:r>
      <w:r>
        <w:rPr>
          <w:rFonts w:hint="eastAsia" w:eastAsia="宋体"/>
          <w:color w:val="auto"/>
          <w:kern w:val="0"/>
          <w:u w:val="none"/>
          <w:lang w:val="en-US" w:eastAsia="zh-CN"/>
        </w:rPr>
        <w:t>255500</w:t>
      </w:r>
      <w:r>
        <w:rPr>
          <w:color w:val="auto"/>
          <w:kern w:val="0"/>
          <w:u w:val="none"/>
        </w:rPr>
        <w:t>元</w:t>
      </w:r>
      <w:r>
        <w:rPr>
          <w:rFonts w:eastAsia="Times New Roman"/>
          <w:color w:val="auto"/>
          <w:kern w:val="0"/>
          <w:u w:val="none"/>
        </w:rPr>
        <w:t>/</w:t>
      </w:r>
      <w:r>
        <w:rPr>
          <w:color w:val="auto"/>
          <w:kern w:val="0"/>
          <w:u w:val="none"/>
        </w:rPr>
        <w:t>年</w:t>
      </w:r>
      <w:r>
        <w:rPr>
          <w:rFonts w:hint="eastAsia"/>
          <w:color w:val="auto"/>
          <w:kern w:val="0"/>
          <w:u w:val="none"/>
          <w:lang w:eastAsia="zh-CN"/>
        </w:rPr>
        <w:t>，二期</w:t>
      </w:r>
      <w:r>
        <w:rPr>
          <w:color w:val="auto"/>
          <w:kern w:val="0"/>
          <w:u w:val="none"/>
        </w:rPr>
        <w:t>运行的财务收入为</w:t>
      </w:r>
      <w:r>
        <w:rPr>
          <w:rFonts w:hint="eastAsia" w:eastAsia="宋体"/>
          <w:color w:val="auto"/>
          <w:kern w:val="0"/>
          <w:u w:val="none"/>
          <w:lang w:val="en-US" w:eastAsia="zh-CN"/>
        </w:rPr>
        <w:t>623000</w:t>
      </w:r>
      <w:r>
        <w:rPr>
          <w:color w:val="auto"/>
          <w:kern w:val="0"/>
          <w:u w:val="none"/>
        </w:rPr>
        <w:t>元</w:t>
      </w:r>
      <w:r>
        <w:rPr>
          <w:rFonts w:eastAsia="Times New Roman"/>
          <w:color w:val="auto"/>
          <w:kern w:val="0"/>
          <w:u w:val="none"/>
        </w:rPr>
        <w:t>/</w:t>
      </w:r>
      <w:r>
        <w:rPr>
          <w:color w:val="auto"/>
          <w:kern w:val="0"/>
          <w:u w:val="none"/>
        </w:rPr>
        <w:t>年。</w:t>
      </w:r>
    </w:p>
    <w:p>
      <w:pPr>
        <w:ind w:firstLine="480"/>
        <w:jc w:val="both"/>
        <w:rPr>
          <w:color w:val="auto"/>
          <w:kern w:val="0"/>
          <w:u w:val="none"/>
        </w:rPr>
      </w:pPr>
      <w:r>
        <w:rPr>
          <w:rFonts w:hint="eastAsia"/>
          <w:color w:val="auto"/>
          <w:kern w:val="0"/>
          <w:u w:val="none"/>
        </w:rPr>
        <w:t>（2）间接效益</w:t>
      </w:r>
    </w:p>
    <w:p>
      <w:pPr>
        <w:ind w:firstLine="480"/>
        <w:jc w:val="both"/>
        <w:rPr>
          <w:color w:val="auto"/>
          <w:kern w:val="0"/>
          <w:u w:val="none"/>
        </w:rPr>
      </w:pPr>
      <w:r>
        <w:rPr>
          <w:color w:val="auto"/>
          <w:kern w:val="0"/>
          <w:u w:val="none"/>
        </w:rPr>
        <w:t>污水处理工程其经济效益主要表现在改善水环境后减少因水污染而造成的经济损失等的间接效益。</w:t>
      </w:r>
    </w:p>
    <w:p>
      <w:pPr>
        <w:ind w:firstLine="480"/>
        <w:jc w:val="both"/>
        <w:rPr>
          <w:color w:val="auto"/>
          <w:kern w:val="0"/>
          <w:u w:val="none"/>
        </w:rPr>
      </w:pPr>
      <w:r>
        <w:rPr>
          <w:rFonts w:hint="eastAsia" w:cs="宋体"/>
          <w:color w:val="auto"/>
          <w:kern w:val="0"/>
          <w:u w:val="none"/>
        </w:rPr>
        <w:t>①</w:t>
      </w:r>
      <w:r>
        <w:rPr>
          <w:rFonts w:hint="eastAsia"/>
          <w:color w:val="auto"/>
          <w:kern w:val="0"/>
          <w:u w:val="none"/>
        </w:rPr>
        <w:t>节</w:t>
      </w:r>
      <w:r>
        <w:rPr>
          <w:color w:val="auto"/>
          <w:kern w:val="0"/>
          <w:u w:val="none"/>
        </w:rPr>
        <w:t>省部分工业用水处理费用。</w:t>
      </w:r>
    </w:p>
    <w:p>
      <w:pPr>
        <w:ind w:firstLine="480"/>
        <w:jc w:val="both"/>
        <w:rPr>
          <w:rFonts w:hint="eastAsia"/>
          <w:color w:val="auto"/>
          <w:kern w:val="0"/>
          <w:u w:val="none"/>
        </w:rPr>
      </w:pPr>
      <w:r>
        <w:rPr>
          <w:rFonts w:hint="eastAsia" w:cs="宋体"/>
          <w:color w:val="auto"/>
          <w:kern w:val="0"/>
          <w:u w:val="none"/>
        </w:rPr>
        <w:t>②</w:t>
      </w:r>
      <w:r>
        <w:rPr>
          <w:rFonts w:hint="eastAsia"/>
          <w:color w:val="auto"/>
          <w:kern w:val="0"/>
          <w:u w:val="none"/>
        </w:rPr>
        <w:t>减</w:t>
      </w:r>
      <w:r>
        <w:rPr>
          <w:color w:val="auto"/>
          <w:kern w:val="0"/>
          <w:u w:val="none"/>
        </w:rPr>
        <w:t>少污水分散处理运行开支。</w:t>
      </w:r>
    </w:p>
    <w:p>
      <w:pPr>
        <w:ind w:firstLine="480"/>
        <w:jc w:val="both"/>
        <w:rPr>
          <w:rFonts w:hint="eastAsia"/>
          <w:color w:val="auto"/>
          <w:kern w:val="0"/>
          <w:u w:val="none"/>
        </w:rPr>
      </w:pPr>
      <w:r>
        <w:rPr>
          <w:rFonts w:hint="eastAsia" w:cs="宋体"/>
          <w:color w:val="auto"/>
          <w:kern w:val="0"/>
          <w:u w:val="none"/>
        </w:rPr>
        <w:t>③土</w:t>
      </w:r>
      <w:r>
        <w:rPr>
          <w:color w:val="auto"/>
          <w:kern w:val="0"/>
          <w:u w:val="none"/>
        </w:rPr>
        <w:t>地增值作用。污水处理厂的建设解决了地块开发的污水问题，区域水环境也将得到改善，同时改善周边区域大环境，城市的土地价值会随之而提高，从而改善投资环境，吸引外商投资。</w:t>
      </w:r>
    </w:p>
    <w:p>
      <w:pPr>
        <w:ind w:firstLine="480"/>
        <w:jc w:val="both"/>
        <w:rPr>
          <w:rFonts w:hint="eastAsia"/>
          <w:color w:val="auto"/>
          <w:kern w:val="0"/>
          <w:u w:val="none"/>
        </w:rPr>
      </w:pPr>
      <w:r>
        <w:rPr>
          <w:rFonts w:hint="eastAsia" w:cs="宋体"/>
          <w:color w:val="auto"/>
          <w:kern w:val="0"/>
          <w:u w:val="none"/>
        </w:rPr>
        <w:t>④</w:t>
      </w:r>
      <w:r>
        <w:rPr>
          <w:rFonts w:hint="eastAsia"/>
          <w:color w:val="auto"/>
          <w:kern w:val="0"/>
          <w:u w:val="none"/>
        </w:rPr>
        <w:t>减</w:t>
      </w:r>
      <w:r>
        <w:rPr>
          <w:color w:val="auto"/>
          <w:kern w:val="0"/>
          <w:u w:val="none"/>
        </w:rPr>
        <w:t>少水污染对农业、渔业的收成损害。</w:t>
      </w:r>
    </w:p>
    <w:p>
      <w:pPr>
        <w:ind w:firstLine="480"/>
        <w:jc w:val="both"/>
        <w:rPr>
          <w:color w:val="auto"/>
          <w:kern w:val="0"/>
          <w:u w:val="none"/>
        </w:rPr>
      </w:pPr>
      <w:r>
        <w:rPr>
          <w:rFonts w:hint="eastAsia" w:cs="宋体"/>
          <w:color w:val="auto"/>
          <w:kern w:val="0"/>
          <w:u w:val="none"/>
        </w:rPr>
        <w:t>⑤</w:t>
      </w:r>
      <w:r>
        <w:rPr>
          <w:rFonts w:hint="eastAsia"/>
          <w:color w:val="auto"/>
          <w:kern w:val="0"/>
          <w:u w:val="none"/>
        </w:rPr>
        <w:t>水</w:t>
      </w:r>
      <w:r>
        <w:rPr>
          <w:color w:val="auto"/>
          <w:kern w:val="0"/>
          <w:u w:val="none"/>
        </w:rPr>
        <w:t>质改善有利于</w:t>
      </w:r>
      <w:r>
        <w:rPr>
          <w:rFonts w:hint="eastAsia"/>
          <w:color w:val="auto"/>
          <w:kern w:val="0"/>
          <w:u w:val="none"/>
          <w:lang w:eastAsia="zh-CN"/>
        </w:rPr>
        <w:t>永顺经济开发区猛洞河产业园</w:t>
      </w:r>
      <w:r>
        <w:rPr>
          <w:rFonts w:hint="eastAsia"/>
          <w:color w:val="auto"/>
          <w:kern w:val="0"/>
          <w:u w:val="none"/>
        </w:rPr>
        <w:t>工</w:t>
      </w:r>
      <w:r>
        <w:rPr>
          <w:color w:val="auto"/>
          <w:kern w:val="0"/>
          <w:u w:val="none"/>
        </w:rPr>
        <w:t>业的发展，由此可见，进行本项目的建设具有巨大的经济效益。</w:t>
      </w:r>
    </w:p>
    <w:p>
      <w:pPr>
        <w:ind w:firstLine="480"/>
        <w:rPr>
          <w:color w:val="auto"/>
          <w:kern w:val="0"/>
          <w:u w:val="none"/>
        </w:rPr>
      </w:pPr>
      <w:r>
        <w:rPr>
          <w:rFonts w:hint="eastAsia"/>
          <w:color w:val="auto"/>
          <w:kern w:val="0"/>
          <w:u w:val="none"/>
        </w:rPr>
        <w:t>（3）社会效益分析</w:t>
      </w:r>
    </w:p>
    <w:p>
      <w:pPr>
        <w:ind w:firstLine="480"/>
        <w:jc w:val="both"/>
        <w:rPr>
          <w:color w:val="auto"/>
          <w:kern w:val="0"/>
          <w:u w:val="none"/>
        </w:rPr>
      </w:pPr>
      <w:r>
        <w:rPr>
          <w:color w:val="auto"/>
          <w:kern w:val="0"/>
          <w:u w:val="none"/>
        </w:rPr>
        <w:t>环境社会效益是站在国民经济评价的角度上考察项目对社会作出的贡献。污水处理项目的公共服务性是区别于其它建设项目的显著特点之一。</w:t>
      </w:r>
    </w:p>
    <w:p>
      <w:pPr>
        <w:ind w:firstLine="480"/>
        <w:jc w:val="both"/>
        <w:rPr>
          <w:color w:val="auto"/>
          <w:kern w:val="0"/>
          <w:u w:val="none"/>
        </w:rPr>
      </w:pPr>
      <w:r>
        <w:rPr>
          <w:color w:val="auto"/>
          <w:kern w:val="0"/>
          <w:u w:val="none"/>
        </w:rPr>
        <w:t>随着工业集中区的开发，该地区的用水量将大幅度增加，这部分用水若无组织、未经处理直接进入</w:t>
      </w:r>
      <w:r>
        <w:rPr>
          <w:rFonts w:hint="eastAsia"/>
          <w:color w:val="auto"/>
          <w:kern w:val="0"/>
          <w:u w:val="none"/>
        </w:rPr>
        <w:t>周边</w:t>
      </w:r>
      <w:r>
        <w:rPr>
          <w:color w:val="auto"/>
          <w:kern w:val="0"/>
          <w:u w:val="none"/>
        </w:rPr>
        <w:t>，将会使</w:t>
      </w:r>
      <w:r>
        <w:rPr>
          <w:rFonts w:hint="eastAsia"/>
          <w:color w:val="auto"/>
          <w:kern w:val="0"/>
          <w:u w:val="none"/>
        </w:rPr>
        <w:t>周边环境</w:t>
      </w:r>
      <w:r>
        <w:rPr>
          <w:color w:val="auto"/>
          <w:kern w:val="0"/>
          <w:u w:val="none"/>
        </w:rPr>
        <w:t>恶化，污染加剧，并危害到当地人民的生活饮用水安全。污水处理厂运行后其出水达到排放标准，出水排入</w:t>
      </w:r>
      <w:r>
        <w:rPr>
          <w:rFonts w:hint="eastAsia"/>
          <w:color w:val="auto"/>
          <w:kern w:val="0"/>
          <w:u w:val="none"/>
          <w:lang w:eastAsia="zh-CN"/>
        </w:rPr>
        <w:t>猛洞河</w:t>
      </w:r>
      <w:r>
        <w:rPr>
          <w:color w:val="auto"/>
          <w:kern w:val="0"/>
          <w:u w:val="none"/>
        </w:rPr>
        <w:t>。</w:t>
      </w:r>
    </w:p>
    <w:p>
      <w:pPr>
        <w:ind w:firstLine="480"/>
        <w:jc w:val="both"/>
        <w:rPr>
          <w:rFonts w:hint="eastAsia"/>
          <w:color w:val="auto"/>
          <w:kern w:val="0"/>
          <w:u w:val="none"/>
        </w:rPr>
      </w:pPr>
      <w:r>
        <w:rPr>
          <w:rFonts w:hint="eastAsia"/>
          <w:color w:val="auto"/>
          <w:kern w:val="0"/>
          <w:u w:val="none"/>
          <w:lang w:eastAsia="zh-CN"/>
        </w:rPr>
        <w:t>一期</w:t>
      </w:r>
      <w:r>
        <w:rPr>
          <w:rFonts w:hint="eastAsia"/>
          <w:color w:val="auto"/>
          <w:kern w:val="0"/>
          <w:u w:val="none"/>
        </w:rPr>
        <w:t>工程竣工投产后，按处理规模</w:t>
      </w:r>
      <w:r>
        <w:rPr>
          <w:rFonts w:hint="eastAsia"/>
          <w:color w:val="auto"/>
          <w:kern w:val="0"/>
          <w:u w:val="none"/>
          <w:lang w:val="en-US" w:eastAsia="zh-CN"/>
        </w:rPr>
        <w:t>4</w:t>
      </w:r>
      <w:r>
        <w:rPr>
          <w:rFonts w:hint="eastAsia"/>
          <w:color w:val="auto"/>
          <w:kern w:val="0"/>
          <w:u w:val="none"/>
        </w:rPr>
        <w:t>00m</w:t>
      </w:r>
      <w:r>
        <w:rPr>
          <w:rFonts w:hint="eastAsia"/>
          <w:color w:val="auto"/>
          <w:kern w:val="0"/>
          <w:u w:val="none"/>
          <w:vertAlign w:val="superscript"/>
        </w:rPr>
        <w:t>3</w:t>
      </w:r>
      <w:r>
        <w:rPr>
          <w:rFonts w:hint="eastAsia"/>
          <w:color w:val="auto"/>
          <w:kern w:val="0"/>
          <w:u w:val="none"/>
        </w:rPr>
        <w:t>/d计，COD</w:t>
      </w:r>
      <w:r>
        <w:rPr>
          <w:rFonts w:hint="eastAsia"/>
          <w:color w:val="auto"/>
          <w:kern w:val="0"/>
          <w:u w:val="none"/>
          <w:lang w:eastAsia="zh-CN"/>
        </w:rPr>
        <w:t>由原来的</w:t>
      </w:r>
      <w:r>
        <w:rPr>
          <w:rFonts w:hint="eastAsia"/>
          <w:color w:val="auto"/>
          <w:kern w:val="0"/>
          <w:u w:val="none"/>
          <w:lang w:val="en-US" w:eastAsia="zh-CN"/>
        </w:rPr>
        <w:t>43.8</w:t>
      </w:r>
      <w:r>
        <w:rPr>
          <w:rFonts w:hint="eastAsia"/>
          <w:color w:val="auto"/>
          <w:kern w:val="0"/>
          <w:u w:val="none"/>
        </w:rPr>
        <w:t>t/a</w:t>
      </w:r>
      <w:r>
        <w:rPr>
          <w:rFonts w:hint="eastAsia"/>
          <w:color w:val="auto"/>
          <w:kern w:val="0"/>
          <w:u w:val="none"/>
          <w:lang w:eastAsia="zh-CN"/>
        </w:rPr>
        <w:t>减少至</w:t>
      </w:r>
      <w:r>
        <w:rPr>
          <w:rFonts w:hint="eastAsia"/>
          <w:color w:val="auto"/>
          <w:kern w:val="0"/>
          <w:u w:val="none"/>
          <w:lang w:val="en-US" w:eastAsia="zh-CN"/>
        </w:rPr>
        <w:t>7.3</w:t>
      </w:r>
      <w:r>
        <w:rPr>
          <w:rFonts w:hint="eastAsia"/>
          <w:color w:val="auto"/>
          <w:kern w:val="0"/>
          <w:u w:val="none"/>
        </w:rPr>
        <w:t>t/a，NH</w:t>
      </w:r>
      <w:r>
        <w:rPr>
          <w:rFonts w:hint="eastAsia"/>
          <w:color w:val="auto"/>
          <w:kern w:val="0"/>
          <w:u w:val="none"/>
          <w:vertAlign w:val="subscript"/>
        </w:rPr>
        <w:t>3</w:t>
      </w:r>
      <w:r>
        <w:rPr>
          <w:rFonts w:hint="eastAsia"/>
          <w:color w:val="auto"/>
          <w:kern w:val="0"/>
          <w:u w:val="none"/>
        </w:rPr>
        <w:t>-N</w:t>
      </w:r>
      <w:r>
        <w:rPr>
          <w:rFonts w:hint="eastAsia"/>
          <w:color w:val="auto"/>
          <w:kern w:val="0"/>
          <w:u w:val="none"/>
          <w:lang w:eastAsia="zh-CN"/>
        </w:rPr>
        <w:t>由原来的</w:t>
      </w:r>
      <w:r>
        <w:rPr>
          <w:rFonts w:hint="eastAsia"/>
          <w:color w:val="auto"/>
          <w:kern w:val="0"/>
          <w:u w:val="none"/>
          <w:lang w:val="en-US" w:eastAsia="zh-CN"/>
        </w:rPr>
        <w:t>3.65</w:t>
      </w:r>
      <w:r>
        <w:rPr>
          <w:rFonts w:hint="eastAsia"/>
          <w:color w:val="auto"/>
          <w:kern w:val="0"/>
          <w:u w:val="none"/>
        </w:rPr>
        <w:t>t/a</w:t>
      </w:r>
      <w:r>
        <w:rPr>
          <w:rFonts w:hint="eastAsia"/>
          <w:color w:val="auto"/>
          <w:kern w:val="0"/>
          <w:u w:val="none"/>
          <w:lang w:eastAsia="zh-CN"/>
        </w:rPr>
        <w:t>减少至</w:t>
      </w:r>
      <w:r>
        <w:rPr>
          <w:rFonts w:hint="eastAsia"/>
          <w:color w:val="auto"/>
          <w:kern w:val="0"/>
          <w:u w:val="none"/>
          <w:lang w:val="en-US" w:eastAsia="zh-CN"/>
        </w:rPr>
        <w:t>0.73</w:t>
      </w:r>
      <w:r>
        <w:rPr>
          <w:rFonts w:hint="eastAsia"/>
          <w:color w:val="auto"/>
          <w:kern w:val="0"/>
          <w:u w:val="none"/>
        </w:rPr>
        <w:t>t/a。</w:t>
      </w:r>
      <w:r>
        <w:rPr>
          <w:rFonts w:hint="eastAsia"/>
          <w:color w:val="auto"/>
          <w:kern w:val="0"/>
          <w:u w:val="none"/>
          <w:lang w:eastAsia="zh-CN"/>
        </w:rPr>
        <w:t>二期</w:t>
      </w:r>
      <w:r>
        <w:rPr>
          <w:rFonts w:hint="eastAsia"/>
          <w:color w:val="auto"/>
          <w:kern w:val="0"/>
          <w:u w:val="none"/>
        </w:rPr>
        <w:t>工程竣工投产后，按处理规模</w:t>
      </w:r>
      <w:r>
        <w:rPr>
          <w:rFonts w:hint="eastAsia"/>
          <w:color w:val="auto"/>
          <w:kern w:val="0"/>
          <w:u w:val="none"/>
          <w:lang w:val="en-US" w:eastAsia="zh-CN"/>
        </w:rPr>
        <w:t>10</w:t>
      </w:r>
      <w:r>
        <w:rPr>
          <w:rFonts w:hint="eastAsia"/>
          <w:color w:val="auto"/>
          <w:kern w:val="0"/>
          <w:u w:val="none"/>
        </w:rPr>
        <w:t>00m</w:t>
      </w:r>
      <w:r>
        <w:rPr>
          <w:rFonts w:hint="eastAsia"/>
          <w:color w:val="auto"/>
          <w:kern w:val="0"/>
          <w:u w:val="none"/>
          <w:vertAlign w:val="superscript"/>
        </w:rPr>
        <w:t>3</w:t>
      </w:r>
      <w:r>
        <w:rPr>
          <w:rFonts w:hint="eastAsia"/>
          <w:color w:val="auto"/>
          <w:kern w:val="0"/>
          <w:u w:val="none"/>
        </w:rPr>
        <w:t>/d计，COD</w:t>
      </w:r>
      <w:r>
        <w:rPr>
          <w:rFonts w:hint="eastAsia"/>
          <w:color w:val="auto"/>
          <w:kern w:val="0"/>
          <w:u w:val="none"/>
          <w:lang w:eastAsia="zh-CN"/>
        </w:rPr>
        <w:t>由原来的</w:t>
      </w:r>
      <w:r>
        <w:rPr>
          <w:rFonts w:hint="eastAsia"/>
          <w:color w:val="auto"/>
          <w:kern w:val="0"/>
          <w:u w:val="none"/>
          <w:lang w:val="en-US" w:eastAsia="zh-CN"/>
        </w:rPr>
        <w:t>182.5</w:t>
      </w:r>
      <w:r>
        <w:rPr>
          <w:rFonts w:hint="eastAsia"/>
          <w:color w:val="auto"/>
          <w:kern w:val="0"/>
          <w:u w:val="none"/>
        </w:rPr>
        <w:t>t/a</w:t>
      </w:r>
      <w:r>
        <w:rPr>
          <w:rFonts w:hint="eastAsia"/>
          <w:color w:val="auto"/>
          <w:kern w:val="0"/>
          <w:u w:val="none"/>
          <w:lang w:eastAsia="zh-CN"/>
        </w:rPr>
        <w:t>减少至</w:t>
      </w:r>
      <w:r>
        <w:rPr>
          <w:rFonts w:hint="eastAsia"/>
          <w:color w:val="auto"/>
          <w:kern w:val="0"/>
          <w:u w:val="none"/>
          <w:lang w:val="en-US" w:eastAsia="zh-CN"/>
        </w:rPr>
        <w:t>18.25</w:t>
      </w:r>
      <w:r>
        <w:rPr>
          <w:rFonts w:hint="eastAsia"/>
          <w:color w:val="auto"/>
          <w:kern w:val="0"/>
          <w:u w:val="none"/>
        </w:rPr>
        <w:t>t/a，NH</w:t>
      </w:r>
      <w:r>
        <w:rPr>
          <w:rFonts w:hint="eastAsia"/>
          <w:color w:val="auto"/>
          <w:kern w:val="0"/>
          <w:u w:val="none"/>
          <w:vertAlign w:val="subscript"/>
        </w:rPr>
        <w:t>3</w:t>
      </w:r>
      <w:r>
        <w:rPr>
          <w:rFonts w:hint="eastAsia"/>
          <w:color w:val="auto"/>
          <w:kern w:val="0"/>
          <w:u w:val="none"/>
        </w:rPr>
        <w:t>-N</w:t>
      </w:r>
      <w:r>
        <w:rPr>
          <w:rFonts w:hint="eastAsia"/>
          <w:color w:val="auto"/>
          <w:kern w:val="0"/>
          <w:u w:val="none"/>
          <w:lang w:eastAsia="zh-CN"/>
        </w:rPr>
        <w:t>由原来的</w:t>
      </w:r>
      <w:r>
        <w:rPr>
          <w:rFonts w:hint="eastAsia"/>
          <w:color w:val="auto"/>
          <w:kern w:val="0"/>
          <w:u w:val="none"/>
          <w:lang w:val="en-US" w:eastAsia="zh-CN"/>
        </w:rPr>
        <w:t>9.125</w:t>
      </w:r>
      <w:r>
        <w:rPr>
          <w:rFonts w:hint="eastAsia"/>
          <w:color w:val="auto"/>
          <w:kern w:val="0"/>
          <w:u w:val="none"/>
        </w:rPr>
        <w:t>t/a</w:t>
      </w:r>
      <w:r>
        <w:rPr>
          <w:rFonts w:hint="eastAsia"/>
          <w:color w:val="auto"/>
          <w:kern w:val="0"/>
          <w:u w:val="none"/>
          <w:lang w:eastAsia="zh-CN"/>
        </w:rPr>
        <w:t>减少至</w:t>
      </w:r>
      <w:r>
        <w:rPr>
          <w:rFonts w:hint="eastAsia"/>
          <w:color w:val="auto"/>
          <w:kern w:val="0"/>
          <w:u w:val="none"/>
          <w:lang w:val="en-US" w:eastAsia="zh-CN"/>
        </w:rPr>
        <w:t>1.825</w:t>
      </w:r>
      <w:r>
        <w:rPr>
          <w:rFonts w:hint="eastAsia"/>
          <w:color w:val="auto"/>
          <w:kern w:val="0"/>
          <w:u w:val="none"/>
        </w:rPr>
        <w:t>t/a。有利的保护了项目周边水环境质量与生态环境质量，社会效益与环境效益显著。</w:t>
      </w:r>
    </w:p>
    <w:p>
      <w:pPr>
        <w:pStyle w:val="4"/>
        <w:ind w:firstLine="643"/>
        <w:rPr>
          <w:rFonts w:hint="eastAsia"/>
          <w:color w:val="auto"/>
          <w:kern w:val="0"/>
          <w:u w:val="none"/>
        </w:rPr>
      </w:pPr>
      <w:r>
        <w:rPr>
          <w:color w:val="auto"/>
          <w:kern w:val="0"/>
          <w:u w:val="none"/>
        </w:rPr>
        <w:br w:type="page"/>
      </w:r>
      <w:bookmarkStart w:id="304" w:name="_Toc28981"/>
      <w:r>
        <w:rPr>
          <w:rFonts w:hint="eastAsia"/>
          <w:color w:val="auto"/>
          <w:kern w:val="0"/>
          <w:u w:val="none"/>
        </w:rPr>
        <w:t>第7章 环境管理及监测计划</w:t>
      </w:r>
      <w:bookmarkEnd w:id="304"/>
    </w:p>
    <w:p>
      <w:pPr>
        <w:pStyle w:val="76"/>
        <w:spacing w:before="163" w:after="163"/>
        <w:rPr>
          <w:rFonts w:hint="eastAsia"/>
          <w:color w:val="auto"/>
          <w:kern w:val="0"/>
          <w:u w:val="none"/>
        </w:rPr>
      </w:pPr>
      <w:bookmarkStart w:id="305" w:name="_Toc17454"/>
      <w:r>
        <w:rPr>
          <w:rFonts w:hint="eastAsia"/>
          <w:color w:val="auto"/>
          <w:kern w:val="0"/>
          <w:u w:val="none"/>
        </w:rPr>
        <w:t>7.1环境管理基本任务</w:t>
      </w:r>
      <w:bookmarkEnd w:id="305"/>
    </w:p>
    <w:p>
      <w:pPr>
        <w:ind w:firstLine="480"/>
        <w:jc w:val="both"/>
        <w:rPr>
          <w:rFonts w:hint="eastAsia"/>
          <w:color w:val="auto"/>
          <w:kern w:val="0"/>
          <w:u w:val="none"/>
        </w:rPr>
      </w:pPr>
      <w:r>
        <w:rPr>
          <w:rFonts w:hint="eastAsia"/>
          <w:color w:val="auto"/>
          <w:kern w:val="0"/>
          <w:u w:val="none"/>
        </w:rPr>
        <w:t>本工程建设单位为</w:t>
      </w:r>
      <w:r>
        <w:rPr>
          <w:rFonts w:hint="eastAsia"/>
          <w:color w:val="auto"/>
          <w:kern w:val="0"/>
          <w:u w:val="none"/>
          <w:lang w:eastAsia="zh-CN"/>
        </w:rPr>
        <w:t>湘西猛洞河旅游生态开发区建设有限责任公司</w:t>
      </w:r>
      <w:r>
        <w:rPr>
          <w:rFonts w:hint="eastAsia"/>
          <w:color w:val="auto"/>
          <w:kern w:val="0"/>
          <w:u w:val="none"/>
        </w:rPr>
        <w:t>，其负责制定项目环保工作计划，协调各主管部门及建设单位之间的环境管理工作，指导建设单位执行各项管理措施；为施工期现场的监督、管理机构，负责环境保护计划的设计阶段环境管理，负责施工期环境行动的实施与管理。另外为了控制污染物排放量，避免污染物对环境质量的损害，建设单位需要加强计划、生产、技术、质量、设备、劳动、财务等方面的管理，把环境管理渗透到整个企业管理中，将环境管理融合一起，以减少从生产过程中各环节排出的污染物。并建立环境污染管理系统、制度、环境规划、协调发展生产保护环境的关系，使生产管理系统、制度、环境污染规划协调生产与保护环境的关系，使生产目标与环境目标统一起来，经济效益与环境效益统一起来。</w:t>
      </w:r>
    </w:p>
    <w:p>
      <w:pPr>
        <w:pStyle w:val="76"/>
        <w:spacing w:before="163" w:after="163"/>
        <w:rPr>
          <w:rFonts w:hint="eastAsia"/>
          <w:color w:val="auto"/>
          <w:kern w:val="0"/>
          <w:u w:val="none"/>
        </w:rPr>
      </w:pPr>
      <w:bookmarkStart w:id="306" w:name="_Toc328"/>
      <w:r>
        <w:rPr>
          <w:rFonts w:hint="eastAsia"/>
          <w:color w:val="auto"/>
          <w:kern w:val="0"/>
          <w:u w:val="none"/>
        </w:rPr>
        <w:t>7.2环境管理机制</w:t>
      </w:r>
      <w:bookmarkEnd w:id="306"/>
    </w:p>
    <w:p>
      <w:pPr>
        <w:ind w:firstLine="480"/>
        <w:jc w:val="both"/>
        <w:rPr>
          <w:rFonts w:hint="eastAsia"/>
          <w:color w:val="auto"/>
          <w:u w:val="none"/>
        </w:rPr>
      </w:pPr>
      <w:r>
        <w:rPr>
          <w:rFonts w:hint="eastAsia"/>
          <w:color w:val="auto"/>
          <w:u w:val="none"/>
        </w:rPr>
        <w:t>为落实拟建工程的各项环境保护措施，园区应加强环境保护和管理工作，组建环境保护管理机构（环境管理机构-安全环保部，专职环境管理人员</w:t>
      </w:r>
      <w:r>
        <w:rPr>
          <w:rFonts w:hint="eastAsia"/>
          <w:color w:val="auto"/>
          <w:u w:val="none"/>
          <w:lang w:val="en-US" w:eastAsia="zh-CN"/>
        </w:rPr>
        <w:t>3</w:t>
      </w:r>
      <w:r>
        <w:rPr>
          <w:rFonts w:hint="eastAsia"/>
          <w:color w:val="auto"/>
          <w:u w:val="none"/>
        </w:rPr>
        <w:t>人），形成一个生产与环保、兼职与专职相结合的环保工作网络。厂区环境监测工作可委托当地有资质的环境监测单位开展。</w:t>
      </w:r>
    </w:p>
    <w:p>
      <w:pPr>
        <w:ind w:firstLine="480"/>
        <w:jc w:val="both"/>
        <w:rPr>
          <w:color w:val="auto"/>
          <w:u w:val="none"/>
        </w:rPr>
      </w:pPr>
      <w:r>
        <w:rPr>
          <w:rFonts w:hint="eastAsia"/>
          <w:color w:val="auto"/>
          <w:u w:val="none"/>
        </w:rPr>
        <w:t>环境管理机构的主要管理职责，根据不同时期工程内容，环境管理的侧重点不同。根据工程情况，可将环境管理职责分为建设期、运营期。</w:t>
      </w:r>
    </w:p>
    <w:p>
      <w:pPr>
        <w:ind w:firstLine="480"/>
        <w:jc w:val="both"/>
        <w:rPr>
          <w:rFonts w:hint="eastAsia"/>
          <w:color w:val="auto"/>
          <w:u w:val="none"/>
        </w:rPr>
      </w:pPr>
      <w:r>
        <w:rPr>
          <w:rFonts w:hint="eastAsia"/>
          <w:color w:val="auto"/>
          <w:u w:val="none"/>
        </w:rPr>
        <w:t>（1）建设期管理</w:t>
      </w:r>
    </w:p>
    <w:p>
      <w:pPr>
        <w:ind w:firstLine="480"/>
        <w:jc w:val="both"/>
        <w:rPr>
          <w:color w:val="auto"/>
          <w:u w:val="none"/>
        </w:rPr>
      </w:pPr>
      <w:r>
        <w:rPr>
          <w:rFonts w:hint="eastAsia"/>
          <w:color w:val="auto"/>
          <w:u w:val="none"/>
        </w:rPr>
        <w:t>建设单位在施工开始时应配有专职的环保督察员，负责监督施工单位在建设期间的环境管理（包括施工废水、施工噪声、道路扬尘的处理等）工作。要求施工队分别配备 1 名环保管理员，共同负责监督、检查落实日常与环境保护相关的事务。</w:t>
      </w:r>
    </w:p>
    <w:p>
      <w:pPr>
        <w:ind w:firstLine="480"/>
        <w:jc w:val="both"/>
        <w:rPr>
          <w:rFonts w:hint="eastAsia"/>
          <w:color w:val="auto"/>
          <w:u w:val="none"/>
        </w:rPr>
      </w:pPr>
      <w:r>
        <w:rPr>
          <w:rFonts w:hint="eastAsia"/>
          <w:color w:val="auto"/>
          <w:u w:val="none"/>
        </w:rPr>
        <w:t>建设期施工队主要环境管理内容包括：</w:t>
      </w:r>
    </w:p>
    <w:p>
      <w:pPr>
        <w:ind w:firstLine="480"/>
        <w:jc w:val="both"/>
        <w:rPr>
          <w:rFonts w:hint="eastAsia"/>
          <w:color w:val="auto"/>
          <w:u w:val="none"/>
        </w:rPr>
      </w:pPr>
      <w:r>
        <w:rPr>
          <w:rFonts w:hint="eastAsia"/>
          <w:color w:val="auto"/>
          <w:u w:val="none"/>
        </w:rPr>
        <w:t>①组织制定本单位的环境保护管理的规章制度，并监督执行；</w:t>
      </w:r>
    </w:p>
    <w:p>
      <w:pPr>
        <w:ind w:firstLine="480"/>
        <w:jc w:val="both"/>
        <w:rPr>
          <w:rFonts w:hint="eastAsia"/>
          <w:color w:val="auto"/>
          <w:u w:val="none"/>
        </w:rPr>
      </w:pPr>
      <w:r>
        <w:rPr>
          <w:rFonts w:hint="eastAsia"/>
          <w:color w:val="auto"/>
          <w:u w:val="none"/>
        </w:rPr>
        <w:t>②负责施工过程中的日常环境管理工作；</w:t>
      </w:r>
    </w:p>
    <w:p>
      <w:pPr>
        <w:ind w:firstLine="480"/>
        <w:jc w:val="both"/>
        <w:rPr>
          <w:rFonts w:hint="eastAsia"/>
          <w:color w:val="auto"/>
          <w:u w:val="none"/>
        </w:rPr>
      </w:pPr>
      <w:r>
        <w:rPr>
          <w:rFonts w:hint="eastAsia"/>
          <w:color w:val="auto"/>
          <w:u w:val="none"/>
        </w:rPr>
        <w:t>③组织环境保护宣传，提高施工人员的环境保护意识，减少扬尘和噪声；</w:t>
      </w:r>
    </w:p>
    <w:p>
      <w:pPr>
        <w:ind w:firstLine="480"/>
        <w:jc w:val="both"/>
        <w:rPr>
          <w:rFonts w:hint="eastAsia"/>
          <w:color w:val="auto"/>
          <w:u w:val="none"/>
        </w:rPr>
      </w:pPr>
      <w:r>
        <w:rPr>
          <w:rFonts w:hint="eastAsia"/>
          <w:color w:val="auto"/>
          <w:u w:val="none"/>
        </w:rPr>
        <w:t>④按照水保方案和环境影响评价对拟建项目的要求，负责实施阶段性的水土保持和生态恢复工作。</w:t>
      </w:r>
    </w:p>
    <w:p>
      <w:pPr>
        <w:ind w:firstLine="480"/>
        <w:jc w:val="both"/>
        <w:rPr>
          <w:rFonts w:hint="eastAsia"/>
          <w:color w:val="auto"/>
          <w:u w:val="none"/>
        </w:rPr>
      </w:pPr>
      <w:r>
        <w:rPr>
          <w:rFonts w:hint="eastAsia"/>
          <w:color w:val="auto"/>
          <w:u w:val="none"/>
        </w:rPr>
        <w:t>建设单位环保督察员职责包括：</w:t>
      </w:r>
    </w:p>
    <w:p>
      <w:pPr>
        <w:ind w:firstLine="480"/>
        <w:jc w:val="both"/>
        <w:rPr>
          <w:rFonts w:hint="eastAsia"/>
          <w:color w:val="auto"/>
          <w:u w:val="none"/>
        </w:rPr>
      </w:pPr>
      <w:r>
        <w:rPr>
          <w:rFonts w:hint="eastAsia"/>
          <w:color w:val="auto"/>
          <w:u w:val="none"/>
        </w:rPr>
        <w:t>①协调和督促项目配套环保设施的建设符合“三同时”要求；</w:t>
      </w:r>
    </w:p>
    <w:p>
      <w:pPr>
        <w:ind w:firstLine="480"/>
        <w:jc w:val="both"/>
        <w:rPr>
          <w:rFonts w:hint="eastAsia"/>
          <w:color w:val="auto"/>
          <w:u w:val="none"/>
        </w:rPr>
      </w:pPr>
      <w:r>
        <w:rPr>
          <w:rFonts w:hint="eastAsia"/>
          <w:color w:val="auto"/>
          <w:u w:val="none"/>
        </w:rPr>
        <w:t>②参与工程环保设施竣工验收。</w:t>
      </w:r>
    </w:p>
    <w:p>
      <w:pPr>
        <w:ind w:firstLine="480"/>
        <w:jc w:val="both"/>
        <w:rPr>
          <w:rFonts w:hint="eastAsia"/>
          <w:color w:val="auto"/>
          <w:u w:val="none"/>
        </w:rPr>
      </w:pPr>
      <w:r>
        <w:rPr>
          <w:rFonts w:hint="eastAsia"/>
          <w:color w:val="auto"/>
          <w:u w:val="none"/>
        </w:rPr>
        <w:t>（2）运营期管理</w:t>
      </w:r>
    </w:p>
    <w:p>
      <w:pPr>
        <w:ind w:firstLine="480"/>
        <w:jc w:val="both"/>
        <w:rPr>
          <w:rFonts w:hint="eastAsia"/>
          <w:color w:val="auto"/>
          <w:u w:val="none"/>
        </w:rPr>
      </w:pPr>
      <w:r>
        <w:rPr>
          <w:rFonts w:hint="eastAsia"/>
          <w:color w:val="auto"/>
          <w:u w:val="none"/>
        </w:rPr>
        <w:t>运营期间，公司应该设立环境管理机构，负责环保管理和环境监测工作。</w:t>
      </w:r>
    </w:p>
    <w:p>
      <w:pPr>
        <w:ind w:firstLine="480"/>
        <w:jc w:val="both"/>
        <w:rPr>
          <w:rFonts w:hint="eastAsia"/>
          <w:color w:val="auto"/>
          <w:u w:val="none"/>
        </w:rPr>
      </w:pPr>
      <w:r>
        <w:rPr>
          <w:rFonts w:hint="eastAsia"/>
          <w:color w:val="auto"/>
          <w:u w:val="none"/>
        </w:rPr>
        <w:t>其主要环境管理职责如下：</w:t>
      </w:r>
    </w:p>
    <w:p>
      <w:pPr>
        <w:ind w:firstLine="480"/>
        <w:jc w:val="both"/>
        <w:rPr>
          <w:rFonts w:hint="eastAsia"/>
          <w:color w:val="auto"/>
          <w:u w:val="none"/>
        </w:rPr>
      </w:pPr>
      <w:r>
        <w:rPr>
          <w:rFonts w:hint="eastAsia"/>
          <w:color w:val="auto"/>
          <w:u w:val="none"/>
        </w:rPr>
        <w:t>①制定环境监测、监理和环境治理方案；</w:t>
      </w:r>
    </w:p>
    <w:p>
      <w:pPr>
        <w:ind w:firstLine="480"/>
        <w:jc w:val="both"/>
        <w:rPr>
          <w:rFonts w:hint="eastAsia"/>
          <w:color w:val="auto"/>
          <w:u w:val="none"/>
        </w:rPr>
      </w:pPr>
      <w:r>
        <w:rPr>
          <w:rFonts w:hint="eastAsia"/>
          <w:color w:val="auto"/>
          <w:u w:val="none"/>
        </w:rPr>
        <w:t>②制定并组织实施全公司详细的生态建设环境保护规划和计划；</w:t>
      </w:r>
    </w:p>
    <w:p>
      <w:pPr>
        <w:ind w:firstLine="480"/>
        <w:jc w:val="both"/>
        <w:rPr>
          <w:rFonts w:hint="eastAsia"/>
          <w:color w:val="auto"/>
          <w:u w:val="none"/>
        </w:rPr>
      </w:pPr>
      <w:r>
        <w:rPr>
          <w:rFonts w:hint="eastAsia"/>
          <w:color w:val="auto"/>
          <w:u w:val="none"/>
        </w:rPr>
        <w:t>③对监测指标异常的污染物及新发现的污染物要及时上报有关部门；</w:t>
      </w:r>
    </w:p>
    <w:p>
      <w:pPr>
        <w:ind w:firstLine="480"/>
        <w:jc w:val="both"/>
        <w:rPr>
          <w:rFonts w:hint="eastAsia"/>
          <w:color w:val="auto"/>
          <w:u w:val="none"/>
        </w:rPr>
      </w:pPr>
      <w:r>
        <w:rPr>
          <w:rFonts w:hint="eastAsia"/>
          <w:color w:val="auto"/>
          <w:u w:val="none"/>
        </w:rPr>
        <w:t>④建立环境科技档案和管理方案，实行环境保护工作动态管理；</w:t>
      </w:r>
    </w:p>
    <w:p>
      <w:pPr>
        <w:ind w:firstLine="480"/>
        <w:jc w:val="both"/>
        <w:rPr>
          <w:rFonts w:hint="eastAsia"/>
          <w:color w:val="auto"/>
          <w:u w:val="none"/>
        </w:rPr>
      </w:pPr>
      <w:r>
        <w:rPr>
          <w:rFonts w:hint="eastAsia"/>
          <w:color w:val="auto"/>
          <w:u w:val="none"/>
        </w:rPr>
        <w:t>⑤编制污染监测及环境指标考核报表，及时送交有关部门；</w:t>
      </w:r>
    </w:p>
    <w:p>
      <w:pPr>
        <w:ind w:firstLine="480"/>
        <w:jc w:val="both"/>
        <w:rPr>
          <w:rFonts w:hint="eastAsia"/>
          <w:color w:val="auto"/>
          <w:u w:val="none"/>
        </w:rPr>
      </w:pPr>
      <w:r>
        <w:rPr>
          <w:rFonts w:hint="eastAsia"/>
          <w:color w:val="auto"/>
          <w:u w:val="none"/>
        </w:rPr>
        <w:t>⑥每季度对环保设施进行全面检查，确保无重大环境污染、泄漏事故发生；</w:t>
      </w:r>
    </w:p>
    <w:p>
      <w:pPr>
        <w:ind w:firstLine="480"/>
        <w:jc w:val="both"/>
        <w:rPr>
          <w:rFonts w:hint="eastAsia"/>
          <w:color w:val="auto"/>
          <w:u w:val="none"/>
        </w:rPr>
      </w:pPr>
      <w:r>
        <w:rPr>
          <w:rFonts w:hint="eastAsia"/>
          <w:color w:val="auto"/>
          <w:u w:val="none"/>
        </w:rPr>
        <w:t>⑦组织和开展本单位的环境保护专业技术培训，提高环保工作人员的素质，推广应用环境保护先进技术和经验，组织环保宣传教育工作；</w:t>
      </w:r>
    </w:p>
    <w:p>
      <w:pPr>
        <w:ind w:firstLine="480"/>
        <w:rPr>
          <w:rFonts w:hint="eastAsia"/>
          <w:color w:val="auto"/>
          <w:u w:val="none"/>
        </w:rPr>
      </w:pPr>
      <w:r>
        <w:rPr>
          <w:rFonts w:hint="eastAsia"/>
          <w:color w:val="auto"/>
          <w:u w:val="none"/>
        </w:rPr>
        <w:t>⑧处理公司内有关环保的生产事故。</w:t>
      </w:r>
    </w:p>
    <w:p>
      <w:pPr>
        <w:pStyle w:val="76"/>
        <w:spacing w:before="163" w:after="163"/>
        <w:jc w:val="both"/>
        <w:rPr>
          <w:rFonts w:hint="eastAsia"/>
          <w:color w:val="auto"/>
          <w:kern w:val="0"/>
          <w:u w:val="single"/>
        </w:rPr>
      </w:pPr>
      <w:bookmarkStart w:id="307" w:name="_Toc31065"/>
      <w:r>
        <w:rPr>
          <w:rFonts w:hint="eastAsia"/>
          <w:color w:val="auto"/>
          <w:kern w:val="0"/>
          <w:u w:val="single"/>
        </w:rPr>
        <w:t>7.3排污口规范化管理</w:t>
      </w:r>
      <w:bookmarkEnd w:id="307"/>
    </w:p>
    <w:p>
      <w:pPr>
        <w:ind w:firstLine="480"/>
        <w:jc w:val="both"/>
        <w:rPr>
          <w:rFonts w:hint="eastAsia"/>
          <w:color w:val="auto"/>
          <w:kern w:val="0"/>
          <w:u w:val="single"/>
        </w:rPr>
      </w:pPr>
      <w:r>
        <w:rPr>
          <w:color w:val="auto"/>
          <w:kern w:val="0"/>
          <w:u w:val="single"/>
        </w:rPr>
        <w:t>排污口是企业排放污染物进入环境的通道，强化排污口的管理是实施污染物总量控制的基础工作之一，也是区域环境管理逐步实现污染物排放科学化、定量化的重要手段。</w:t>
      </w:r>
    </w:p>
    <w:p>
      <w:pPr>
        <w:ind w:firstLine="480"/>
        <w:jc w:val="both"/>
        <w:rPr>
          <w:rFonts w:hint="eastAsia"/>
          <w:color w:val="auto"/>
          <w:kern w:val="0"/>
          <w:u w:val="single"/>
        </w:rPr>
      </w:pPr>
      <w:r>
        <w:rPr>
          <w:color w:val="auto"/>
          <w:kern w:val="0"/>
          <w:u w:val="single"/>
        </w:rPr>
        <w:t>（1）排污口管理原则排污口是企业污染物进入环境、污染环境的通道，强化排污口的管理是实施污染物总量控制的基础工作，也是区域环境管理逐步实现污染物排放科学化、定量化的重要手段。本工程排污口应实行规范化设置与管理，具体管理原则如下：</w:t>
      </w:r>
    </w:p>
    <w:p>
      <w:pPr>
        <w:ind w:firstLine="480"/>
        <w:jc w:val="both"/>
        <w:rPr>
          <w:rFonts w:hint="eastAsia"/>
          <w:color w:val="auto"/>
          <w:kern w:val="0"/>
          <w:u w:val="single"/>
        </w:rPr>
      </w:pPr>
      <w:r>
        <w:rPr>
          <w:color w:val="auto"/>
          <w:kern w:val="0"/>
          <w:u w:val="single"/>
        </w:rPr>
        <w:drawing>
          <wp:anchor distT="0" distB="0" distL="0" distR="0" simplePos="0" relativeHeight="251659264" behindDoc="1" locked="0" layoutInCell="1" allowOverlap="1">
            <wp:simplePos x="0" y="0"/>
            <wp:positionH relativeFrom="page">
              <wp:posOffset>1312545</wp:posOffset>
            </wp:positionH>
            <wp:positionV relativeFrom="paragraph">
              <wp:posOffset>55245</wp:posOffset>
            </wp:positionV>
            <wp:extent cx="304800" cy="186055"/>
            <wp:effectExtent l="0" t="0" r="0" b="0"/>
            <wp:wrapNone/>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1.png"/>
                    <pic:cNvPicPr>
                      <a:picLocks noChangeAspect="1"/>
                    </pic:cNvPicPr>
                  </pic:nvPicPr>
                  <pic:blipFill>
                    <a:blip r:embed="rId76"/>
                    <a:stretch>
                      <a:fillRect/>
                    </a:stretch>
                  </pic:blipFill>
                  <pic:spPr>
                    <a:xfrm>
                      <a:off x="0" y="0"/>
                      <a:ext cx="304800" cy="186055"/>
                    </a:xfrm>
                    <a:prstGeom prst="rect">
                      <a:avLst/>
                    </a:prstGeom>
                    <a:noFill/>
                    <a:ln>
                      <a:noFill/>
                    </a:ln>
                  </pic:spPr>
                </pic:pic>
              </a:graphicData>
            </a:graphic>
          </wp:anchor>
        </w:drawing>
      </w:r>
      <w:r>
        <w:rPr>
          <w:color w:val="auto"/>
          <w:kern w:val="0"/>
          <w:u w:val="single"/>
        </w:rPr>
        <w:t>排污口必须规范化设置，排污口应便于采样与计量监测，便于日常监督检查，应有观测、取样、维修通道，建设配套的在线监测和计量装置；</w:t>
      </w:r>
    </w:p>
    <w:p>
      <w:pPr>
        <w:ind w:firstLine="480"/>
        <w:jc w:val="both"/>
        <w:rPr>
          <w:rFonts w:hint="eastAsia"/>
          <w:color w:val="auto"/>
          <w:kern w:val="0"/>
          <w:u w:val="single"/>
        </w:rPr>
      </w:pPr>
      <w:r>
        <w:rPr>
          <w:color w:val="auto"/>
          <w:kern w:val="0"/>
          <w:u w:val="single"/>
        </w:rPr>
        <w:drawing>
          <wp:anchor distT="0" distB="0" distL="0" distR="0" simplePos="0" relativeHeight="251660288" behindDoc="1" locked="0" layoutInCell="1" allowOverlap="1">
            <wp:simplePos x="0" y="0"/>
            <wp:positionH relativeFrom="page">
              <wp:posOffset>1312545</wp:posOffset>
            </wp:positionH>
            <wp:positionV relativeFrom="paragraph">
              <wp:posOffset>57150</wp:posOffset>
            </wp:positionV>
            <wp:extent cx="304800" cy="186055"/>
            <wp:effectExtent l="0" t="0" r="0" b="0"/>
            <wp:wrapNone/>
            <wp:docPr id="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a:picLocks noChangeAspect="1"/>
                    </pic:cNvPicPr>
                  </pic:nvPicPr>
                  <pic:blipFill>
                    <a:blip r:embed="rId76"/>
                    <a:stretch>
                      <a:fillRect/>
                    </a:stretch>
                  </pic:blipFill>
                  <pic:spPr>
                    <a:xfrm>
                      <a:off x="0" y="0"/>
                      <a:ext cx="304800" cy="186055"/>
                    </a:xfrm>
                    <a:prstGeom prst="rect">
                      <a:avLst/>
                    </a:prstGeom>
                    <a:noFill/>
                    <a:ln>
                      <a:noFill/>
                    </a:ln>
                  </pic:spPr>
                </pic:pic>
              </a:graphicData>
            </a:graphic>
          </wp:anchor>
        </w:drawing>
      </w:r>
      <w:r>
        <w:rPr>
          <w:color w:val="auto"/>
          <w:kern w:val="0"/>
          <w:u w:val="single"/>
        </w:rPr>
        <w:t>如实向环保管理部门申报排污口数量、位置及所排放的主要污染物种类、数量、浓度、排放去向等情况</w:t>
      </w:r>
      <w:r>
        <w:rPr>
          <w:rFonts w:hint="eastAsia"/>
          <w:color w:val="auto"/>
          <w:kern w:val="0"/>
          <w:u w:val="single"/>
        </w:rPr>
        <w:t>。</w:t>
      </w:r>
    </w:p>
    <w:p>
      <w:pPr>
        <w:ind w:firstLine="480"/>
        <w:jc w:val="both"/>
        <w:rPr>
          <w:rFonts w:hint="eastAsia"/>
          <w:color w:val="auto"/>
          <w:kern w:val="0"/>
          <w:u w:val="single"/>
        </w:rPr>
      </w:pPr>
      <w:r>
        <w:rPr>
          <w:color w:val="auto"/>
          <w:kern w:val="0"/>
          <w:u w:val="single"/>
        </w:rPr>
        <w:t>（2）排污口立标管理</w:t>
      </w:r>
    </w:p>
    <w:p>
      <w:pPr>
        <w:ind w:firstLine="480"/>
        <w:jc w:val="both"/>
        <w:rPr>
          <w:rFonts w:hint="eastAsia"/>
          <w:color w:val="auto"/>
          <w:kern w:val="0"/>
          <w:u w:val="single"/>
        </w:rPr>
      </w:pPr>
      <w:r>
        <w:rPr>
          <w:color w:val="auto"/>
          <w:kern w:val="0"/>
          <w:u w:val="single"/>
        </w:rPr>
        <w:t>工程建设应根据国家《环境保护图形标志》（GB15562.1~2-1995）的规定，针对各污染物排放口及噪声排放源分别设置国家环保局统一制作的环境保护图形标志牌，并应注意以下几点：</w:t>
      </w:r>
    </w:p>
    <w:p>
      <w:pPr>
        <w:ind w:firstLine="480"/>
        <w:jc w:val="both"/>
        <w:rPr>
          <w:rFonts w:hint="eastAsia"/>
          <w:color w:val="auto"/>
          <w:kern w:val="0"/>
          <w:u w:val="single"/>
        </w:rPr>
      </w:pPr>
      <w:r>
        <w:rPr>
          <w:color w:val="auto"/>
          <w:kern w:val="0"/>
          <w:u w:val="single"/>
        </w:rPr>
        <w:drawing>
          <wp:anchor distT="0" distB="0" distL="0" distR="0" simplePos="0" relativeHeight="251661312" behindDoc="1" locked="0" layoutInCell="1" allowOverlap="1">
            <wp:simplePos x="0" y="0"/>
            <wp:positionH relativeFrom="page">
              <wp:posOffset>1312545</wp:posOffset>
            </wp:positionH>
            <wp:positionV relativeFrom="paragraph">
              <wp:posOffset>61595</wp:posOffset>
            </wp:positionV>
            <wp:extent cx="304800" cy="186055"/>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1.png"/>
                    <pic:cNvPicPr>
                      <a:picLocks noChangeAspect="1"/>
                    </pic:cNvPicPr>
                  </pic:nvPicPr>
                  <pic:blipFill>
                    <a:blip r:embed="rId76"/>
                    <a:stretch>
                      <a:fillRect/>
                    </a:stretch>
                  </pic:blipFill>
                  <pic:spPr>
                    <a:xfrm>
                      <a:off x="0" y="0"/>
                      <a:ext cx="304800" cy="186055"/>
                    </a:xfrm>
                    <a:prstGeom prst="rect">
                      <a:avLst/>
                    </a:prstGeom>
                    <a:noFill/>
                    <a:ln>
                      <a:noFill/>
                    </a:ln>
                  </pic:spPr>
                </pic:pic>
              </a:graphicData>
            </a:graphic>
          </wp:anchor>
        </w:drawing>
      </w:r>
      <w:r>
        <w:rPr>
          <w:color w:val="auto"/>
          <w:kern w:val="0"/>
          <w:u w:val="single"/>
        </w:rPr>
        <w:t>为了便于管理，必须对厂内排污口进行规范化建设，安装计量设施，排污口的环保图形标志牌应设置在靠近采样点的醒目处，标志牌设置高度为其上边缘距离地面约2m；</w:t>
      </w:r>
    </w:p>
    <w:p>
      <w:pPr>
        <w:ind w:firstLine="480"/>
        <w:jc w:val="both"/>
        <w:rPr>
          <w:rFonts w:hint="eastAsia"/>
          <w:color w:val="auto"/>
          <w:kern w:val="0"/>
          <w:u w:val="single"/>
        </w:rPr>
      </w:pPr>
      <w:r>
        <w:rPr>
          <w:color w:val="auto"/>
          <w:kern w:val="0"/>
          <w:u w:val="single"/>
        </w:rPr>
        <w:drawing>
          <wp:anchor distT="0" distB="0" distL="0" distR="0" simplePos="0" relativeHeight="251662336" behindDoc="1" locked="0" layoutInCell="1" allowOverlap="1">
            <wp:simplePos x="0" y="0"/>
            <wp:positionH relativeFrom="page">
              <wp:posOffset>1312545</wp:posOffset>
            </wp:positionH>
            <wp:positionV relativeFrom="paragraph">
              <wp:posOffset>36195</wp:posOffset>
            </wp:positionV>
            <wp:extent cx="304800" cy="186055"/>
            <wp:effectExtent l="0" t="0" r="0" b="0"/>
            <wp:wrapNone/>
            <wp:docPr id="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a:picLocks noChangeAspect="1"/>
                    </pic:cNvPicPr>
                  </pic:nvPicPr>
                  <pic:blipFill>
                    <a:blip r:embed="rId76"/>
                    <a:stretch>
                      <a:fillRect/>
                    </a:stretch>
                  </pic:blipFill>
                  <pic:spPr>
                    <a:xfrm>
                      <a:off x="0" y="0"/>
                      <a:ext cx="304800" cy="186055"/>
                    </a:xfrm>
                    <a:prstGeom prst="rect">
                      <a:avLst/>
                    </a:prstGeom>
                    <a:noFill/>
                    <a:ln>
                      <a:noFill/>
                    </a:ln>
                  </pic:spPr>
                </pic:pic>
              </a:graphicData>
            </a:graphic>
          </wp:anchor>
        </w:drawing>
      </w:r>
      <w:r>
        <w:rPr>
          <w:color w:val="auto"/>
          <w:kern w:val="0"/>
          <w:u w:val="single"/>
        </w:rPr>
        <w:t>排污口和固体废物堆置场以设置方形标志牌为主，亦可根据情况设置立面或平面固定式标志牌；</w:t>
      </w:r>
    </w:p>
    <w:p>
      <w:pPr>
        <w:ind w:firstLine="480"/>
        <w:jc w:val="both"/>
        <w:rPr>
          <w:rFonts w:hint="eastAsia"/>
          <w:color w:val="auto"/>
          <w:kern w:val="0"/>
          <w:u w:val="single"/>
        </w:rPr>
      </w:pPr>
      <w:r>
        <w:rPr>
          <w:color w:val="auto"/>
          <w:kern w:val="0"/>
          <w:u w:val="single"/>
        </w:rPr>
        <w:drawing>
          <wp:anchor distT="0" distB="0" distL="0" distR="0" simplePos="0" relativeHeight="251663360" behindDoc="1" locked="0" layoutInCell="1" allowOverlap="1">
            <wp:simplePos x="0" y="0"/>
            <wp:positionH relativeFrom="page">
              <wp:posOffset>1312545</wp:posOffset>
            </wp:positionH>
            <wp:positionV relativeFrom="paragraph">
              <wp:posOffset>57785</wp:posOffset>
            </wp:positionV>
            <wp:extent cx="304800" cy="186055"/>
            <wp:effectExtent l="0" t="0" r="0" b="0"/>
            <wp:wrapNone/>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pic:cNvPicPr>
                      <a:picLocks noChangeAspect="1"/>
                    </pic:cNvPicPr>
                  </pic:nvPicPr>
                  <pic:blipFill>
                    <a:blip r:embed="rId76"/>
                    <a:stretch>
                      <a:fillRect/>
                    </a:stretch>
                  </pic:blipFill>
                  <pic:spPr>
                    <a:xfrm>
                      <a:off x="0" y="0"/>
                      <a:ext cx="304800" cy="186055"/>
                    </a:xfrm>
                    <a:prstGeom prst="rect">
                      <a:avLst/>
                    </a:prstGeom>
                    <a:noFill/>
                    <a:ln>
                      <a:noFill/>
                    </a:ln>
                  </pic:spPr>
                </pic:pic>
              </a:graphicData>
            </a:graphic>
          </wp:anchor>
        </w:drawing>
      </w:r>
      <w:r>
        <w:rPr>
          <w:color w:val="auto"/>
          <w:kern w:val="0"/>
          <w:u w:val="single"/>
        </w:rPr>
        <w:t>废水排放口和固体废物堆场，应设置提示性环境保护图形标志牌。</w:t>
      </w:r>
    </w:p>
    <w:p>
      <w:pPr>
        <w:ind w:firstLine="480"/>
        <w:jc w:val="both"/>
        <w:rPr>
          <w:rFonts w:hint="eastAsia"/>
          <w:color w:val="auto"/>
          <w:kern w:val="0"/>
          <w:u w:val="single"/>
        </w:rPr>
      </w:pPr>
      <w:r>
        <w:rPr>
          <w:color w:val="auto"/>
          <w:kern w:val="0"/>
          <w:u w:val="single"/>
        </w:rPr>
        <w:t>（3）排污口建档管理</w:t>
      </w:r>
    </w:p>
    <w:p>
      <w:pPr>
        <w:ind w:firstLine="480"/>
        <w:jc w:val="both"/>
        <w:rPr>
          <w:color w:val="auto"/>
          <w:kern w:val="0"/>
          <w:u w:val="single"/>
        </w:rPr>
      </w:pPr>
      <w:r>
        <w:rPr>
          <w:color w:val="auto"/>
          <w:kern w:val="0"/>
          <w:u w:val="single"/>
        </w:rPr>
        <w:drawing>
          <wp:anchor distT="0" distB="0" distL="0" distR="0" simplePos="0" relativeHeight="251664384" behindDoc="1" locked="0" layoutInCell="1" allowOverlap="1">
            <wp:simplePos x="0" y="0"/>
            <wp:positionH relativeFrom="page">
              <wp:posOffset>1312545</wp:posOffset>
            </wp:positionH>
            <wp:positionV relativeFrom="paragraph">
              <wp:posOffset>118745</wp:posOffset>
            </wp:positionV>
            <wp:extent cx="304800" cy="186055"/>
            <wp:effectExtent l="0" t="0" r="0" b="0"/>
            <wp:wrapNone/>
            <wp:docPr id="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a:picLocks noChangeAspect="1"/>
                    </pic:cNvPicPr>
                  </pic:nvPicPr>
                  <pic:blipFill>
                    <a:blip r:embed="rId76"/>
                    <a:stretch>
                      <a:fillRect/>
                    </a:stretch>
                  </pic:blipFill>
                  <pic:spPr>
                    <a:xfrm>
                      <a:off x="0" y="0"/>
                      <a:ext cx="304800" cy="186055"/>
                    </a:xfrm>
                    <a:prstGeom prst="rect">
                      <a:avLst/>
                    </a:prstGeom>
                    <a:noFill/>
                    <a:ln>
                      <a:noFill/>
                    </a:ln>
                  </pic:spPr>
                </pic:pic>
              </a:graphicData>
            </a:graphic>
          </wp:anchor>
        </w:drawing>
      </w:r>
      <w:r>
        <w:rPr>
          <w:color w:val="auto"/>
          <w:kern w:val="0"/>
          <w:u w:val="single"/>
        </w:rPr>
        <w:t>本项目应使用国家环保局统一印制的《中华人民共和国规范化排污口标志登记证》，并按要求填写有关内容；</w:t>
      </w:r>
      <w:r>
        <w:rPr>
          <w:color w:val="auto"/>
          <w:kern w:val="0"/>
          <w:u w:val="single"/>
        </w:rPr>
        <w:drawing>
          <wp:anchor distT="0" distB="0" distL="0" distR="0" simplePos="0" relativeHeight="251665408" behindDoc="1" locked="0" layoutInCell="1" allowOverlap="1">
            <wp:simplePos x="0" y="0"/>
            <wp:positionH relativeFrom="page">
              <wp:posOffset>1312545</wp:posOffset>
            </wp:positionH>
            <wp:positionV relativeFrom="paragraph">
              <wp:posOffset>57150</wp:posOffset>
            </wp:positionV>
            <wp:extent cx="304800" cy="186055"/>
            <wp:effectExtent l="0" t="0" r="0" b="0"/>
            <wp:wrapNone/>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png"/>
                    <pic:cNvPicPr>
                      <a:picLocks noChangeAspect="1"/>
                    </pic:cNvPicPr>
                  </pic:nvPicPr>
                  <pic:blipFill>
                    <a:blip r:embed="rId76"/>
                    <a:stretch>
                      <a:fillRect/>
                    </a:stretch>
                  </pic:blipFill>
                  <pic:spPr>
                    <a:xfrm>
                      <a:off x="0" y="0"/>
                      <a:ext cx="304800" cy="186055"/>
                    </a:xfrm>
                    <a:prstGeom prst="rect">
                      <a:avLst/>
                    </a:prstGeom>
                    <a:noFill/>
                    <a:ln>
                      <a:noFill/>
                    </a:ln>
                  </pic:spPr>
                </pic:pic>
              </a:graphicData>
            </a:graphic>
          </wp:anchor>
        </w:drawing>
      </w:r>
      <w:r>
        <w:rPr>
          <w:color w:val="auto"/>
          <w:kern w:val="0"/>
          <w:u w:val="single"/>
        </w:rPr>
        <w:t>根据排污口管理内容要求，项目建成投产后，应将主要污染物种类、数量、浓度、排放去向、立标情况及设施运行情况记录于档案。</w:t>
      </w:r>
    </w:p>
    <w:p>
      <w:pPr>
        <w:pStyle w:val="76"/>
        <w:spacing w:before="163" w:after="163"/>
        <w:rPr>
          <w:rFonts w:hint="eastAsia"/>
          <w:color w:val="auto"/>
          <w:kern w:val="0"/>
          <w:u w:val="none"/>
        </w:rPr>
      </w:pPr>
      <w:bookmarkStart w:id="308" w:name="_Toc20153"/>
      <w:r>
        <w:rPr>
          <w:rFonts w:hint="eastAsia"/>
          <w:color w:val="auto"/>
          <w:kern w:val="0"/>
          <w:u w:val="none"/>
        </w:rPr>
        <w:t>7.4总量控制</w:t>
      </w:r>
      <w:bookmarkEnd w:id="308"/>
    </w:p>
    <w:p>
      <w:pPr>
        <w:ind w:firstLine="480"/>
        <w:jc w:val="both"/>
        <w:rPr>
          <w:rFonts w:hint="eastAsia"/>
          <w:color w:val="auto"/>
          <w:kern w:val="0"/>
          <w:u w:val="single"/>
        </w:rPr>
      </w:pPr>
      <w:r>
        <w:rPr>
          <w:rFonts w:hint="eastAsia"/>
          <w:color w:val="auto"/>
          <w:kern w:val="0"/>
          <w:u w:val="single"/>
        </w:rPr>
        <w:t>按照进水水质以及废水排放量估算，</w:t>
      </w:r>
      <w:r>
        <w:rPr>
          <w:rFonts w:hint="eastAsia"/>
          <w:color w:val="auto"/>
          <w:kern w:val="0"/>
          <w:u w:val="single"/>
          <w:lang w:eastAsia="zh-CN"/>
        </w:rPr>
        <w:t>一期</w:t>
      </w:r>
      <w:r>
        <w:rPr>
          <w:rFonts w:hint="eastAsia"/>
          <w:color w:val="auto"/>
          <w:kern w:val="0"/>
          <w:u w:val="single"/>
        </w:rPr>
        <w:t>工程竣工投产后COD削减量为</w:t>
      </w:r>
      <w:r>
        <w:rPr>
          <w:rFonts w:hint="eastAsia"/>
          <w:color w:val="auto"/>
          <w:kern w:val="0"/>
          <w:u w:val="single"/>
          <w:lang w:val="en-US" w:eastAsia="zh-CN"/>
        </w:rPr>
        <w:t>65.7t</w:t>
      </w:r>
      <w:r>
        <w:rPr>
          <w:rFonts w:hint="eastAsia"/>
          <w:color w:val="auto"/>
          <w:kern w:val="0"/>
          <w:u w:val="single"/>
        </w:rPr>
        <w:t>/a，NH</w:t>
      </w:r>
      <w:r>
        <w:rPr>
          <w:rFonts w:hint="eastAsia"/>
          <w:color w:val="auto"/>
          <w:kern w:val="0"/>
          <w:u w:val="single"/>
          <w:vertAlign w:val="subscript"/>
        </w:rPr>
        <w:t>3</w:t>
      </w:r>
      <w:r>
        <w:rPr>
          <w:rFonts w:hint="eastAsia"/>
          <w:color w:val="auto"/>
          <w:kern w:val="0"/>
          <w:u w:val="single"/>
        </w:rPr>
        <w:t>-N削减量为</w:t>
      </w:r>
      <w:r>
        <w:rPr>
          <w:rFonts w:hint="eastAsia"/>
          <w:color w:val="auto"/>
          <w:kern w:val="0"/>
          <w:u w:val="single"/>
          <w:lang w:val="en-US" w:eastAsia="zh-CN"/>
        </w:rPr>
        <w:t>2.92</w:t>
      </w:r>
      <w:r>
        <w:rPr>
          <w:rFonts w:hint="eastAsia"/>
          <w:color w:val="auto"/>
          <w:kern w:val="0"/>
          <w:u w:val="single"/>
        </w:rPr>
        <w:t>t/a</w:t>
      </w:r>
      <w:r>
        <w:rPr>
          <w:rFonts w:hint="eastAsia"/>
          <w:color w:val="auto"/>
          <w:kern w:val="0"/>
          <w:u w:val="single"/>
          <w:lang w:eastAsia="zh-CN"/>
        </w:rPr>
        <w:t>，</w:t>
      </w:r>
      <w:r>
        <w:rPr>
          <w:rFonts w:hint="eastAsia"/>
          <w:color w:val="auto"/>
          <w:kern w:val="0"/>
          <w:u w:val="single"/>
        </w:rPr>
        <w:t>COD、NH</w:t>
      </w:r>
      <w:r>
        <w:rPr>
          <w:rFonts w:hint="eastAsia"/>
          <w:color w:val="auto"/>
          <w:kern w:val="0"/>
          <w:u w:val="single"/>
          <w:vertAlign w:val="subscript"/>
        </w:rPr>
        <w:t>3</w:t>
      </w:r>
      <w:r>
        <w:rPr>
          <w:rFonts w:hint="eastAsia"/>
          <w:color w:val="auto"/>
          <w:kern w:val="0"/>
          <w:u w:val="single"/>
        </w:rPr>
        <w:t>-N排放量分别为</w:t>
      </w:r>
      <w:r>
        <w:rPr>
          <w:rFonts w:hint="eastAsia"/>
          <w:color w:val="auto"/>
          <w:kern w:val="0"/>
          <w:u w:val="single"/>
          <w:lang w:val="en-US" w:eastAsia="zh-CN"/>
        </w:rPr>
        <w:t>7.3</w:t>
      </w:r>
      <w:r>
        <w:rPr>
          <w:rFonts w:hint="eastAsia"/>
          <w:color w:val="auto"/>
          <w:kern w:val="0"/>
          <w:u w:val="single"/>
        </w:rPr>
        <w:t>t/a、</w:t>
      </w:r>
      <w:r>
        <w:rPr>
          <w:rFonts w:hint="eastAsia"/>
          <w:color w:val="auto"/>
          <w:kern w:val="0"/>
          <w:u w:val="single"/>
          <w:lang w:val="en-US" w:eastAsia="zh-CN"/>
        </w:rPr>
        <w:t>0.73</w:t>
      </w:r>
      <w:r>
        <w:rPr>
          <w:rFonts w:hint="eastAsia"/>
          <w:color w:val="auto"/>
          <w:kern w:val="0"/>
          <w:u w:val="single"/>
        </w:rPr>
        <w:t>t/a</w:t>
      </w:r>
      <w:r>
        <w:rPr>
          <w:rFonts w:hint="eastAsia"/>
          <w:color w:val="auto"/>
          <w:kern w:val="0"/>
          <w:u w:val="single"/>
          <w:lang w:eastAsia="zh-CN"/>
        </w:rPr>
        <w:t>。二期</w:t>
      </w:r>
      <w:r>
        <w:rPr>
          <w:rFonts w:hint="eastAsia"/>
          <w:color w:val="auto"/>
          <w:kern w:val="0"/>
          <w:u w:val="single"/>
        </w:rPr>
        <w:t>工程竣工投产后COD削减量为</w:t>
      </w:r>
      <w:r>
        <w:rPr>
          <w:rFonts w:hint="eastAsia"/>
          <w:color w:val="auto"/>
          <w:kern w:val="0"/>
          <w:u w:val="single"/>
          <w:lang w:val="en-US" w:eastAsia="zh-CN"/>
        </w:rPr>
        <w:t>164.25t</w:t>
      </w:r>
      <w:r>
        <w:rPr>
          <w:rFonts w:hint="eastAsia"/>
          <w:color w:val="auto"/>
          <w:kern w:val="0"/>
          <w:u w:val="single"/>
        </w:rPr>
        <w:t>/a，NH</w:t>
      </w:r>
      <w:r>
        <w:rPr>
          <w:rFonts w:hint="eastAsia"/>
          <w:color w:val="auto"/>
          <w:kern w:val="0"/>
          <w:u w:val="single"/>
          <w:vertAlign w:val="subscript"/>
        </w:rPr>
        <w:t>3</w:t>
      </w:r>
      <w:r>
        <w:rPr>
          <w:rFonts w:hint="eastAsia"/>
          <w:color w:val="auto"/>
          <w:kern w:val="0"/>
          <w:u w:val="single"/>
        </w:rPr>
        <w:t>-N削减量为</w:t>
      </w:r>
      <w:r>
        <w:rPr>
          <w:rFonts w:hint="eastAsia"/>
          <w:color w:val="auto"/>
          <w:kern w:val="0"/>
          <w:u w:val="single"/>
          <w:lang w:val="en-US" w:eastAsia="zh-CN"/>
        </w:rPr>
        <w:t>7.3</w:t>
      </w:r>
      <w:r>
        <w:rPr>
          <w:rFonts w:hint="eastAsia"/>
          <w:color w:val="auto"/>
          <w:kern w:val="0"/>
          <w:u w:val="single"/>
        </w:rPr>
        <w:t>t/a</w:t>
      </w:r>
      <w:r>
        <w:rPr>
          <w:rFonts w:hint="eastAsia"/>
          <w:color w:val="auto"/>
          <w:kern w:val="0"/>
          <w:u w:val="single"/>
          <w:lang w:eastAsia="zh-CN"/>
        </w:rPr>
        <w:t>，</w:t>
      </w:r>
      <w:r>
        <w:rPr>
          <w:rFonts w:hint="eastAsia"/>
          <w:color w:val="auto"/>
          <w:kern w:val="0"/>
          <w:u w:val="single"/>
        </w:rPr>
        <w:t>COD、NH</w:t>
      </w:r>
      <w:r>
        <w:rPr>
          <w:rFonts w:hint="eastAsia"/>
          <w:color w:val="auto"/>
          <w:kern w:val="0"/>
          <w:u w:val="single"/>
          <w:vertAlign w:val="subscript"/>
        </w:rPr>
        <w:t>3</w:t>
      </w:r>
      <w:r>
        <w:rPr>
          <w:rFonts w:hint="eastAsia"/>
          <w:color w:val="auto"/>
          <w:kern w:val="0"/>
          <w:u w:val="single"/>
        </w:rPr>
        <w:t>-N排放量分别为</w:t>
      </w:r>
      <w:r>
        <w:rPr>
          <w:rFonts w:hint="eastAsia"/>
          <w:color w:val="auto"/>
          <w:kern w:val="0"/>
          <w:u w:val="single"/>
          <w:lang w:val="en-US" w:eastAsia="zh-CN"/>
        </w:rPr>
        <w:t>18.25</w:t>
      </w:r>
      <w:r>
        <w:rPr>
          <w:rFonts w:hint="eastAsia"/>
          <w:color w:val="auto"/>
          <w:kern w:val="0"/>
          <w:u w:val="single"/>
        </w:rPr>
        <w:t>t/a、</w:t>
      </w:r>
      <w:r>
        <w:rPr>
          <w:rFonts w:hint="eastAsia"/>
          <w:color w:val="auto"/>
          <w:kern w:val="0"/>
          <w:u w:val="single"/>
          <w:lang w:val="en-US" w:eastAsia="zh-CN"/>
        </w:rPr>
        <w:t>1.825</w:t>
      </w:r>
      <w:r>
        <w:rPr>
          <w:rFonts w:hint="eastAsia"/>
          <w:color w:val="auto"/>
          <w:kern w:val="0"/>
          <w:u w:val="single"/>
        </w:rPr>
        <w:t>t/a</w:t>
      </w:r>
      <w:r>
        <w:rPr>
          <w:rFonts w:hint="eastAsia"/>
          <w:color w:val="auto"/>
          <w:kern w:val="0"/>
          <w:u w:val="single"/>
          <w:lang w:eastAsia="zh-CN"/>
        </w:rPr>
        <w:t>。</w:t>
      </w:r>
      <w:r>
        <w:rPr>
          <w:rFonts w:hint="eastAsia"/>
          <w:color w:val="auto"/>
          <w:kern w:val="0"/>
          <w:u w:val="single"/>
        </w:rPr>
        <w:t>已核算的指标作为本工程总量控制指标。</w:t>
      </w:r>
    </w:p>
    <w:p>
      <w:pPr>
        <w:pStyle w:val="76"/>
        <w:spacing w:before="163" w:after="163"/>
        <w:rPr>
          <w:rFonts w:hint="eastAsia"/>
          <w:color w:val="auto"/>
          <w:kern w:val="0"/>
          <w:u w:val="none"/>
        </w:rPr>
      </w:pPr>
      <w:bookmarkStart w:id="309" w:name="_Toc29394"/>
      <w:r>
        <w:rPr>
          <w:rFonts w:hint="eastAsia"/>
          <w:color w:val="auto"/>
          <w:kern w:val="0"/>
          <w:u w:val="none"/>
        </w:rPr>
        <w:t>7.5环境监测</w:t>
      </w:r>
      <w:bookmarkEnd w:id="309"/>
    </w:p>
    <w:p>
      <w:pPr>
        <w:ind w:firstLine="480"/>
        <w:jc w:val="both"/>
        <w:rPr>
          <w:rFonts w:hint="eastAsia"/>
          <w:color w:val="auto"/>
          <w:kern w:val="0"/>
          <w:u w:val="none"/>
        </w:rPr>
      </w:pPr>
      <w:r>
        <w:rPr>
          <w:rFonts w:hint="eastAsia"/>
          <w:color w:val="auto"/>
          <w:kern w:val="0"/>
          <w:u w:val="none"/>
        </w:rPr>
        <w:t>污水处理厂的环境管理机构在当地环保主管部门和湘西州生态环境检测中心的的指导下，对污水处理系统的施工期和运营期的环境进行定期的监测。</w:t>
      </w:r>
    </w:p>
    <w:p>
      <w:pPr>
        <w:pStyle w:val="6"/>
        <w:bidi w:val="0"/>
        <w:rPr>
          <w:rFonts w:hint="eastAsia"/>
        </w:rPr>
      </w:pPr>
      <w:r>
        <w:rPr>
          <w:rFonts w:hint="eastAsia"/>
        </w:rPr>
        <w:t>7.5.1施工期环境监测方案</w:t>
      </w:r>
    </w:p>
    <w:p>
      <w:pPr>
        <w:ind w:firstLine="480"/>
        <w:jc w:val="both"/>
        <w:rPr>
          <w:rFonts w:hint="eastAsia"/>
          <w:color w:val="auto"/>
          <w:kern w:val="0"/>
          <w:u w:val="none"/>
        </w:rPr>
      </w:pPr>
      <w:r>
        <w:rPr>
          <w:color w:val="auto"/>
          <w:kern w:val="0"/>
          <w:u w:val="none"/>
        </w:rPr>
        <w:t>为确保项目施工期环境质量不受影响，满足环保要求，需加强施工期环境监理，监理机构由具有环保监理资质的机构负责，按工程质量和环保要求对项目进行全面环境管理。环境监理内容包括：</w:t>
      </w:r>
    </w:p>
    <w:p>
      <w:pPr>
        <w:ind w:firstLine="480"/>
        <w:jc w:val="both"/>
        <w:rPr>
          <w:rFonts w:hint="eastAsia"/>
          <w:color w:val="auto"/>
          <w:kern w:val="0"/>
          <w:u w:val="none"/>
        </w:rPr>
      </w:pPr>
      <w:r>
        <w:rPr>
          <w:color w:val="auto"/>
          <w:kern w:val="0"/>
          <w:u w:val="none"/>
        </w:rPr>
        <w:t>（1）施工现场进行围护，采用彩钢板围挡进行封闭施工。</w:t>
      </w:r>
    </w:p>
    <w:p>
      <w:pPr>
        <w:ind w:firstLine="480"/>
        <w:jc w:val="both"/>
        <w:rPr>
          <w:rFonts w:hint="eastAsia"/>
          <w:color w:val="auto"/>
          <w:kern w:val="0"/>
          <w:u w:val="none"/>
        </w:rPr>
      </w:pPr>
      <w:r>
        <w:rPr>
          <w:color w:val="auto"/>
          <w:kern w:val="0"/>
          <w:u w:val="none"/>
        </w:rPr>
        <w:t>（2）在管网施工中遇到连续晴好天气又起风的情况下，应对开挖土方临时堆存处采取洒水或采用绿色防尘覆盖网进行覆盖，防止扬尘产生。</w:t>
      </w:r>
    </w:p>
    <w:p>
      <w:pPr>
        <w:ind w:firstLine="480"/>
        <w:jc w:val="both"/>
        <w:rPr>
          <w:rFonts w:hint="eastAsia"/>
          <w:color w:val="auto"/>
          <w:kern w:val="0"/>
          <w:u w:val="none"/>
        </w:rPr>
      </w:pPr>
      <w:r>
        <w:rPr>
          <w:color w:val="auto"/>
          <w:kern w:val="0"/>
          <w:u w:val="none"/>
        </w:rPr>
        <w:t>（3）弃土在装运过程中对汽车采取帆布覆盖车厢。</w:t>
      </w:r>
    </w:p>
    <w:p>
      <w:pPr>
        <w:ind w:firstLine="480"/>
        <w:jc w:val="both"/>
        <w:rPr>
          <w:rFonts w:hint="eastAsia"/>
          <w:color w:val="auto"/>
          <w:kern w:val="0"/>
          <w:u w:val="none"/>
        </w:rPr>
      </w:pPr>
      <w:r>
        <w:rPr>
          <w:color w:val="auto"/>
          <w:kern w:val="0"/>
          <w:u w:val="none"/>
        </w:rPr>
        <w:t>（4）避免在起风的情况下开挖土方和装卸物料。</w:t>
      </w:r>
    </w:p>
    <w:p>
      <w:pPr>
        <w:ind w:firstLine="480"/>
        <w:jc w:val="both"/>
        <w:rPr>
          <w:rFonts w:hint="eastAsia"/>
          <w:color w:val="auto"/>
          <w:kern w:val="0"/>
          <w:u w:val="none"/>
        </w:rPr>
      </w:pPr>
      <w:r>
        <w:rPr>
          <w:color w:val="auto"/>
          <w:kern w:val="0"/>
          <w:u w:val="none"/>
        </w:rPr>
        <w:t>（5）车辆驶出前将轮子上的泥土用扫把清扫干净，同时施工道路实行保洁制度，一旦有弃土应及时清扫。</w:t>
      </w:r>
    </w:p>
    <w:p>
      <w:pPr>
        <w:ind w:firstLine="480"/>
        <w:jc w:val="both"/>
        <w:rPr>
          <w:rFonts w:hint="eastAsia"/>
          <w:color w:val="auto"/>
          <w:kern w:val="0"/>
          <w:u w:val="none"/>
        </w:rPr>
      </w:pPr>
      <w:r>
        <w:rPr>
          <w:color w:val="auto"/>
          <w:kern w:val="0"/>
          <w:u w:val="none"/>
        </w:rPr>
        <w:t>（6）重型机动车运输指定线路和时段，避开敏感区和交通高峰期。</w:t>
      </w:r>
    </w:p>
    <w:p>
      <w:pPr>
        <w:ind w:firstLine="480"/>
        <w:jc w:val="both"/>
        <w:rPr>
          <w:rFonts w:hint="eastAsia"/>
          <w:color w:val="auto"/>
          <w:kern w:val="0"/>
          <w:u w:val="none"/>
        </w:rPr>
      </w:pPr>
      <w:r>
        <w:rPr>
          <w:color w:val="auto"/>
          <w:kern w:val="0"/>
          <w:u w:val="none"/>
        </w:rPr>
        <w:t>（7）挖掘的土方堆放在道路一侧，及时回填，及时恢复路面的软硬覆盖，不能及时回填的土方，要严格管理，不能随意堆放，作成边坡比为1:1.5的土方，并且拍实。遇大风天气要加覆盖。</w:t>
      </w:r>
    </w:p>
    <w:p>
      <w:pPr>
        <w:ind w:firstLine="480"/>
        <w:jc w:val="both"/>
        <w:rPr>
          <w:rFonts w:hint="eastAsia"/>
          <w:color w:val="auto"/>
          <w:kern w:val="0"/>
          <w:u w:val="none"/>
        </w:rPr>
      </w:pPr>
      <w:r>
        <w:rPr>
          <w:color w:val="auto"/>
          <w:kern w:val="0"/>
          <w:u w:val="none"/>
        </w:rPr>
        <w:t>（8）雨天施工要注意防止水土流失，堆积土方时适当采取覆盖措施，防止於塞下水系统，汛期及暴雨天要停止施工；</w:t>
      </w:r>
    </w:p>
    <w:p>
      <w:pPr>
        <w:ind w:firstLine="480"/>
        <w:jc w:val="both"/>
        <w:rPr>
          <w:rFonts w:hint="eastAsia"/>
          <w:color w:val="auto"/>
          <w:kern w:val="0"/>
          <w:u w:val="none"/>
        </w:rPr>
      </w:pPr>
      <w:r>
        <w:rPr>
          <w:color w:val="auto"/>
          <w:kern w:val="0"/>
          <w:u w:val="none"/>
        </w:rPr>
        <w:t>（9）合理安排施工计划和作业面积，靠近医院、居民区等敏感区应尽量避免夜间施工；</w:t>
      </w:r>
    </w:p>
    <w:p>
      <w:pPr>
        <w:ind w:firstLine="480"/>
        <w:jc w:val="both"/>
        <w:rPr>
          <w:rFonts w:hint="eastAsia"/>
          <w:color w:val="auto"/>
          <w:kern w:val="0"/>
          <w:u w:val="none"/>
        </w:rPr>
      </w:pPr>
      <w:r>
        <w:rPr>
          <w:color w:val="auto"/>
          <w:kern w:val="0"/>
          <w:u w:val="none"/>
        </w:rPr>
        <w:t>（1</w:t>
      </w:r>
      <w:r>
        <w:rPr>
          <w:rFonts w:hint="eastAsia"/>
          <w:color w:val="auto"/>
          <w:kern w:val="0"/>
          <w:u w:val="none"/>
          <w:lang w:val="en-US" w:eastAsia="zh-CN"/>
        </w:rPr>
        <w:t>0</w:t>
      </w:r>
      <w:r>
        <w:rPr>
          <w:color w:val="auto"/>
          <w:kern w:val="0"/>
          <w:u w:val="none"/>
        </w:rPr>
        <w:t>）施工噪声较大的机械应尽量在白天施工，禁止夜晚施工。</w:t>
      </w:r>
    </w:p>
    <w:p>
      <w:pPr>
        <w:ind w:firstLine="480"/>
        <w:jc w:val="both"/>
        <w:rPr>
          <w:rFonts w:hint="eastAsia"/>
          <w:color w:val="auto"/>
          <w:kern w:val="0"/>
          <w:u w:val="none"/>
        </w:rPr>
      </w:pPr>
      <w:r>
        <w:rPr>
          <w:color w:val="auto"/>
          <w:kern w:val="0"/>
          <w:u w:val="none"/>
        </w:rPr>
        <w:t>（1</w:t>
      </w:r>
      <w:r>
        <w:rPr>
          <w:rFonts w:hint="eastAsia"/>
          <w:color w:val="auto"/>
          <w:kern w:val="0"/>
          <w:u w:val="none"/>
          <w:lang w:val="en-US" w:eastAsia="zh-CN"/>
        </w:rPr>
        <w:t>1</w:t>
      </w:r>
      <w:r>
        <w:rPr>
          <w:color w:val="auto"/>
          <w:kern w:val="0"/>
          <w:u w:val="none"/>
        </w:rPr>
        <w:t>）在夜间施工中不得使用高噪声设备作业。</w:t>
      </w:r>
    </w:p>
    <w:p>
      <w:pPr>
        <w:ind w:firstLine="480"/>
        <w:jc w:val="both"/>
        <w:rPr>
          <w:rFonts w:hint="eastAsia"/>
          <w:color w:val="auto"/>
          <w:kern w:val="0"/>
          <w:u w:val="none"/>
        </w:rPr>
      </w:pPr>
      <w:r>
        <w:rPr>
          <w:color w:val="auto"/>
          <w:kern w:val="0"/>
          <w:u w:val="none"/>
        </w:rPr>
        <w:t>（1</w:t>
      </w:r>
      <w:r>
        <w:rPr>
          <w:rFonts w:hint="eastAsia"/>
          <w:color w:val="auto"/>
          <w:kern w:val="0"/>
          <w:u w:val="none"/>
          <w:lang w:val="en-US" w:eastAsia="zh-CN"/>
        </w:rPr>
        <w:t>2</w:t>
      </w:r>
      <w:r>
        <w:rPr>
          <w:color w:val="auto"/>
          <w:kern w:val="0"/>
          <w:u w:val="none"/>
        </w:rPr>
        <w:t>）建筑垃圾及时清理，严禁随意丢弃、堆放。</w:t>
      </w:r>
    </w:p>
    <w:p>
      <w:pPr>
        <w:ind w:firstLine="480"/>
        <w:jc w:val="both"/>
        <w:rPr>
          <w:color w:val="auto"/>
          <w:kern w:val="0"/>
          <w:u w:val="none"/>
        </w:rPr>
      </w:pPr>
      <w:r>
        <w:rPr>
          <w:color w:val="auto"/>
          <w:kern w:val="0"/>
          <w:u w:val="none"/>
        </w:rPr>
        <w:t>（1</w:t>
      </w:r>
      <w:r>
        <w:rPr>
          <w:rFonts w:hint="eastAsia"/>
          <w:color w:val="auto"/>
          <w:kern w:val="0"/>
          <w:u w:val="none"/>
          <w:lang w:val="en-US" w:eastAsia="zh-CN"/>
        </w:rPr>
        <w:t>3</w:t>
      </w:r>
      <w:r>
        <w:rPr>
          <w:color w:val="auto"/>
          <w:kern w:val="0"/>
          <w:u w:val="none"/>
        </w:rPr>
        <w:t>）生活垃圾定点清倒，由环卫部门收集后送到垃圾场处理。</w:t>
      </w:r>
    </w:p>
    <w:p>
      <w:pPr>
        <w:ind w:firstLine="422"/>
        <w:jc w:val="center"/>
        <w:rPr>
          <w:b/>
          <w:color w:val="auto"/>
          <w:kern w:val="0"/>
          <w:sz w:val="21"/>
          <w:szCs w:val="21"/>
          <w:u w:val="none"/>
        </w:rPr>
      </w:pPr>
      <w:r>
        <w:rPr>
          <w:rFonts w:hint="eastAsia"/>
          <w:b/>
          <w:color w:val="auto"/>
          <w:kern w:val="0"/>
          <w:sz w:val="21"/>
          <w:szCs w:val="21"/>
          <w:u w:val="none"/>
        </w:rPr>
        <w:t>表7.5-1施工期环境监测计划</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center"/>
          </w:tcPr>
          <w:p>
            <w:pPr>
              <w:pStyle w:val="97"/>
              <w:rPr>
                <w:rFonts w:hint="eastAsia"/>
                <w:b/>
                <w:bCs/>
                <w:color w:val="auto"/>
                <w:u w:val="none"/>
              </w:rPr>
            </w:pPr>
            <w:r>
              <w:rPr>
                <w:rFonts w:hint="eastAsia"/>
                <w:b/>
                <w:bCs/>
                <w:color w:val="auto"/>
                <w:u w:val="none"/>
              </w:rPr>
              <w:t>阶段</w:t>
            </w:r>
          </w:p>
        </w:tc>
        <w:tc>
          <w:tcPr>
            <w:tcW w:w="1704" w:type="dxa"/>
            <w:noWrap w:val="0"/>
            <w:vAlign w:val="center"/>
          </w:tcPr>
          <w:p>
            <w:pPr>
              <w:pStyle w:val="97"/>
              <w:rPr>
                <w:rFonts w:hint="eastAsia"/>
                <w:b/>
                <w:bCs/>
                <w:color w:val="auto"/>
                <w:u w:val="none"/>
              </w:rPr>
            </w:pPr>
            <w:r>
              <w:rPr>
                <w:rFonts w:hint="eastAsia"/>
                <w:b/>
                <w:bCs/>
                <w:color w:val="auto"/>
                <w:u w:val="none"/>
              </w:rPr>
              <w:t>监测地点</w:t>
            </w:r>
          </w:p>
        </w:tc>
        <w:tc>
          <w:tcPr>
            <w:tcW w:w="1704" w:type="dxa"/>
            <w:noWrap w:val="0"/>
            <w:vAlign w:val="center"/>
          </w:tcPr>
          <w:p>
            <w:pPr>
              <w:pStyle w:val="97"/>
              <w:rPr>
                <w:rFonts w:hint="eastAsia"/>
                <w:b/>
                <w:bCs/>
                <w:color w:val="auto"/>
                <w:u w:val="none"/>
              </w:rPr>
            </w:pPr>
            <w:r>
              <w:rPr>
                <w:rFonts w:hint="eastAsia"/>
                <w:b/>
                <w:bCs/>
                <w:color w:val="auto"/>
                <w:u w:val="none"/>
              </w:rPr>
              <w:t>监测项目</w:t>
            </w:r>
          </w:p>
        </w:tc>
        <w:tc>
          <w:tcPr>
            <w:tcW w:w="1705" w:type="dxa"/>
            <w:noWrap w:val="0"/>
            <w:vAlign w:val="center"/>
          </w:tcPr>
          <w:p>
            <w:pPr>
              <w:pStyle w:val="97"/>
              <w:rPr>
                <w:rFonts w:hint="eastAsia"/>
                <w:b/>
                <w:bCs/>
                <w:color w:val="auto"/>
                <w:u w:val="none"/>
              </w:rPr>
            </w:pPr>
            <w:r>
              <w:rPr>
                <w:rFonts w:hint="eastAsia"/>
                <w:b/>
                <w:bCs/>
                <w:color w:val="auto"/>
                <w:u w:val="none"/>
              </w:rPr>
              <w:t>监测频次</w:t>
            </w:r>
          </w:p>
        </w:tc>
        <w:tc>
          <w:tcPr>
            <w:tcW w:w="1705" w:type="dxa"/>
            <w:noWrap w:val="0"/>
            <w:vAlign w:val="center"/>
          </w:tcPr>
          <w:p>
            <w:pPr>
              <w:pStyle w:val="97"/>
              <w:rPr>
                <w:rFonts w:hint="eastAsia"/>
                <w:b/>
                <w:bCs/>
                <w:color w:val="auto"/>
                <w:u w:val="none"/>
              </w:rPr>
            </w:pPr>
            <w:r>
              <w:rPr>
                <w:rFonts w:hint="eastAsia"/>
                <w:b/>
                <w:bCs/>
                <w:color w:val="auto"/>
                <w:u w:val="non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noWrap w:val="0"/>
            <w:vAlign w:val="center"/>
          </w:tcPr>
          <w:p>
            <w:pPr>
              <w:pStyle w:val="97"/>
              <w:rPr>
                <w:rFonts w:hint="eastAsia"/>
                <w:color w:val="auto"/>
                <w:u w:val="none"/>
              </w:rPr>
            </w:pPr>
            <w:r>
              <w:rPr>
                <w:rFonts w:hint="eastAsia"/>
                <w:color w:val="auto"/>
                <w:u w:val="none"/>
              </w:rPr>
              <w:t>施工期</w:t>
            </w:r>
          </w:p>
        </w:tc>
        <w:tc>
          <w:tcPr>
            <w:tcW w:w="1704" w:type="dxa"/>
            <w:noWrap w:val="0"/>
            <w:vAlign w:val="center"/>
          </w:tcPr>
          <w:p>
            <w:pPr>
              <w:pStyle w:val="97"/>
              <w:rPr>
                <w:rFonts w:hint="eastAsia"/>
                <w:color w:val="auto"/>
                <w:u w:val="none"/>
              </w:rPr>
            </w:pPr>
            <w:r>
              <w:rPr>
                <w:rFonts w:hint="eastAsia"/>
                <w:color w:val="auto"/>
                <w:u w:val="none"/>
              </w:rPr>
              <w:t>施工场界</w:t>
            </w:r>
          </w:p>
        </w:tc>
        <w:tc>
          <w:tcPr>
            <w:tcW w:w="1704" w:type="dxa"/>
            <w:noWrap w:val="0"/>
            <w:vAlign w:val="center"/>
          </w:tcPr>
          <w:p>
            <w:pPr>
              <w:pStyle w:val="97"/>
              <w:rPr>
                <w:rFonts w:hint="eastAsia"/>
                <w:color w:val="auto"/>
                <w:u w:val="none"/>
              </w:rPr>
            </w:pPr>
            <w:r>
              <w:rPr>
                <w:rFonts w:hint="eastAsia"/>
                <w:color w:val="auto"/>
                <w:u w:val="none"/>
              </w:rPr>
              <w:t>TSP</w:t>
            </w:r>
          </w:p>
        </w:tc>
        <w:tc>
          <w:tcPr>
            <w:tcW w:w="1705" w:type="dxa"/>
            <w:noWrap w:val="0"/>
            <w:vAlign w:val="center"/>
          </w:tcPr>
          <w:p>
            <w:pPr>
              <w:pStyle w:val="97"/>
              <w:rPr>
                <w:rFonts w:hint="eastAsia"/>
                <w:color w:val="auto"/>
                <w:u w:val="none"/>
              </w:rPr>
            </w:pPr>
            <w:r>
              <w:rPr>
                <w:rFonts w:hint="eastAsia"/>
                <w:color w:val="auto"/>
                <w:u w:val="none"/>
              </w:rPr>
              <w:t>施工期随机采样</w:t>
            </w:r>
          </w:p>
        </w:tc>
        <w:tc>
          <w:tcPr>
            <w:tcW w:w="1705" w:type="dxa"/>
            <w:noWrap w:val="0"/>
            <w:vAlign w:val="center"/>
          </w:tcPr>
          <w:p>
            <w:pPr>
              <w:pStyle w:val="97"/>
              <w:rPr>
                <w:rFonts w:hint="eastAsia"/>
                <w:color w:val="auto"/>
                <w:u w:val="none"/>
              </w:rPr>
            </w:pPr>
            <w:r>
              <w:rPr>
                <w:rFonts w:hint="eastAsia"/>
                <w:color w:val="auto"/>
                <w:u w:val="none"/>
              </w:rPr>
              <w:t>连续三天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noWrap w:val="0"/>
            <w:vAlign w:val="center"/>
          </w:tcPr>
          <w:p>
            <w:pPr>
              <w:pStyle w:val="97"/>
              <w:rPr>
                <w:rFonts w:hint="eastAsia"/>
                <w:color w:val="auto"/>
                <w:u w:val="none"/>
              </w:rPr>
            </w:pPr>
          </w:p>
        </w:tc>
        <w:tc>
          <w:tcPr>
            <w:tcW w:w="1704" w:type="dxa"/>
            <w:noWrap w:val="0"/>
            <w:vAlign w:val="center"/>
          </w:tcPr>
          <w:p>
            <w:pPr>
              <w:pStyle w:val="97"/>
              <w:rPr>
                <w:rFonts w:hint="eastAsia"/>
                <w:color w:val="auto"/>
                <w:u w:val="none"/>
              </w:rPr>
            </w:pPr>
            <w:r>
              <w:rPr>
                <w:rFonts w:hint="eastAsia"/>
                <w:color w:val="auto"/>
                <w:u w:val="none"/>
              </w:rPr>
              <w:t>施工厂界</w:t>
            </w:r>
          </w:p>
        </w:tc>
        <w:tc>
          <w:tcPr>
            <w:tcW w:w="1704" w:type="dxa"/>
            <w:noWrap w:val="0"/>
            <w:vAlign w:val="center"/>
          </w:tcPr>
          <w:p>
            <w:pPr>
              <w:pStyle w:val="97"/>
              <w:rPr>
                <w:rFonts w:hint="eastAsia"/>
                <w:color w:val="auto"/>
                <w:u w:val="none"/>
              </w:rPr>
            </w:pPr>
            <w:r>
              <w:rPr>
                <w:rFonts w:hint="eastAsia"/>
                <w:color w:val="auto"/>
                <w:u w:val="none"/>
              </w:rPr>
              <w:t>Leq（A）</w:t>
            </w:r>
          </w:p>
        </w:tc>
        <w:tc>
          <w:tcPr>
            <w:tcW w:w="1705" w:type="dxa"/>
            <w:noWrap w:val="0"/>
            <w:vAlign w:val="center"/>
          </w:tcPr>
          <w:p>
            <w:pPr>
              <w:pStyle w:val="97"/>
              <w:rPr>
                <w:rFonts w:hint="eastAsia"/>
                <w:color w:val="auto"/>
                <w:u w:val="none"/>
              </w:rPr>
            </w:pPr>
            <w:r>
              <w:rPr>
                <w:rFonts w:hint="eastAsia"/>
                <w:color w:val="auto"/>
                <w:u w:val="none"/>
              </w:rPr>
              <w:t>施工时段随机抽样</w:t>
            </w:r>
          </w:p>
        </w:tc>
        <w:tc>
          <w:tcPr>
            <w:tcW w:w="1705" w:type="dxa"/>
            <w:noWrap w:val="0"/>
            <w:vAlign w:val="center"/>
          </w:tcPr>
          <w:p>
            <w:pPr>
              <w:pStyle w:val="97"/>
              <w:rPr>
                <w:rFonts w:hint="eastAsia"/>
                <w:color w:val="auto"/>
                <w:u w:val="none"/>
              </w:rPr>
            </w:pPr>
            <w:r>
              <w:rPr>
                <w:rFonts w:hint="eastAsia"/>
                <w:color w:val="auto"/>
                <w:u w:val="none"/>
              </w:rPr>
              <w:t>白天和夜晚各一次</w:t>
            </w:r>
          </w:p>
        </w:tc>
      </w:tr>
    </w:tbl>
    <w:p>
      <w:pPr>
        <w:pStyle w:val="6"/>
        <w:bidi w:val="0"/>
        <w:rPr>
          <w:rFonts w:hint="eastAsia"/>
        </w:rPr>
      </w:pPr>
      <w:r>
        <w:rPr>
          <w:rFonts w:hint="eastAsia"/>
        </w:rPr>
        <w:t>7.5.2营运期环境监测方案</w:t>
      </w:r>
    </w:p>
    <w:p>
      <w:pPr>
        <w:ind w:firstLine="480"/>
        <w:jc w:val="both"/>
        <w:rPr>
          <w:rFonts w:hint="eastAsia"/>
          <w:color w:val="auto"/>
          <w:kern w:val="0"/>
          <w:u w:val="none"/>
        </w:rPr>
      </w:pPr>
      <w:r>
        <w:rPr>
          <w:color w:val="auto"/>
          <w:kern w:val="0"/>
          <w:u w:val="none"/>
        </w:rPr>
        <w:t>营运期主要对企业入管污水水质，处理后污水排放口水质进行日常常规检测，对厂界周围下风向的环境空气H</w:t>
      </w:r>
      <w:r>
        <w:rPr>
          <w:rFonts w:hint="eastAsia"/>
          <w:color w:val="auto"/>
          <w:kern w:val="0"/>
          <w:u w:val="none"/>
          <w:vertAlign w:val="subscript"/>
        </w:rPr>
        <w:t>2</w:t>
      </w:r>
      <w:r>
        <w:rPr>
          <w:color w:val="auto"/>
          <w:kern w:val="0"/>
          <w:u w:val="none"/>
        </w:rPr>
        <w:t>S、NH</w:t>
      </w:r>
      <w:r>
        <w:rPr>
          <w:rFonts w:hint="eastAsia"/>
          <w:color w:val="auto"/>
          <w:kern w:val="0"/>
          <w:u w:val="none"/>
          <w:vertAlign w:val="subscript"/>
        </w:rPr>
        <w:t>3</w:t>
      </w:r>
      <w:r>
        <w:rPr>
          <w:color w:val="auto"/>
          <w:kern w:val="0"/>
          <w:u w:val="none"/>
        </w:rPr>
        <w:t>和厂界噪声进行定期监测，同时还应对污水排放口下游的</w:t>
      </w:r>
      <w:r>
        <w:rPr>
          <w:rFonts w:hint="eastAsia"/>
          <w:color w:val="auto"/>
          <w:kern w:val="0"/>
          <w:u w:val="none"/>
          <w:lang w:eastAsia="zh-CN"/>
        </w:rPr>
        <w:t>猛洞河</w:t>
      </w:r>
      <w:r>
        <w:rPr>
          <w:color w:val="auto"/>
          <w:kern w:val="0"/>
          <w:u w:val="none"/>
        </w:rPr>
        <w:t>进行定期监测。营运期环境监测的要求见表</w:t>
      </w:r>
      <w:r>
        <w:rPr>
          <w:rFonts w:hint="eastAsia"/>
          <w:color w:val="auto"/>
          <w:kern w:val="0"/>
          <w:u w:val="none"/>
        </w:rPr>
        <w:t>7</w:t>
      </w:r>
      <w:r>
        <w:rPr>
          <w:color w:val="auto"/>
          <w:kern w:val="0"/>
          <w:u w:val="none"/>
        </w:rPr>
        <w:t>.5-2</w:t>
      </w:r>
      <w:r>
        <w:rPr>
          <w:rFonts w:hint="eastAsia"/>
          <w:color w:val="auto"/>
          <w:kern w:val="0"/>
          <w:u w:val="none"/>
        </w:rPr>
        <w:t>、7</w:t>
      </w:r>
      <w:r>
        <w:rPr>
          <w:color w:val="auto"/>
          <w:kern w:val="0"/>
          <w:u w:val="none"/>
        </w:rPr>
        <w:t>.5-3。</w:t>
      </w:r>
    </w:p>
    <w:p>
      <w:pPr>
        <w:ind w:firstLine="480"/>
        <w:jc w:val="both"/>
        <w:rPr>
          <w:rFonts w:hint="eastAsia"/>
          <w:color w:val="auto"/>
          <w:kern w:val="0"/>
          <w:u w:val="none"/>
        </w:rPr>
      </w:pPr>
      <w:r>
        <w:rPr>
          <w:color w:val="auto"/>
          <w:kern w:val="0"/>
          <w:u w:val="none"/>
        </w:rPr>
        <w:t>为了使地方环保管理部门对污水处理厂运行的管理，要求在排污口设置在线监测装置，监测因子包括流量、pH、CODcr、NH</w:t>
      </w:r>
      <w:r>
        <w:rPr>
          <w:rFonts w:hint="eastAsia"/>
          <w:color w:val="auto"/>
          <w:kern w:val="0"/>
          <w:u w:val="none"/>
          <w:vertAlign w:val="subscript"/>
        </w:rPr>
        <w:t>3</w:t>
      </w:r>
      <w:r>
        <w:rPr>
          <w:color w:val="auto"/>
          <w:kern w:val="0"/>
          <w:u w:val="none"/>
        </w:rPr>
        <w:t>-N、TP等。在线监测装置的终端和</w:t>
      </w:r>
      <w:r>
        <w:rPr>
          <w:rFonts w:hint="eastAsia"/>
          <w:color w:val="auto"/>
          <w:kern w:val="0"/>
          <w:u w:val="none"/>
        </w:rPr>
        <w:t>环保部门</w:t>
      </w:r>
      <w:r>
        <w:rPr>
          <w:color w:val="auto"/>
          <w:kern w:val="0"/>
          <w:u w:val="none"/>
        </w:rPr>
        <w:t>电脑监控装置相连接。确保当地环保管理部门对污水处理厂正常运转的管理。</w:t>
      </w:r>
    </w:p>
    <w:p>
      <w:pPr>
        <w:ind w:firstLine="422"/>
        <w:jc w:val="center"/>
        <w:rPr>
          <w:rFonts w:hint="eastAsia"/>
          <w:b/>
          <w:color w:val="auto"/>
          <w:kern w:val="0"/>
          <w:sz w:val="21"/>
          <w:szCs w:val="21"/>
          <w:u w:val="single"/>
        </w:rPr>
      </w:pPr>
      <w:r>
        <w:rPr>
          <w:rFonts w:hint="eastAsia"/>
          <w:b/>
          <w:color w:val="auto"/>
          <w:kern w:val="0"/>
          <w:sz w:val="21"/>
          <w:szCs w:val="21"/>
          <w:u w:val="single"/>
        </w:rPr>
        <w:t>表7.5-2营运期环境监测计划</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747"/>
        <w:gridCol w:w="2546"/>
        <w:gridCol w:w="1504"/>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监测项目</w:t>
            </w:r>
          </w:p>
        </w:tc>
        <w:tc>
          <w:tcPr>
            <w:tcW w:w="1747"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监测点</w:t>
            </w:r>
          </w:p>
        </w:tc>
        <w:tc>
          <w:tcPr>
            <w:tcW w:w="2546"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监测因子</w:t>
            </w:r>
          </w:p>
        </w:tc>
        <w:tc>
          <w:tcPr>
            <w:tcW w:w="1504"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监测频率</w:t>
            </w:r>
          </w:p>
        </w:tc>
        <w:tc>
          <w:tcPr>
            <w:tcW w:w="1475"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大气环境</w:t>
            </w:r>
          </w:p>
        </w:tc>
        <w:tc>
          <w:tcPr>
            <w:tcW w:w="1747"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厂区甲烷体积浓度最高处</w:t>
            </w:r>
          </w:p>
        </w:tc>
        <w:tc>
          <w:tcPr>
            <w:tcW w:w="2546" w:type="dxa"/>
            <w:noWrap w:val="0"/>
            <w:vAlign w:val="center"/>
          </w:tcPr>
          <w:p>
            <w:pPr>
              <w:pStyle w:val="73"/>
              <w:rPr>
                <w:rFonts w:hint="eastAsia" w:ascii="Times New Roman" w:hAnsi="Times New Roman" w:eastAsia="宋体" w:cs="Times New Roman"/>
                <w:b w:val="0"/>
                <w:bCs/>
                <w:color w:val="auto"/>
                <w:u w:val="single"/>
                <w:vertAlign w:val="subscript"/>
                <w:lang w:eastAsia="zh-CN"/>
              </w:rPr>
            </w:pPr>
            <w:r>
              <w:rPr>
                <w:rFonts w:hint="eastAsia" w:ascii="Times New Roman" w:hAnsi="Times New Roman" w:cs="Times New Roman"/>
                <w:b w:val="0"/>
                <w:bCs/>
                <w:color w:val="auto"/>
                <w:u w:val="single"/>
                <w:vertAlign w:val="baseline"/>
                <w:lang w:eastAsia="zh-CN"/>
              </w:rPr>
              <w:t>甲烷</w:t>
            </w:r>
          </w:p>
        </w:tc>
        <w:tc>
          <w:tcPr>
            <w:tcW w:w="1504" w:type="dxa"/>
            <w:noWrap w:val="0"/>
            <w:vAlign w:val="center"/>
          </w:tcPr>
          <w:p>
            <w:pPr>
              <w:pStyle w:val="73"/>
              <w:rPr>
                <w:rFonts w:hint="default"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val="en-US" w:eastAsia="zh-CN"/>
              </w:rPr>
              <w:t>一年一次，一次一天</w:t>
            </w:r>
          </w:p>
        </w:tc>
        <w:tc>
          <w:tcPr>
            <w:tcW w:w="1475"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250" w:type="dxa"/>
            <w:vMerge w:val="continue"/>
            <w:noWrap w:val="0"/>
            <w:vAlign w:val="center"/>
          </w:tcPr>
          <w:p>
            <w:pPr>
              <w:pStyle w:val="73"/>
              <w:rPr>
                <w:rFonts w:hint="default" w:ascii="Times New Roman" w:hAnsi="Times New Roman" w:cs="Times New Roman"/>
                <w:b w:val="0"/>
                <w:bCs/>
                <w:color w:val="auto"/>
                <w:u w:val="single"/>
              </w:rPr>
            </w:pPr>
          </w:p>
        </w:tc>
        <w:tc>
          <w:tcPr>
            <w:tcW w:w="1747" w:type="dxa"/>
            <w:noWrap w:val="0"/>
            <w:vAlign w:val="center"/>
          </w:tcPr>
          <w:p>
            <w:pPr>
              <w:pStyle w:val="73"/>
              <w:rPr>
                <w:rFonts w:hint="eastAsia" w:ascii="Times New Roman" w:hAnsi="Times New Roman" w:cs="Times New Roman"/>
                <w:b w:val="0"/>
                <w:bCs/>
                <w:color w:val="auto"/>
                <w:u w:val="single"/>
                <w:lang w:eastAsia="zh-CN"/>
              </w:rPr>
            </w:pPr>
            <w:r>
              <w:rPr>
                <w:rFonts w:hint="eastAsia" w:ascii="Times New Roman" w:hAnsi="Times New Roman" w:cs="Times New Roman"/>
                <w:b w:val="0"/>
                <w:bCs/>
                <w:color w:val="auto"/>
                <w:u w:val="single"/>
                <w:lang w:eastAsia="zh-CN"/>
              </w:rPr>
              <w:t>厂界</w:t>
            </w:r>
          </w:p>
        </w:tc>
        <w:tc>
          <w:tcPr>
            <w:tcW w:w="2546" w:type="dxa"/>
            <w:noWrap w:val="0"/>
            <w:vAlign w:val="center"/>
          </w:tcPr>
          <w:p>
            <w:pPr>
              <w:pStyle w:val="73"/>
              <w:rPr>
                <w:rFonts w:hint="eastAsia" w:ascii="Times New Roman" w:hAnsi="Times New Roman" w:eastAsia="宋体" w:cs="Times New Roman"/>
                <w:b w:val="0"/>
                <w:bCs/>
                <w:color w:val="auto"/>
                <w:u w:val="single"/>
                <w:vertAlign w:val="baseline"/>
                <w:lang w:eastAsia="zh-CN"/>
              </w:rPr>
            </w:pPr>
            <w:r>
              <w:rPr>
                <w:rFonts w:hint="default" w:ascii="Times New Roman" w:hAnsi="Times New Roman" w:cs="Times New Roman"/>
                <w:b w:val="0"/>
                <w:bCs/>
                <w:color w:val="auto"/>
                <w:u w:val="single"/>
              </w:rPr>
              <w:t>H</w:t>
            </w:r>
            <w:r>
              <w:rPr>
                <w:rFonts w:hint="default" w:ascii="Times New Roman" w:hAnsi="Times New Roman" w:cs="Times New Roman"/>
                <w:b w:val="0"/>
                <w:bCs/>
                <w:color w:val="auto"/>
                <w:u w:val="single"/>
                <w:vertAlign w:val="subscript"/>
              </w:rPr>
              <w:t>2</w:t>
            </w:r>
            <w:r>
              <w:rPr>
                <w:rFonts w:hint="default" w:ascii="Times New Roman" w:hAnsi="Times New Roman" w:cs="Times New Roman"/>
                <w:b w:val="0"/>
                <w:bCs/>
                <w:color w:val="auto"/>
                <w:u w:val="single"/>
              </w:rPr>
              <w:t>S、NH</w:t>
            </w:r>
            <w:r>
              <w:rPr>
                <w:rFonts w:hint="default" w:ascii="Times New Roman" w:hAnsi="Times New Roman" w:cs="Times New Roman"/>
                <w:b w:val="0"/>
                <w:bCs/>
                <w:color w:val="auto"/>
                <w:u w:val="single"/>
                <w:vertAlign w:val="subscript"/>
              </w:rPr>
              <w:t>3</w:t>
            </w:r>
            <w:r>
              <w:rPr>
                <w:rFonts w:hint="eastAsia" w:ascii="Times New Roman" w:hAnsi="Times New Roman" w:cs="Times New Roman"/>
                <w:b w:val="0"/>
                <w:bCs/>
                <w:color w:val="auto"/>
                <w:u w:val="single"/>
                <w:vertAlign w:val="baseline"/>
                <w:lang w:eastAsia="zh-CN"/>
              </w:rPr>
              <w:t>、臭气浓度</w:t>
            </w:r>
          </w:p>
        </w:tc>
        <w:tc>
          <w:tcPr>
            <w:tcW w:w="1504" w:type="dxa"/>
            <w:noWrap w:val="0"/>
            <w:vAlign w:val="center"/>
          </w:tcPr>
          <w:p>
            <w:pPr>
              <w:pStyle w:val="73"/>
              <w:rPr>
                <w:rFonts w:hint="eastAsia" w:ascii="Times New Roman" w:hAnsi="Times New Roman" w:cs="Times New Roman"/>
                <w:b w:val="0"/>
                <w:bCs/>
                <w:color w:val="auto"/>
                <w:u w:val="single"/>
                <w:lang w:val="en-US" w:eastAsia="zh-CN"/>
              </w:rPr>
            </w:pPr>
            <w:r>
              <w:rPr>
                <w:rFonts w:hint="eastAsia" w:ascii="Times New Roman" w:hAnsi="Times New Roman" w:cs="Times New Roman"/>
                <w:b w:val="0"/>
                <w:bCs/>
                <w:color w:val="auto"/>
                <w:u w:val="single"/>
                <w:lang w:val="en-US" w:eastAsia="zh-CN"/>
              </w:rPr>
              <w:t>半年一次，一次一天</w:t>
            </w:r>
          </w:p>
        </w:tc>
        <w:tc>
          <w:tcPr>
            <w:tcW w:w="1475" w:type="dxa"/>
            <w:noWrap w:val="0"/>
            <w:vAlign w:val="center"/>
          </w:tcPr>
          <w:p>
            <w:pPr>
              <w:pStyle w:val="73"/>
              <w:rPr>
                <w:rFonts w:hint="eastAsia" w:ascii="Times New Roman" w:hAnsi="Times New Roman" w:cs="Times New Roman"/>
                <w:b w:val="0"/>
                <w:bCs/>
                <w:color w:val="auto"/>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vMerge w:val="continue"/>
            <w:noWrap w:val="0"/>
            <w:vAlign w:val="center"/>
          </w:tcPr>
          <w:p>
            <w:pPr>
              <w:pStyle w:val="73"/>
              <w:rPr>
                <w:rFonts w:hint="default" w:ascii="Times New Roman" w:hAnsi="Times New Roman" w:cs="Times New Roman"/>
                <w:b w:val="0"/>
                <w:bCs/>
                <w:color w:val="auto"/>
                <w:u w:val="single"/>
              </w:rPr>
            </w:pPr>
          </w:p>
        </w:tc>
        <w:tc>
          <w:tcPr>
            <w:tcW w:w="1747"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除臭装置排气筒</w:t>
            </w:r>
          </w:p>
        </w:tc>
        <w:tc>
          <w:tcPr>
            <w:tcW w:w="2546" w:type="dxa"/>
            <w:noWrap w:val="0"/>
            <w:vAlign w:val="center"/>
          </w:tcPr>
          <w:p>
            <w:pPr>
              <w:pStyle w:val="73"/>
              <w:rPr>
                <w:rFonts w:hint="eastAsia" w:ascii="Times New Roman" w:hAnsi="Times New Roman" w:eastAsia="宋体" w:cs="Times New Roman"/>
                <w:b w:val="0"/>
                <w:bCs/>
                <w:color w:val="auto"/>
                <w:u w:val="single"/>
                <w:vertAlign w:val="baseline"/>
                <w:lang w:eastAsia="zh-CN"/>
              </w:rPr>
            </w:pPr>
            <w:r>
              <w:rPr>
                <w:rFonts w:hint="default" w:ascii="Times New Roman" w:hAnsi="Times New Roman" w:cs="Times New Roman"/>
                <w:b w:val="0"/>
                <w:bCs/>
                <w:color w:val="auto"/>
                <w:u w:val="single"/>
              </w:rPr>
              <w:t>H</w:t>
            </w:r>
            <w:r>
              <w:rPr>
                <w:rFonts w:hint="default" w:ascii="Times New Roman" w:hAnsi="Times New Roman" w:cs="Times New Roman"/>
                <w:b w:val="0"/>
                <w:bCs/>
                <w:color w:val="auto"/>
                <w:u w:val="single"/>
                <w:vertAlign w:val="subscript"/>
              </w:rPr>
              <w:t>2</w:t>
            </w:r>
            <w:r>
              <w:rPr>
                <w:rFonts w:hint="default" w:ascii="Times New Roman" w:hAnsi="Times New Roman" w:cs="Times New Roman"/>
                <w:b w:val="0"/>
                <w:bCs/>
                <w:color w:val="auto"/>
                <w:u w:val="single"/>
              </w:rPr>
              <w:t>S、NH</w:t>
            </w:r>
            <w:r>
              <w:rPr>
                <w:rFonts w:hint="default" w:ascii="Times New Roman" w:hAnsi="Times New Roman" w:cs="Times New Roman"/>
                <w:b w:val="0"/>
                <w:bCs/>
                <w:color w:val="auto"/>
                <w:u w:val="single"/>
                <w:vertAlign w:val="subscript"/>
              </w:rPr>
              <w:t>3</w:t>
            </w:r>
            <w:r>
              <w:rPr>
                <w:rFonts w:hint="eastAsia" w:ascii="Times New Roman" w:hAnsi="Times New Roman" w:cs="Times New Roman"/>
                <w:b w:val="0"/>
                <w:bCs/>
                <w:color w:val="auto"/>
                <w:u w:val="single"/>
                <w:vertAlign w:val="baseline"/>
                <w:lang w:eastAsia="zh-CN"/>
              </w:rPr>
              <w:t>、臭气浓度</w:t>
            </w:r>
          </w:p>
        </w:tc>
        <w:tc>
          <w:tcPr>
            <w:tcW w:w="1504" w:type="dxa"/>
            <w:noWrap w:val="0"/>
            <w:vAlign w:val="center"/>
          </w:tcPr>
          <w:p>
            <w:pPr>
              <w:pStyle w:val="73"/>
              <w:rPr>
                <w:rFonts w:hint="default" w:ascii="Times New Roman" w:hAnsi="Times New Roman" w:cs="Times New Roman"/>
                <w:b w:val="0"/>
                <w:bCs/>
                <w:color w:val="auto"/>
                <w:u w:val="single"/>
              </w:rPr>
            </w:pPr>
            <w:r>
              <w:rPr>
                <w:rFonts w:hint="eastAsia" w:ascii="Times New Roman" w:hAnsi="Times New Roman" w:cs="Times New Roman"/>
                <w:b w:val="0"/>
                <w:bCs/>
                <w:color w:val="auto"/>
                <w:u w:val="single"/>
                <w:lang w:val="en-US" w:eastAsia="zh-CN"/>
              </w:rPr>
              <w:t>半年一次，一次一天</w:t>
            </w:r>
          </w:p>
        </w:tc>
        <w:tc>
          <w:tcPr>
            <w:tcW w:w="1475"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地表水</w:t>
            </w:r>
          </w:p>
        </w:tc>
        <w:tc>
          <w:tcPr>
            <w:tcW w:w="1747"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排污口上游500m、下游1km</w:t>
            </w:r>
          </w:p>
        </w:tc>
        <w:tc>
          <w:tcPr>
            <w:tcW w:w="2546"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水温、pH、溶解氧、高锰酸盐指数、COD、BOD5、氨氮、总氮、总磷、铜、锌、石油类、阴离子表面活性剂、粪大肠菌群、砷、铅、铬（六价）、镉、硫化物</w:t>
            </w:r>
          </w:p>
        </w:tc>
        <w:tc>
          <w:tcPr>
            <w:tcW w:w="1504"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每季一次，每次连续两天</w:t>
            </w:r>
          </w:p>
        </w:tc>
        <w:tc>
          <w:tcPr>
            <w:tcW w:w="1475"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250" w:type="dxa"/>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废水</w:t>
            </w:r>
          </w:p>
        </w:tc>
        <w:tc>
          <w:tcPr>
            <w:tcW w:w="1747" w:type="dxa"/>
            <w:vMerge w:val="restart"/>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进水总管</w:t>
            </w:r>
          </w:p>
        </w:tc>
        <w:tc>
          <w:tcPr>
            <w:tcW w:w="2546" w:type="dxa"/>
            <w:noWrap w:val="0"/>
            <w:vAlign w:val="center"/>
          </w:tcPr>
          <w:p>
            <w:pPr>
              <w:pStyle w:val="73"/>
              <w:rPr>
                <w:rFonts w:hint="default" w:ascii="Times New Roman" w:hAnsi="Times New Roman" w:cs="Times New Roman"/>
                <w:b w:val="0"/>
                <w:bCs/>
                <w:color w:val="auto"/>
                <w:u w:val="single"/>
              </w:rPr>
            </w:pPr>
            <w:r>
              <w:rPr>
                <w:rFonts w:hint="eastAsia" w:ascii="Times New Roman" w:hAnsi="Times New Roman" w:cs="Times New Roman"/>
                <w:b w:val="0"/>
                <w:bCs/>
                <w:color w:val="auto"/>
                <w:u w:val="single"/>
                <w:lang w:eastAsia="zh-CN"/>
              </w:rPr>
              <w:t>流量、</w:t>
            </w:r>
            <w:r>
              <w:rPr>
                <w:rFonts w:hint="default" w:ascii="Times New Roman" w:hAnsi="Times New Roman" w:cs="Times New Roman"/>
                <w:b w:val="0"/>
                <w:bCs/>
                <w:color w:val="auto"/>
                <w:u w:val="single"/>
              </w:rPr>
              <w:t>COD</w:t>
            </w:r>
            <w:r>
              <w:rPr>
                <w:rFonts w:hint="default" w:ascii="Times New Roman" w:hAnsi="Times New Roman" w:cs="Times New Roman"/>
                <w:b w:val="0"/>
                <w:bCs/>
                <w:color w:val="auto"/>
                <w:u w:val="single"/>
                <w:vertAlign w:val="subscript"/>
              </w:rPr>
              <w:t>cr</w:t>
            </w:r>
            <w:r>
              <w:rPr>
                <w:rFonts w:hint="default" w:ascii="Times New Roman" w:hAnsi="Times New Roman" w:cs="Times New Roman"/>
                <w:b w:val="0"/>
                <w:bCs/>
                <w:color w:val="auto"/>
                <w:u w:val="single"/>
              </w:rPr>
              <w:t>、NH</w:t>
            </w:r>
            <w:r>
              <w:rPr>
                <w:rFonts w:hint="default" w:ascii="Times New Roman" w:hAnsi="Times New Roman" w:cs="Times New Roman"/>
                <w:b w:val="0"/>
                <w:bCs/>
                <w:color w:val="auto"/>
                <w:u w:val="single"/>
                <w:vertAlign w:val="subscript"/>
              </w:rPr>
              <w:t>3</w:t>
            </w:r>
            <w:r>
              <w:rPr>
                <w:rFonts w:hint="default" w:ascii="Times New Roman" w:hAnsi="Times New Roman" w:cs="Times New Roman"/>
                <w:b w:val="0"/>
                <w:bCs/>
                <w:color w:val="auto"/>
                <w:u w:val="single"/>
              </w:rPr>
              <w:t>-N、</w:t>
            </w:r>
          </w:p>
        </w:tc>
        <w:tc>
          <w:tcPr>
            <w:tcW w:w="1504"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自动监测</w:t>
            </w:r>
          </w:p>
        </w:tc>
        <w:tc>
          <w:tcPr>
            <w:tcW w:w="1475"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进水口设置自动检测仪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vMerge w:val="continue"/>
            <w:noWrap w:val="0"/>
            <w:vAlign w:val="center"/>
          </w:tcPr>
          <w:p>
            <w:pPr>
              <w:pStyle w:val="73"/>
              <w:rPr>
                <w:rFonts w:hint="default" w:ascii="Times New Roman" w:hAnsi="Times New Roman" w:cs="Times New Roman"/>
                <w:b w:val="0"/>
                <w:bCs/>
                <w:color w:val="auto"/>
                <w:u w:val="single"/>
              </w:rPr>
            </w:pPr>
          </w:p>
        </w:tc>
        <w:tc>
          <w:tcPr>
            <w:tcW w:w="1747" w:type="dxa"/>
            <w:vMerge w:val="continue"/>
            <w:noWrap w:val="0"/>
            <w:vAlign w:val="center"/>
          </w:tcPr>
          <w:p>
            <w:pPr>
              <w:pStyle w:val="73"/>
              <w:rPr>
                <w:rFonts w:hint="eastAsia" w:ascii="Times New Roman" w:hAnsi="Times New Roman" w:cs="Times New Roman"/>
                <w:b w:val="0"/>
                <w:bCs/>
                <w:color w:val="auto"/>
                <w:u w:val="single"/>
                <w:lang w:eastAsia="zh-CN"/>
              </w:rPr>
            </w:pPr>
          </w:p>
        </w:tc>
        <w:tc>
          <w:tcPr>
            <w:tcW w:w="2546"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TP、TN</w:t>
            </w:r>
          </w:p>
        </w:tc>
        <w:tc>
          <w:tcPr>
            <w:tcW w:w="1504"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一天一次</w:t>
            </w:r>
          </w:p>
        </w:tc>
        <w:tc>
          <w:tcPr>
            <w:tcW w:w="1475" w:type="dxa"/>
            <w:noWrap w:val="0"/>
            <w:vAlign w:val="center"/>
          </w:tcPr>
          <w:p>
            <w:pPr>
              <w:pStyle w:val="73"/>
              <w:rPr>
                <w:rFonts w:hint="default" w:ascii="Times New Roman" w:hAnsi="Times New Roman" w:cs="Times New Roman"/>
                <w:b w:val="0"/>
                <w:bCs/>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vMerge w:val="continue"/>
            <w:noWrap w:val="0"/>
            <w:vAlign w:val="center"/>
          </w:tcPr>
          <w:p>
            <w:pPr>
              <w:pStyle w:val="73"/>
              <w:rPr>
                <w:rFonts w:hint="default" w:ascii="Times New Roman" w:hAnsi="Times New Roman" w:cs="Times New Roman"/>
                <w:b w:val="0"/>
                <w:bCs/>
                <w:color w:val="auto"/>
                <w:u w:val="single"/>
              </w:rPr>
            </w:pPr>
          </w:p>
        </w:tc>
        <w:tc>
          <w:tcPr>
            <w:tcW w:w="1747" w:type="dxa"/>
            <w:vMerge w:val="restart"/>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废水总排放口</w:t>
            </w:r>
          </w:p>
        </w:tc>
        <w:tc>
          <w:tcPr>
            <w:tcW w:w="2546" w:type="dxa"/>
            <w:noWrap w:val="0"/>
            <w:vAlign w:val="center"/>
          </w:tcPr>
          <w:p>
            <w:pPr>
              <w:pStyle w:val="73"/>
              <w:rPr>
                <w:rFonts w:hint="eastAsia"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eastAsia="zh-CN"/>
              </w:rPr>
              <w:t>流量、</w:t>
            </w:r>
            <w:r>
              <w:rPr>
                <w:rFonts w:hint="default" w:ascii="Times New Roman" w:hAnsi="Times New Roman" w:cs="Times New Roman"/>
                <w:b w:val="0"/>
                <w:bCs/>
                <w:color w:val="auto"/>
                <w:u w:val="single"/>
              </w:rPr>
              <w:t>pH</w:t>
            </w:r>
            <w:r>
              <w:rPr>
                <w:rFonts w:hint="eastAsia" w:ascii="Times New Roman" w:hAnsi="Times New Roman" w:cs="Times New Roman"/>
                <w:b w:val="0"/>
                <w:bCs/>
                <w:color w:val="auto"/>
                <w:u w:val="single"/>
                <w:lang w:eastAsia="zh-CN"/>
              </w:rPr>
              <w:t>值、水温、化学需氧量、氨氮、总磷、总氮</w:t>
            </w:r>
          </w:p>
        </w:tc>
        <w:tc>
          <w:tcPr>
            <w:tcW w:w="1504"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自动监测</w:t>
            </w:r>
          </w:p>
        </w:tc>
        <w:tc>
          <w:tcPr>
            <w:tcW w:w="1475" w:type="dxa"/>
            <w:noWrap w:val="0"/>
            <w:vAlign w:val="center"/>
          </w:tcPr>
          <w:p>
            <w:pPr>
              <w:pStyle w:val="73"/>
              <w:jc w:val="both"/>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总氮自动监测技术规范发布实施前，按日监测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vMerge w:val="continue"/>
            <w:noWrap w:val="0"/>
            <w:vAlign w:val="center"/>
          </w:tcPr>
          <w:p>
            <w:pPr>
              <w:pStyle w:val="73"/>
              <w:rPr>
                <w:rFonts w:hint="default" w:ascii="Times New Roman" w:hAnsi="Times New Roman" w:cs="Times New Roman"/>
                <w:b w:val="0"/>
                <w:bCs/>
                <w:color w:val="auto"/>
                <w:u w:val="single"/>
              </w:rPr>
            </w:pPr>
          </w:p>
        </w:tc>
        <w:tc>
          <w:tcPr>
            <w:tcW w:w="1747" w:type="dxa"/>
            <w:vMerge w:val="continue"/>
            <w:noWrap w:val="0"/>
            <w:vAlign w:val="center"/>
          </w:tcPr>
          <w:p>
            <w:pPr>
              <w:pStyle w:val="73"/>
              <w:rPr>
                <w:rFonts w:hint="eastAsia" w:ascii="Times New Roman" w:hAnsi="Times New Roman" w:cs="Times New Roman"/>
                <w:b w:val="0"/>
                <w:bCs/>
                <w:color w:val="auto"/>
                <w:u w:val="single"/>
                <w:lang w:eastAsia="zh-CN"/>
              </w:rPr>
            </w:pPr>
          </w:p>
        </w:tc>
        <w:tc>
          <w:tcPr>
            <w:tcW w:w="2546"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悬浮物、色度</w:t>
            </w:r>
          </w:p>
        </w:tc>
        <w:tc>
          <w:tcPr>
            <w:tcW w:w="1504"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每天一次</w:t>
            </w:r>
          </w:p>
        </w:tc>
        <w:tc>
          <w:tcPr>
            <w:tcW w:w="1475" w:type="dxa"/>
            <w:noWrap w:val="0"/>
            <w:vAlign w:val="center"/>
          </w:tcPr>
          <w:p>
            <w:pPr>
              <w:pStyle w:val="73"/>
              <w:rPr>
                <w:rFonts w:hint="eastAsia"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vMerge w:val="continue"/>
            <w:noWrap w:val="0"/>
            <w:vAlign w:val="center"/>
          </w:tcPr>
          <w:p>
            <w:pPr>
              <w:pStyle w:val="73"/>
              <w:rPr>
                <w:rFonts w:hint="default" w:ascii="Times New Roman" w:hAnsi="Times New Roman" w:cs="Times New Roman"/>
                <w:b w:val="0"/>
                <w:bCs/>
                <w:color w:val="auto"/>
                <w:u w:val="single"/>
              </w:rPr>
            </w:pPr>
          </w:p>
        </w:tc>
        <w:tc>
          <w:tcPr>
            <w:tcW w:w="1747" w:type="dxa"/>
            <w:vMerge w:val="continue"/>
            <w:noWrap w:val="0"/>
            <w:vAlign w:val="center"/>
          </w:tcPr>
          <w:p>
            <w:pPr>
              <w:pStyle w:val="73"/>
              <w:rPr>
                <w:rFonts w:hint="eastAsia" w:ascii="Times New Roman" w:hAnsi="Times New Roman" w:cs="Times New Roman"/>
                <w:b w:val="0"/>
                <w:bCs/>
                <w:color w:val="auto"/>
                <w:u w:val="single"/>
                <w:lang w:eastAsia="zh-CN"/>
              </w:rPr>
            </w:pPr>
          </w:p>
        </w:tc>
        <w:tc>
          <w:tcPr>
            <w:tcW w:w="2546"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五日生化需氧量、石油类</w:t>
            </w:r>
          </w:p>
        </w:tc>
        <w:tc>
          <w:tcPr>
            <w:tcW w:w="1504"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每月一次</w:t>
            </w:r>
          </w:p>
        </w:tc>
        <w:tc>
          <w:tcPr>
            <w:tcW w:w="1475" w:type="dxa"/>
            <w:noWrap w:val="0"/>
            <w:vAlign w:val="center"/>
          </w:tcPr>
          <w:p>
            <w:pPr>
              <w:pStyle w:val="73"/>
              <w:rPr>
                <w:rFonts w:hint="eastAsia"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vMerge w:val="continue"/>
            <w:noWrap w:val="0"/>
            <w:vAlign w:val="center"/>
          </w:tcPr>
          <w:p>
            <w:pPr>
              <w:pStyle w:val="73"/>
              <w:rPr>
                <w:rFonts w:hint="default" w:ascii="Times New Roman" w:hAnsi="Times New Roman" w:cs="Times New Roman"/>
                <w:b w:val="0"/>
                <w:bCs/>
                <w:color w:val="auto"/>
                <w:u w:val="single"/>
              </w:rPr>
            </w:pPr>
          </w:p>
        </w:tc>
        <w:tc>
          <w:tcPr>
            <w:tcW w:w="1747" w:type="dxa"/>
            <w:vMerge w:val="continue"/>
            <w:noWrap w:val="0"/>
            <w:vAlign w:val="center"/>
          </w:tcPr>
          <w:p>
            <w:pPr>
              <w:pStyle w:val="73"/>
              <w:rPr>
                <w:rFonts w:hint="eastAsia" w:ascii="Times New Roman" w:hAnsi="Times New Roman" w:cs="Times New Roman"/>
                <w:b w:val="0"/>
                <w:bCs/>
                <w:color w:val="auto"/>
                <w:u w:val="single"/>
                <w:lang w:eastAsia="zh-CN"/>
              </w:rPr>
            </w:pPr>
          </w:p>
        </w:tc>
        <w:tc>
          <w:tcPr>
            <w:tcW w:w="2546"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总镉、总铬、总汞、总铅、总砷、六价铬</w:t>
            </w:r>
          </w:p>
        </w:tc>
        <w:tc>
          <w:tcPr>
            <w:tcW w:w="1504"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每月一次</w:t>
            </w:r>
          </w:p>
        </w:tc>
        <w:tc>
          <w:tcPr>
            <w:tcW w:w="1475" w:type="dxa"/>
            <w:noWrap w:val="0"/>
            <w:vAlign w:val="center"/>
          </w:tcPr>
          <w:p>
            <w:pPr>
              <w:pStyle w:val="73"/>
              <w:rPr>
                <w:rFonts w:hint="eastAsia" w:ascii="Times New Roman" w:hAnsi="Times New Roman" w:eastAsia="宋体" w:cs="Times New Roman"/>
                <w:b w:val="0"/>
                <w:bCs/>
                <w:color w:val="auto"/>
                <w:u w:val="single"/>
                <w:lang w:val="en-US" w:eastAsia="zh-CN"/>
              </w:rPr>
            </w:pPr>
            <w:r>
              <w:rPr>
                <w:rFonts w:hint="eastAsia" w:ascii="Times New Roman" w:hAnsi="Times New Roman" w:cs="Times New Roman"/>
                <w:b w:val="0"/>
                <w:bCs/>
                <w:color w:val="auto"/>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vMerge w:val="continue"/>
            <w:noWrap w:val="0"/>
            <w:vAlign w:val="center"/>
          </w:tcPr>
          <w:p>
            <w:pPr>
              <w:pStyle w:val="73"/>
              <w:rPr>
                <w:rFonts w:hint="default" w:ascii="Times New Roman" w:hAnsi="Times New Roman" w:cs="Times New Roman"/>
                <w:b w:val="0"/>
                <w:bCs/>
                <w:color w:val="auto"/>
                <w:u w:val="single"/>
              </w:rPr>
            </w:pPr>
          </w:p>
        </w:tc>
        <w:tc>
          <w:tcPr>
            <w:tcW w:w="1747" w:type="dxa"/>
            <w:vMerge w:val="continue"/>
            <w:noWrap w:val="0"/>
            <w:vAlign w:val="center"/>
          </w:tcPr>
          <w:p>
            <w:pPr>
              <w:pStyle w:val="73"/>
              <w:rPr>
                <w:rFonts w:hint="eastAsia" w:ascii="Times New Roman" w:hAnsi="Times New Roman" w:cs="Times New Roman"/>
                <w:b w:val="0"/>
                <w:bCs/>
                <w:color w:val="auto"/>
                <w:u w:val="single"/>
                <w:lang w:eastAsia="zh-CN"/>
              </w:rPr>
            </w:pPr>
          </w:p>
        </w:tc>
        <w:tc>
          <w:tcPr>
            <w:tcW w:w="2546" w:type="dxa"/>
            <w:noWrap w:val="0"/>
            <w:vAlign w:val="center"/>
          </w:tcPr>
          <w:p>
            <w:pPr>
              <w:pStyle w:val="73"/>
              <w:rPr>
                <w:rFonts w:hint="eastAsia" w:ascii="Times New Roman" w:hAnsi="Times New Roman" w:cs="Times New Roman"/>
                <w:b w:val="0"/>
                <w:bCs/>
                <w:color w:val="auto"/>
                <w:u w:val="single"/>
                <w:lang w:eastAsia="zh-CN"/>
              </w:rPr>
            </w:pPr>
            <w:r>
              <w:rPr>
                <w:rFonts w:hint="eastAsia" w:ascii="Times New Roman" w:cs="Times New Roman"/>
                <w:b w:val="0"/>
                <w:bCs/>
                <w:color w:val="auto"/>
                <w:u w:val="single"/>
                <w:lang w:eastAsia="zh-CN"/>
              </w:rPr>
              <w:t>动植物油</w:t>
            </w:r>
          </w:p>
        </w:tc>
        <w:tc>
          <w:tcPr>
            <w:tcW w:w="1504" w:type="dxa"/>
            <w:noWrap w:val="0"/>
            <w:vAlign w:val="center"/>
          </w:tcPr>
          <w:p>
            <w:pPr>
              <w:pStyle w:val="73"/>
              <w:rPr>
                <w:rFonts w:hint="eastAsia" w:ascii="Times New Roman" w:hAnsi="Times New Roman" w:cs="Times New Roman"/>
                <w:b w:val="0"/>
                <w:bCs/>
                <w:color w:val="auto"/>
                <w:u w:val="single"/>
                <w:lang w:eastAsia="zh-CN"/>
              </w:rPr>
            </w:pPr>
            <w:r>
              <w:rPr>
                <w:rFonts w:hint="eastAsia" w:ascii="Times New Roman" w:hAnsi="Times New Roman" w:cs="Times New Roman"/>
                <w:b w:val="0"/>
                <w:bCs/>
                <w:color w:val="auto"/>
                <w:u w:val="single"/>
                <w:lang w:eastAsia="zh-CN"/>
              </w:rPr>
              <w:t>每季度一次</w:t>
            </w:r>
          </w:p>
        </w:tc>
        <w:tc>
          <w:tcPr>
            <w:tcW w:w="1475" w:type="dxa"/>
            <w:noWrap w:val="0"/>
            <w:vAlign w:val="center"/>
          </w:tcPr>
          <w:p>
            <w:pPr>
              <w:pStyle w:val="73"/>
              <w:rPr>
                <w:rFonts w:hint="default" w:ascii="Times New Roman" w:hAnsi="Times New Roman" w:cs="Times New Roman"/>
                <w:b w:val="0"/>
                <w:bCs/>
                <w:color w:val="auto"/>
                <w:u w:val="single"/>
                <w:lang w:val="en-US" w:eastAsia="zh-CN"/>
              </w:rPr>
            </w:pPr>
            <w:r>
              <w:rPr>
                <w:rFonts w:hint="eastAsia" w:ascii="Times New Roman" w:cs="Times New Roman"/>
                <w:b w:val="0"/>
                <w:bCs/>
                <w:color w:val="auto"/>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cs="Times New Roman"/>
                <w:b w:val="0"/>
                <w:bCs/>
                <w:color w:val="auto"/>
                <w:u w:val="single"/>
                <w:lang w:eastAsia="zh-CN"/>
              </w:rPr>
              <w:t>雨水</w:t>
            </w:r>
          </w:p>
        </w:tc>
        <w:tc>
          <w:tcPr>
            <w:tcW w:w="1747" w:type="dxa"/>
            <w:noWrap w:val="0"/>
            <w:vAlign w:val="center"/>
          </w:tcPr>
          <w:p>
            <w:pPr>
              <w:pStyle w:val="73"/>
              <w:rPr>
                <w:rFonts w:hint="eastAsia" w:ascii="Times New Roman" w:hAnsi="Times New Roman" w:cs="Times New Roman"/>
                <w:b w:val="0"/>
                <w:bCs/>
                <w:color w:val="auto"/>
                <w:u w:val="single"/>
                <w:lang w:eastAsia="zh-CN"/>
              </w:rPr>
            </w:pPr>
            <w:r>
              <w:rPr>
                <w:rFonts w:hint="eastAsia" w:ascii="Times New Roman" w:cs="Times New Roman"/>
                <w:b w:val="0"/>
                <w:bCs/>
                <w:color w:val="auto"/>
                <w:u w:val="single"/>
                <w:lang w:eastAsia="zh-CN"/>
              </w:rPr>
              <w:t>雨水排放口</w:t>
            </w:r>
          </w:p>
        </w:tc>
        <w:tc>
          <w:tcPr>
            <w:tcW w:w="2546" w:type="dxa"/>
            <w:noWrap w:val="0"/>
            <w:vAlign w:val="center"/>
          </w:tcPr>
          <w:p>
            <w:pPr>
              <w:pStyle w:val="73"/>
              <w:rPr>
                <w:rFonts w:hint="eastAsia" w:ascii="Times New Roman" w:hAnsi="Times New Roman" w:cs="Times New Roman"/>
                <w:b w:val="0"/>
                <w:bCs/>
                <w:color w:val="auto"/>
                <w:u w:val="single"/>
                <w:lang w:eastAsia="zh-CN"/>
              </w:rPr>
            </w:pPr>
            <w:r>
              <w:rPr>
                <w:rFonts w:hint="default" w:ascii="Times New Roman" w:hAnsi="Times New Roman" w:cs="Times New Roman"/>
                <w:b w:val="0"/>
                <w:bCs/>
                <w:color w:val="auto"/>
                <w:u w:val="single"/>
              </w:rPr>
              <w:t>pH</w:t>
            </w:r>
            <w:r>
              <w:rPr>
                <w:rFonts w:hint="eastAsia" w:ascii="Times New Roman" w:hAnsi="Times New Roman" w:cs="Times New Roman"/>
                <w:b w:val="0"/>
                <w:bCs/>
                <w:color w:val="auto"/>
                <w:u w:val="single"/>
                <w:lang w:eastAsia="zh-CN"/>
              </w:rPr>
              <w:t>值、化学需氧量、氨氮、悬浮物</w:t>
            </w:r>
          </w:p>
        </w:tc>
        <w:tc>
          <w:tcPr>
            <w:tcW w:w="1504" w:type="dxa"/>
            <w:noWrap w:val="0"/>
            <w:vAlign w:val="center"/>
          </w:tcPr>
          <w:p>
            <w:pPr>
              <w:pStyle w:val="73"/>
              <w:rPr>
                <w:rFonts w:hint="eastAsia" w:ascii="Times New Roman" w:hAnsi="Times New Roman" w:cs="Times New Roman"/>
                <w:b w:val="0"/>
                <w:bCs/>
                <w:color w:val="auto"/>
                <w:u w:val="single"/>
                <w:lang w:eastAsia="zh-CN"/>
              </w:rPr>
            </w:pPr>
            <w:r>
              <w:rPr>
                <w:rFonts w:hint="eastAsia" w:ascii="Times New Roman" w:hAnsi="Times New Roman" w:cs="Times New Roman"/>
                <w:b w:val="0"/>
                <w:bCs/>
                <w:color w:val="auto"/>
                <w:u w:val="single"/>
                <w:lang w:eastAsia="zh-CN"/>
              </w:rPr>
              <w:t>每日一次</w:t>
            </w:r>
          </w:p>
        </w:tc>
        <w:tc>
          <w:tcPr>
            <w:tcW w:w="1475" w:type="dxa"/>
            <w:noWrap w:val="0"/>
            <w:vAlign w:val="center"/>
          </w:tcPr>
          <w:p>
            <w:pPr>
              <w:pStyle w:val="73"/>
              <w:rPr>
                <w:rFonts w:hint="eastAsia" w:ascii="Times New Roman" w:hAnsi="Times New Roman" w:cs="Times New Roman"/>
                <w:b w:val="0"/>
                <w:bCs/>
                <w:color w:val="auto"/>
                <w:u w:val="single"/>
                <w:lang w:val="en-US" w:eastAsia="zh-CN"/>
              </w:rPr>
            </w:pPr>
            <w:r>
              <w:rPr>
                <w:rFonts w:hint="eastAsia" w:ascii="Times New Roman" w:cs="Times New Roman"/>
                <w:b w:val="0"/>
                <w:bCs/>
                <w:color w:val="auto"/>
                <w:u w:val="single"/>
                <w:lang w:val="en-US" w:eastAsia="zh-CN"/>
              </w:rPr>
              <w:t>雨水排放口有流动水排放是按日监测，若监测一年无异常情况，可放宽至每季度开展一次监测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噪声</w:t>
            </w:r>
          </w:p>
        </w:tc>
        <w:tc>
          <w:tcPr>
            <w:tcW w:w="1747"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厂界</w:t>
            </w:r>
          </w:p>
        </w:tc>
        <w:tc>
          <w:tcPr>
            <w:tcW w:w="2546"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等效A声级</w:t>
            </w:r>
          </w:p>
        </w:tc>
        <w:tc>
          <w:tcPr>
            <w:tcW w:w="1504"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每</w:t>
            </w:r>
            <w:r>
              <w:rPr>
                <w:rFonts w:hint="eastAsia" w:ascii="Times New Roman" w:cs="Times New Roman"/>
                <w:b w:val="0"/>
                <w:bCs/>
                <w:color w:val="auto"/>
                <w:u w:val="single"/>
                <w:lang w:eastAsia="zh-CN"/>
              </w:rPr>
              <w:t>季度</w:t>
            </w:r>
            <w:r>
              <w:rPr>
                <w:rFonts w:hint="default" w:ascii="Times New Roman" w:hAnsi="Times New Roman" w:cs="Times New Roman"/>
                <w:b w:val="0"/>
                <w:bCs/>
                <w:color w:val="auto"/>
                <w:u w:val="single"/>
              </w:rPr>
              <w:t>一次，昼夜各一次</w:t>
            </w:r>
          </w:p>
        </w:tc>
        <w:tc>
          <w:tcPr>
            <w:tcW w:w="1475" w:type="dxa"/>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w:t>
            </w:r>
          </w:p>
        </w:tc>
      </w:tr>
    </w:tbl>
    <w:p>
      <w:pPr>
        <w:pStyle w:val="6"/>
        <w:bidi w:val="0"/>
      </w:pPr>
      <w:r>
        <w:rPr>
          <w:rFonts w:hint="eastAsia"/>
        </w:rPr>
        <w:t>7</w:t>
      </w:r>
      <w:r>
        <w:t>.5.3</w:t>
      </w:r>
      <w:r>
        <w:rPr>
          <w:rFonts w:hint="eastAsia"/>
        </w:rPr>
        <w:t>在线监测设备安装要求</w:t>
      </w:r>
    </w:p>
    <w:p>
      <w:pPr>
        <w:ind w:firstLine="480"/>
        <w:jc w:val="both"/>
        <w:rPr>
          <w:rFonts w:hint="eastAsia"/>
          <w:color w:val="auto"/>
          <w:u w:val="none"/>
        </w:rPr>
      </w:pPr>
      <w:r>
        <w:rPr>
          <w:rFonts w:hint="eastAsia"/>
          <w:color w:val="auto"/>
          <w:u w:val="none"/>
        </w:rPr>
        <w:t>（1）采样取水系统安装要求</w:t>
      </w:r>
    </w:p>
    <w:p>
      <w:pPr>
        <w:ind w:firstLine="480"/>
        <w:jc w:val="both"/>
        <w:rPr>
          <w:rFonts w:hint="eastAsia"/>
          <w:color w:val="auto"/>
          <w:u w:val="none"/>
        </w:rPr>
      </w:pPr>
      <w:r>
        <w:rPr>
          <w:rFonts w:hint="eastAsia"/>
          <w:color w:val="auto"/>
          <w:u w:val="none"/>
        </w:rPr>
        <w:t>①采样取水系统应保证采集有代表性的水样，并保证将水样无变质的输送至监测站内自动分析仪取样分析或采样器采样保存。</w:t>
      </w:r>
    </w:p>
    <w:p>
      <w:pPr>
        <w:ind w:firstLine="480"/>
        <w:jc w:val="both"/>
        <w:rPr>
          <w:rFonts w:hint="eastAsia"/>
          <w:color w:val="auto"/>
          <w:u w:val="none"/>
        </w:rPr>
      </w:pPr>
      <w:r>
        <w:rPr>
          <w:rFonts w:hint="eastAsia"/>
          <w:color w:val="auto"/>
          <w:u w:val="none"/>
        </w:rPr>
        <w:t>②采样取水系统应尽量设在废水排放堰槽取水口头部的流路中央，采水的前端设在下流的方向，减少采水部前端的堵塞。采样取水系统宜设置成可随睡眠的涨落而上下移动的形式。应同时设置人工采样口，以便进行比对试验。</w:t>
      </w:r>
    </w:p>
    <w:p>
      <w:pPr>
        <w:ind w:firstLine="480"/>
        <w:jc w:val="both"/>
        <w:rPr>
          <w:rFonts w:hint="eastAsia"/>
          <w:color w:val="auto"/>
          <w:u w:val="none"/>
        </w:rPr>
      </w:pPr>
      <w:r>
        <w:rPr>
          <w:rFonts w:hint="eastAsia"/>
          <w:color w:val="auto"/>
          <w:u w:val="none"/>
        </w:rPr>
        <w:t>③采样取水系统的构造应有必要的防冻和防腐设施。</w:t>
      </w:r>
    </w:p>
    <w:p>
      <w:pPr>
        <w:ind w:firstLine="480"/>
        <w:jc w:val="both"/>
        <w:rPr>
          <w:rFonts w:hint="eastAsia"/>
          <w:color w:val="auto"/>
          <w:u w:val="none"/>
        </w:rPr>
      </w:pPr>
      <w:r>
        <w:rPr>
          <w:rFonts w:hint="eastAsia"/>
          <w:color w:val="auto"/>
          <w:u w:val="none"/>
        </w:rPr>
        <w:t>④采样取水管材料应对所有监测项目没有干扰，并且耐腐蚀。取水管应能保证水质自动分析仪所需的流量。</w:t>
      </w:r>
    </w:p>
    <w:p>
      <w:pPr>
        <w:ind w:firstLine="480"/>
        <w:jc w:val="both"/>
        <w:rPr>
          <w:rFonts w:hint="eastAsia"/>
          <w:color w:val="auto"/>
          <w:u w:val="none"/>
        </w:rPr>
      </w:pPr>
      <w:r>
        <w:rPr>
          <w:rFonts w:hint="eastAsia"/>
          <w:color w:val="auto"/>
          <w:u w:val="none"/>
        </w:rPr>
        <w:t>⑤采样泵应根据采样流量、采样取水系统的水头损失及水位差合理选择。</w:t>
      </w:r>
    </w:p>
    <w:p>
      <w:pPr>
        <w:ind w:firstLine="480"/>
        <w:jc w:val="both"/>
        <w:rPr>
          <w:rFonts w:hint="eastAsia"/>
          <w:color w:val="auto"/>
          <w:u w:val="none"/>
        </w:rPr>
      </w:pPr>
      <w:r>
        <w:rPr>
          <w:rFonts w:hint="eastAsia"/>
          <w:color w:val="auto"/>
          <w:u w:val="none"/>
        </w:rPr>
        <w:t>⑥采样取水系统宜设有过滤设施，防止杂物和粗颗粒悬浮物损坏采样泵。</w:t>
      </w:r>
    </w:p>
    <w:p>
      <w:pPr>
        <w:ind w:firstLine="480"/>
        <w:jc w:val="both"/>
        <w:rPr>
          <w:rFonts w:hint="eastAsia"/>
          <w:color w:val="auto"/>
          <w:u w:val="none"/>
        </w:rPr>
      </w:pPr>
      <w:r>
        <w:rPr>
          <w:rFonts w:hint="eastAsia"/>
          <w:color w:val="auto"/>
          <w:u w:val="none"/>
        </w:rPr>
        <w:t>⑦氨氮水质自动分析仪采样取水系统的管路设计应具有自动清洗功能，宜采用加臭氧、二氧化氯或加氯等冲洗方式。应尽量缩短采样取水系统与氨氮水质自动分析仪之间输送管路的长度。</w:t>
      </w:r>
    </w:p>
    <w:p>
      <w:pPr>
        <w:ind w:firstLine="480"/>
        <w:jc w:val="both"/>
        <w:rPr>
          <w:rFonts w:hint="eastAsia"/>
          <w:color w:val="auto"/>
          <w:u w:val="none"/>
        </w:rPr>
      </w:pPr>
      <w:r>
        <w:rPr>
          <w:rFonts w:hint="eastAsia"/>
          <w:color w:val="auto"/>
          <w:u w:val="none"/>
        </w:rPr>
        <w:t>（2）现场水质自动分析仪安装要求</w:t>
      </w:r>
    </w:p>
    <w:p>
      <w:pPr>
        <w:ind w:firstLine="480"/>
        <w:jc w:val="both"/>
        <w:rPr>
          <w:rFonts w:hint="eastAsia"/>
          <w:color w:val="auto"/>
          <w:u w:val="none"/>
        </w:rPr>
      </w:pPr>
      <w:r>
        <w:rPr>
          <w:rFonts w:hint="eastAsia"/>
          <w:color w:val="auto"/>
          <w:u w:val="none"/>
        </w:rPr>
        <w:t>①现场水质自动分析仪应落地或壁挂式安装，有必要的防震措施，保证设备安装牢固稳定。</w:t>
      </w:r>
    </w:p>
    <w:p>
      <w:pPr>
        <w:ind w:firstLine="480"/>
        <w:jc w:val="both"/>
        <w:rPr>
          <w:color w:val="auto"/>
          <w:u w:val="none"/>
        </w:rPr>
      </w:pPr>
      <w:r>
        <w:rPr>
          <w:rFonts w:hint="eastAsia"/>
          <w:color w:val="auto"/>
          <w:u w:val="none"/>
        </w:rPr>
        <w:t>②安装高温加热装置的现场水质自动分析仪，应避开可燃物和无严禁烟火的场所。</w:t>
      </w:r>
    </w:p>
    <w:p>
      <w:pPr>
        <w:ind w:firstLine="480"/>
        <w:jc w:val="both"/>
        <w:rPr>
          <w:rFonts w:hint="eastAsia"/>
          <w:color w:val="auto"/>
          <w:u w:val="none"/>
        </w:rPr>
      </w:pPr>
      <w:r>
        <w:rPr>
          <w:rFonts w:hint="eastAsia"/>
          <w:color w:val="auto"/>
          <w:u w:val="none"/>
        </w:rPr>
        <w:t>③现场水质自动分析仪与数据采集传输仪的电缆连接应可靠稳定，并尽量缩短信号传输距离。</w:t>
      </w:r>
    </w:p>
    <w:p>
      <w:pPr>
        <w:ind w:firstLine="480"/>
        <w:jc w:val="both"/>
        <w:rPr>
          <w:rFonts w:hint="eastAsia"/>
          <w:color w:val="auto"/>
          <w:u w:val="none"/>
        </w:rPr>
      </w:pPr>
      <w:r>
        <w:rPr>
          <w:rFonts w:hint="eastAsia"/>
          <w:color w:val="auto"/>
          <w:u w:val="none"/>
        </w:rPr>
        <w:t>④各种电缆和管路应加保护管铺于地下或空中架设，空中架设的电缆应附着在牢固的桥架上，并在电缆和管路以及电缆和管路的两端作上明显标识。</w:t>
      </w:r>
    </w:p>
    <w:p>
      <w:pPr>
        <w:ind w:firstLine="480"/>
        <w:jc w:val="both"/>
        <w:rPr>
          <w:rFonts w:hint="eastAsia"/>
          <w:color w:val="auto"/>
          <w:u w:val="none"/>
        </w:rPr>
      </w:pPr>
      <w:r>
        <w:rPr>
          <w:rFonts w:hint="eastAsia"/>
          <w:color w:val="auto"/>
          <w:u w:val="none"/>
        </w:rPr>
        <w:t>⑤必要时，仪器和电源也应设置防雷设施。</w:t>
      </w:r>
    </w:p>
    <w:p>
      <w:pPr>
        <w:pStyle w:val="76"/>
        <w:spacing w:before="163" w:after="163"/>
        <w:rPr>
          <w:rFonts w:hint="eastAsia"/>
          <w:color w:val="auto"/>
          <w:kern w:val="0"/>
          <w:u w:val="none"/>
        </w:rPr>
      </w:pPr>
      <w:bookmarkStart w:id="310" w:name="_Toc17164"/>
      <w:r>
        <w:rPr>
          <w:rFonts w:hint="eastAsia"/>
          <w:color w:val="auto"/>
          <w:kern w:val="0"/>
          <w:u w:val="none"/>
        </w:rPr>
        <w:t>7.6环境保护竣工验收要求</w:t>
      </w:r>
      <w:bookmarkEnd w:id="310"/>
    </w:p>
    <w:p>
      <w:pPr>
        <w:ind w:firstLine="480"/>
        <w:jc w:val="both"/>
        <w:rPr>
          <w:rFonts w:hint="eastAsia"/>
          <w:color w:val="auto"/>
          <w:kern w:val="0"/>
          <w:u w:val="none"/>
        </w:rPr>
      </w:pPr>
      <w:r>
        <w:rPr>
          <w:rFonts w:hint="eastAsia"/>
          <w:color w:val="auto"/>
          <w:kern w:val="0"/>
          <w:u w:val="none"/>
        </w:rPr>
        <w:t>本工程环境保护措施验收内容见表7.6-1，各项环保措施必须和主体工程一道通过验收竣工，污水处理厂方可运行。</w:t>
      </w:r>
    </w:p>
    <w:p>
      <w:pPr>
        <w:ind w:firstLine="422"/>
        <w:jc w:val="center"/>
        <w:rPr>
          <w:rFonts w:hint="eastAsia"/>
          <w:b/>
          <w:color w:val="auto"/>
          <w:kern w:val="0"/>
          <w:sz w:val="21"/>
          <w:szCs w:val="21"/>
          <w:u w:val="single"/>
        </w:rPr>
      </w:pPr>
      <w:r>
        <w:rPr>
          <w:rFonts w:hint="eastAsia"/>
          <w:b/>
          <w:color w:val="auto"/>
          <w:kern w:val="0"/>
          <w:sz w:val="21"/>
          <w:szCs w:val="21"/>
          <w:u w:val="single"/>
        </w:rPr>
        <w:t>表7.6-1项目竣工环保验收一览表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849"/>
        <w:gridCol w:w="2546"/>
        <w:gridCol w:w="1997"/>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序号</w:t>
            </w:r>
          </w:p>
        </w:tc>
        <w:tc>
          <w:tcPr>
            <w:tcW w:w="498"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治理对象</w:t>
            </w:r>
          </w:p>
        </w:tc>
        <w:tc>
          <w:tcPr>
            <w:tcW w:w="14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验收内容</w:t>
            </w:r>
          </w:p>
        </w:tc>
        <w:tc>
          <w:tcPr>
            <w:tcW w:w="1171"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监测项目</w:t>
            </w:r>
          </w:p>
        </w:tc>
        <w:tc>
          <w:tcPr>
            <w:tcW w:w="1442"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1</w:t>
            </w:r>
          </w:p>
        </w:tc>
        <w:tc>
          <w:tcPr>
            <w:tcW w:w="498" w:type="pct"/>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污水</w:t>
            </w:r>
          </w:p>
        </w:tc>
        <w:tc>
          <w:tcPr>
            <w:tcW w:w="14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处理工艺：</w:t>
            </w:r>
            <w:r>
              <w:rPr>
                <w:rFonts w:hint="eastAsia" w:ascii="Times New Roman" w:hAnsi="Times New Roman" w:cs="Times New Roman"/>
                <w:b w:val="0"/>
                <w:bCs/>
                <w:color w:val="auto"/>
                <w:u w:val="single"/>
                <w:lang w:eastAsia="zh-CN"/>
              </w:rPr>
              <w:t>格栅渠</w:t>
            </w:r>
            <w:r>
              <w:rPr>
                <w:rFonts w:hint="default" w:ascii="Times New Roman" w:hAnsi="Times New Roman" w:cs="Times New Roman"/>
                <w:b w:val="0"/>
                <w:bCs/>
                <w:color w:val="auto"/>
                <w:u w:val="single"/>
              </w:rPr>
              <w:t>→沉砂池→调节池→</w:t>
            </w:r>
            <w:r>
              <w:rPr>
                <w:rFonts w:hint="default" w:ascii="Times New Roman" w:hAnsi="Times New Roman" w:cs="Times New Roman"/>
                <w:b w:val="0"/>
                <w:bCs/>
                <w:color w:val="auto"/>
                <w:u w:val="single"/>
                <w:lang w:val="en-US" w:eastAsia="zh-CN"/>
              </w:rPr>
              <w:t>MBR一体化设备</w:t>
            </w:r>
            <w:r>
              <w:rPr>
                <w:rFonts w:hint="default" w:ascii="Times New Roman" w:hAnsi="Times New Roman" w:cs="Times New Roman"/>
                <w:b w:val="0"/>
                <w:bCs/>
                <w:color w:val="auto"/>
                <w:u w:val="single"/>
              </w:rPr>
              <w:t>→紫外消毒→</w:t>
            </w:r>
            <w:r>
              <w:rPr>
                <w:rFonts w:hint="default" w:ascii="Times New Roman" w:hAnsi="Times New Roman" w:cs="Times New Roman"/>
                <w:b w:val="0"/>
                <w:bCs/>
                <w:color w:val="auto"/>
                <w:u w:val="single"/>
                <w:lang w:eastAsia="zh-CN"/>
              </w:rPr>
              <w:t>清水池</w:t>
            </w:r>
          </w:p>
        </w:tc>
        <w:tc>
          <w:tcPr>
            <w:tcW w:w="1171" w:type="pct"/>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废水流量、pH、CODcr、BOD</w:t>
            </w:r>
            <w:r>
              <w:rPr>
                <w:rFonts w:hint="default" w:ascii="Times New Roman" w:hAnsi="Times New Roman" w:cs="Times New Roman"/>
                <w:b w:val="0"/>
                <w:bCs/>
                <w:color w:val="auto"/>
                <w:u w:val="single"/>
                <w:vertAlign w:val="subscript"/>
              </w:rPr>
              <w:t>5</w:t>
            </w:r>
            <w:r>
              <w:rPr>
                <w:rFonts w:hint="default" w:ascii="Times New Roman" w:hAnsi="Times New Roman" w:cs="Times New Roman"/>
                <w:b w:val="0"/>
                <w:bCs/>
                <w:color w:val="auto"/>
                <w:u w:val="single"/>
              </w:rPr>
              <w:t>、TN、NH</w:t>
            </w:r>
            <w:r>
              <w:rPr>
                <w:rFonts w:hint="default" w:ascii="Times New Roman" w:hAnsi="Times New Roman" w:cs="Times New Roman"/>
                <w:b w:val="0"/>
                <w:bCs/>
                <w:color w:val="auto"/>
                <w:u w:val="single"/>
                <w:vertAlign w:val="subscript"/>
              </w:rPr>
              <w:t>3</w:t>
            </w:r>
            <w:r>
              <w:rPr>
                <w:rFonts w:hint="default" w:ascii="Times New Roman" w:hAnsi="Times New Roman" w:cs="Times New Roman"/>
                <w:b w:val="0"/>
                <w:bCs/>
                <w:color w:val="auto"/>
                <w:u w:val="single"/>
              </w:rPr>
              <w:t>-N、TP、石油类、动植物油、阴离子表面活性剂、色度、粪大肠菌群数</w:t>
            </w:r>
          </w:p>
        </w:tc>
        <w:tc>
          <w:tcPr>
            <w:tcW w:w="1442"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b w:val="0"/>
                <w:bCs/>
                <w:color w:val="auto"/>
                <w:sz w:val="21"/>
                <w:szCs w:val="21"/>
                <w:u w:val="single"/>
              </w:rPr>
            </w:pPr>
            <w:r>
              <w:rPr>
                <w:rFonts w:hint="default" w:ascii="Times New Roman" w:hAnsi="Times New Roman" w:cs="Times New Roman"/>
                <w:b w:val="0"/>
                <w:bCs/>
                <w:color w:val="auto"/>
                <w:sz w:val="21"/>
                <w:szCs w:val="21"/>
                <w:u w:val="single"/>
              </w:rPr>
              <w:t>污水处理厂进水标准：《</w:t>
            </w:r>
            <w:r>
              <w:rPr>
                <w:rFonts w:hint="eastAsia" w:ascii="宋体" w:hAnsi="宋体" w:eastAsia="宋体" w:cs="宋体"/>
                <w:b w:val="0"/>
                <w:bCs/>
                <w:color w:val="auto"/>
                <w:sz w:val="21"/>
                <w:szCs w:val="21"/>
                <w:u w:val="single"/>
                <w:lang w:val="en-US" w:eastAsia="zh-CN"/>
              </w:rPr>
              <w:t>永顺县经开区</w:t>
            </w:r>
            <w:r>
              <w:rPr>
                <w:rFonts w:hint="eastAsia" w:ascii="宋体" w:hAnsi="宋体" w:eastAsia="宋体" w:cs="宋体"/>
                <w:b w:val="0"/>
                <w:bCs/>
                <w:color w:val="auto"/>
                <w:sz w:val="21"/>
                <w:szCs w:val="21"/>
                <w:u w:val="single"/>
              </w:rPr>
              <w:t>污水处理站</w:t>
            </w:r>
            <w:r>
              <w:rPr>
                <w:rFonts w:hint="eastAsia" w:ascii="宋体" w:hAnsi="宋体" w:eastAsia="宋体" w:cs="宋体"/>
                <w:b w:val="0"/>
                <w:bCs/>
                <w:color w:val="auto"/>
                <w:sz w:val="21"/>
                <w:szCs w:val="21"/>
                <w:u w:val="single"/>
                <w:lang w:val="en-US" w:eastAsia="zh-CN"/>
              </w:rPr>
              <w:t>建设</w:t>
            </w:r>
            <w:r>
              <w:rPr>
                <w:rFonts w:hint="eastAsia" w:ascii="宋体" w:hAnsi="宋体" w:eastAsia="宋体" w:cs="宋体"/>
                <w:b w:val="0"/>
                <w:bCs/>
                <w:color w:val="auto"/>
                <w:sz w:val="21"/>
                <w:szCs w:val="21"/>
                <w:u w:val="single"/>
              </w:rPr>
              <w:t>项目技术方案</w:t>
            </w:r>
            <w:r>
              <w:rPr>
                <w:rFonts w:hint="default" w:ascii="Times New Roman" w:hAnsi="Times New Roman" w:cs="Times New Roman"/>
                <w:b w:val="0"/>
                <w:bCs/>
                <w:color w:val="auto"/>
                <w:sz w:val="21"/>
                <w:szCs w:val="21"/>
                <w:u w:val="single"/>
              </w:rPr>
              <w:t>》</w:t>
            </w:r>
            <w:r>
              <w:rPr>
                <w:rFonts w:hint="eastAsia" w:cs="Times New Roman"/>
                <w:b w:val="0"/>
                <w:bCs/>
                <w:color w:val="auto"/>
                <w:sz w:val="21"/>
                <w:szCs w:val="21"/>
                <w:u w:val="single"/>
                <w:lang w:eastAsia="zh-CN"/>
              </w:rPr>
              <w:t>中设计进水水质要求</w:t>
            </w:r>
            <w:r>
              <w:rPr>
                <w:rFonts w:hint="default" w:ascii="Times New Roman" w:hAnsi="Times New Roman" w:cs="Times New Roman"/>
                <w:b w:val="0"/>
                <w:bCs/>
                <w:color w:val="auto"/>
                <w:sz w:val="21"/>
                <w:szCs w:val="21"/>
                <w:u w:val="single"/>
              </w:rPr>
              <w:t>；污水处理厂出水标准《城镇污水处理厂污染物排放标准》（GB18918-2002）表1中一级A标准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393" w:type="pct"/>
            <w:vMerge w:val="continue"/>
            <w:noWrap w:val="0"/>
            <w:vAlign w:val="center"/>
          </w:tcPr>
          <w:p>
            <w:pPr>
              <w:pStyle w:val="73"/>
              <w:rPr>
                <w:rFonts w:hint="default" w:ascii="Times New Roman" w:hAnsi="Times New Roman" w:cs="Times New Roman"/>
                <w:b w:val="0"/>
                <w:bCs/>
                <w:color w:val="auto"/>
                <w:u w:val="single"/>
              </w:rPr>
            </w:pPr>
          </w:p>
        </w:tc>
        <w:tc>
          <w:tcPr>
            <w:tcW w:w="498" w:type="pct"/>
            <w:vMerge w:val="continue"/>
            <w:noWrap w:val="0"/>
            <w:vAlign w:val="center"/>
          </w:tcPr>
          <w:p>
            <w:pPr>
              <w:pStyle w:val="73"/>
              <w:rPr>
                <w:rFonts w:hint="default" w:ascii="Times New Roman" w:hAnsi="Times New Roman" w:cs="Times New Roman"/>
                <w:b w:val="0"/>
                <w:bCs/>
                <w:color w:val="auto"/>
                <w:u w:val="single"/>
              </w:rPr>
            </w:pPr>
          </w:p>
        </w:tc>
        <w:tc>
          <w:tcPr>
            <w:tcW w:w="14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规范排污口：进水口和排放口在线监控系统（监测流量、pH、水温、CODcr、NH</w:t>
            </w:r>
            <w:r>
              <w:rPr>
                <w:rFonts w:hint="default" w:ascii="Times New Roman" w:hAnsi="Times New Roman" w:cs="Times New Roman"/>
                <w:b w:val="0"/>
                <w:bCs/>
                <w:color w:val="auto"/>
                <w:u w:val="single"/>
                <w:vertAlign w:val="subscript"/>
              </w:rPr>
              <w:t>3</w:t>
            </w:r>
            <w:r>
              <w:rPr>
                <w:rFonts w:hint="default" w:ascii="Times New Roman" w:hAnsi="Times New Roman" w:cs="Times New Roman"/>
                <w:b w:val="0"/>
                <w:bCs/>
                <w:color w:val="auto"/>
                <w:u w:val="single"/>
              </w:rPr>
              <w:t>-N、TP</w:t>
            </w:r>
            <w:r>
              <w:rPr>
                <w:rFonts w:hint="eastAsia" w:ascii="Times New Roman" w:hAnsi="Times New Roman" w:cs="Times New Roman"/>
                <w:b w:val="0"/>
                <w:bCs/>
                <w:color w:val="auto"/>
                <w:u w:val="single"/>
                <w:lang w:eastAsia="zh-CN"/>
              </w:rPr>
              <w:t>、总氮</w:t>
            </w:r>
            <w:r>
              <w:rPr>
                <w:rFonts w:hint="default" w:ascii="Times New Roman" w:hAnsi="Times New Roman" w:cs="Times New Roman"/>
                <w:b w:val="0"/>
                <w:bCs/>
                <w:color w:val="auto"/>
                <w:u w:val="single"/>
              </w:rPr>
              <w:t>）</w:t>
            </w:r>
          </w:p>
        </w:tc>
        <w:tc>
          <w:tcPr>
            <w:tcW w:w="1171" w:type="pct"/>
            <w:vMerge w:val="continue"/>
            <w:noWrap w:val="0"/>
            <w:vAlign w:val="center"/>
          </w:tcPr>
          <w:p>
            <w:pPr>
              <w:pStyle w:val="73"/>
              <w:rPr>
                <w:rFonts w:hint="default" w:ascii="Times New Roman" w:hAnsi="Times New Roman" w:cs="Times New Roman"/>
                <w:b w:val="0"/>
                <w:bCs/>
                <w:color w:val="auto"/>
                <w:u w:val="single"/>
              </w:rPr>
            </w:pPr>
          </w:p>
        </w:tc>
        <w:tc>
          <w:tcPr>
            <w:tcW w:w="1442" w:type="pct"/>
            <w:vMerge w:val="continue"/>
            <w:noWrap w:val="0"/>
            <w:vAlign w:val="center"/>
          </w:tcPr>
          <w:p>
            <w:pPr>
              <w:pStyle w:val="73"/>
              <w:wordWrap w:val="0"/>
              <w:rPr>
                <w:rFonts w:hint="default" w:ascii="Times New Roman" w:hAnsi="Times New Roman" w:cs="Times New Roman"/>
                <w:b w:val="0"/>
                <w:bCs/>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2</w:t>
            </w:r>
          </w:p>
        </w:tc>
        <w:tc>
          <w:tcPr>
            <w:tcW w:w="498" w:type="pct"/>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废气</w:t>
            </w:r>
          </w:p>
        </w:tc>
        <w:tc>
          <w:tcPr>
            <w:tcW w:w="14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根据实际运行情况，对</w:t>
            </w:r>
            <w:r>
              <w:rPr>
                <w:rFonts w:hint="eastAsia" w:ascii="Times New Roman" w:hAnsi="Times New Roman" w:cs="Times New Roman"/>
                <w:b w:val="0"/>
                <w:bCs/>
                <w:color w:val="auto"/>
                <w:u w:val="single"/>
                <w:lang w:eastAsia="zh-CN"/>
              </w:rPr>
              <w:t>格栅渠</w:t>
            </w:r>
            <w:r>
              <w:rPr>
                <w:rFonts w:hint="default" w:ascii="Times New Roman" w:hAnsi="Times New Roman" w:cs="Times New Roman"/>
                <w:b w:val="0"/>
                <w:bCs/>
                <w:color w:val="auto"/>
                <w:u w:val="single"/>
              </w:rPr>
              <w:t>、</w:t>
            </w:r>
            <w:r>
              <w:rPr>
                <w:rFonts w:hint="eastAsia" w:ascii="Times New Roman" w:hAnsi="Times New Roman" w:cs="Times New Roman"/>
                <w:b w:val="0"/>
                <w:bCs/>
                <w:color w:val="auto"/>
                <w:u w:val="single"/>
                <w:lang w:eastAsia="zh-CN"/>
              </w:rPr>
              <w:t>沉砂池、调节池、污泥池</w:t>
            </w:r>
            <w:r>
              <w:rPr>
                <w:rFonts w:hint="default" w:ascii="Times New Roman" w:hAnsi="Times New Roman" w:cs="Times New Roman"/>
                <w:b w:val="0"/>
                <w:bCs/>
                <w:color w:val="auto"/>
                <w:u w:val="single"/>
              </w:rPr>
              <w:t>加盖，同时污泥脱水间加设活性炭吸附装置、15m排气筒</w:t>
            </w:r>
          </w:p>
        </w:tc>
        <w:tc>
          <w:tcPr>
            <w:tcW w:w="1171" w:type="pct"/>
            <w:vMerge w:val="restart"/>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除臭设施排气筒监测因子：臭气浓度、</w:t>
            </w:r>
            <w:r>
              <w:rPr>
                <w:rFonts w:hint="default" w:ascii="Times New Roman" w:hAnsi="Times New Roman" w:cs="Times New Roman"/>
                <w:b w:val="0"/>
                <w:bCs/>
                <w:color w:val="auto"/>
                <w:u w:val="single"/>
              </w:rPr>
              <w:t>NH</w:t>
            </w:r>
            <w:r>
              <w:rPr>
                <w:rFonts w:hint="default" w:ascii="Times New Roman" w:hAnsi="Times New Roman" w:cs="Times New Roman"/>
                <w:b w:val="0"/>
                <w:bCs/>
                <w:color w:val="auto"/>
                <w:u w:val="single"/>
                <w:vertAlign w:val="subscript"/>
              </w:rPr>
              <w:t>3</w:t>
            </w:r>
            <w:r>
              <w:rPr>
                <w:rFonts w:hint="default" w:ascii="Times New Roman" w:hAnsi="Times New Roman" w:cs="Times New Roman"/>
                <w:b w:val="0"/>
                <w:bCs/>
                <w:color w:val="auto"/>
                <w:u w:val="single"/>
              </w:rPr>
              <w:t>、H</w:t>
            </w:r>
            <w:r>
              <w:rPr>
                <w:rFonts w:hint="default" w:ascii="Times New Roman" w:hAnsi="Times New Roman" w:cs="Times New Roman"/>
                <w:b w:val="0"/>
                <w:bCs/>
                <w:color w:val="auto"/>
                <w:u w:val="single"/>
                <w:vertAlign w:val="subscript"/>
              </w:rPr>
              <w:t>2</w:t>
            </w:r>
            <w:r>
              <w:rPr>
                <w:rFonts w:hint="default" w:ascii="Times New Roman" w:hAnsi="Times New Roman" w:cs="Times New Roman"/>
                <w:b w:val="0"/>
                <w:bCs/>
                <w:color w:val="auto"/>
                <w:u w:val="single"/>
              </w:rPr>
              <w:t>S</w:t>
            </w:r>
            <w:r>
              <w:rPr>
                <w:rFonts w:hint="eastAsia" w:ascii="Times New Roman" w:hAnsi="Times New Roman" w:cs="Times New Roman"/>
                <w:b w:val="0"/>
                <w:bCs/>
                <w:color w:val="auto"/>
                <w:u w:val="single"/>
                <w:lang w:eastAsia="zh-CN"/>
              </w:rPr>
              <w:t>；</w:t>
            </w:r>
            <w:r>
              <w:rPr>
                <w:rFonts w:hint="default" w:ascii="Times New Roman" w:hAnsi="Times New Roman" w:cs="Times New Roman"/>
                <w:b w:val="0"/>
                <w:bCs/>
                <w:color w:val="auto"/>
                <w:u w:val="single"/>
              </w:rPr>
              <w:t>厂界监测因子</w:t>
            </w:r>
            <w:r>
              <w:rPr>
                <w:rFonts w:hint="eastAsia" w:ascii="Times New Roman" w:hAnsi="Times New Roman" w:cs="Times New Roman"/>
                <w:b w:val="0"/>
                <w:bCs/>
                <w:color w:val="auto"/>
                <w:u w:val="single"/>
                <w:lang w:eastAsia="zh-CN"/>
              </w:rPr>
              <w:t>：臭气浓度、</w:t>
            </w:r>
            <w:r>
              <w:rPr>
                <w:rFonts w:hint="default" w:ascii="Times New Roman" w:hAnsi="Times New Roman" w:cs="Times New Roman"/>
                <w:b w:val="0"/>
                <w:bCs/>
                <w:color w:val="auto"/>
                <w:u w:val="single"/>
              </w:rPr>
              <w:t>NH</w:t>
            </w:r>
            <w:r>
              <w:rPr>
                <w:rFonts w:hint="default" w:ascii="Times New Roman" w:hAnsi="Times New Roman" w:cs="Times New Roman"/>
                <w:b w:val="0"/>
                <w:bCs/>
                <w:color w:val="auto"/>
                <w:u w:val="single"/>
                <w:vertAlign w:val="subscript"/>
              </w:rPr>
              <w:t>3</w:t>
            </w:r>
            <w:r>
              <w:rPr>
                <w:rFonts w:hint="default" w:ascii="Times New Roman" w:hAnsi="Times New Roman" w:cs="Times New Roman"/>
                <w:b w:val="0"/>
                <w:bCs/>
                <w:color w:val="auto"/>
                <w:u w:val="single"/>
              </w:rPr>
              <w:t>、H</w:t>
            </w:r>
            <w:r>
              <w:rPr>
                <w:rFonts w:hint="default" w:ascii="Times New Roman" w:hAnsi="Times New Roman" w:cs="Times New Roman"/>
                <w:b w:val="0"/>
                <w:bCs/>
                <w:color w:val="auto"/>
                <w:u w:val="single"/>
                <w:vertAlign w:val="subscript"/>
              </w:rPr>
              <w:t>2</w:t>
            </w:r>
            <w:r>
              <w:rPr>
                <w:rFonts w:hint="default" w:ascii="Times New Roman" w:hAnsi="Times New Roman" w:cs="Times New Roman"/>
                <w:b w:val="0"/>
                <w:bCs/>
                <w:color w:val="auto"/>
                <w:u w:val="single"/>
              </w:rPr>
              <w:t>S</w:t>
            </w:r>
            <w:r>
              <w:rPr>
                <w:rFonts w:hint="eastAsia" w:ascii="Times New Roman" w:cs="Times New Roman"/>
                <w:b w:val="0"/>
                <w:bCs/>
                <w:color w:val="auto"/>
                <w:u w:val="single"/>
                <w:lang w:eastAsia="zh-CN"/>
              </w:rPr>
              <w:t>、甲烷</w:t>
            </w:r>
          </w:p>
        </w:tc>
        <w:tc>
          <w:tcPr>
            <w:tcW w:w="1442" w:type="pct"/>
            <w:vMerge w:val="restart"/>
            <w:noWrap w:val="0"/>
            <w:vAlign w:val="center"/>
          </w:tcPr>
          <w:p>
            <w:pPr>
              <w:pStyle w:val="73"/>
              <w:wordWrap w:val="0"/>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《城镇污水处理厂污染物排放标准》（GB18918-2002）中表4中二级标准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continue"/>
            <w:noWrap w:val="0"/>
            <w:vAlign w:val="center"/>
          </w:tcPr>
          <w:p>
            <w:pPr>
              <w:pStyle w:val="73"/>
              <w:rPr>
                <w:rFonts w:hint="default" w:ascii="Times New Roman" w:hAnsi="Times New Roman" w:cs="Times New Roman"/>
                <w:b w:val="0"/>
                <w:bCs/>
                <w:color w:val="auto"/>
                <w:u w:val="single"/>
              </w:rPr>
            </w:pPr>
          </w:p>
        </w:tc>
        <w:tc>
          <w:tcPr>
            <w:tcW w:w="498" w:type="pct"/>
            <w:vMerge w:val="continue"/>
            <w:noWrap w:val="0"/>
            <w:vAlign w:val="center"/>
          </w:tcPr>
          <w:p>
            <w:pPr>
              <w:pStyle w:val="73"/>
              <w:rPr>
                <w:rFonts w:hint="default" w:ascii="Times New Roman" w:hAnsi="Times New Roman" w:cs="Times New Roman"/>
                <w:b w:val="0"/>
                <w:bCs/>
                <w:color w:val="auto"/>
                <w:u w:val="single"/>
              </w:rPr>
            </w:pPr>
          </w:p>
        </w:tc>
        <w:tc>
          <w:tcPr>
            <w:tcW w:w="14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加强运行管理，增加绿化、种植树木</w:t>
            </w:r>
          </w:p>
        </w:tc>
        <w:tc>
          <w:tcPr>
            <w:tcW w:w="1171" w:type="pct"/>
            <w:vMerge w:val="continue"/>
            <w:noWrap w:val="0"/>
            <w:vAlign w:val="center"/>
          </w:tcPr>
          <w:p>
            <w:pPr>
              <w:pStyle w:val="73"/>
              <w:rPr>
                <w:rFonts w:hint="default" w:ascii="Times New Roman" w:hAnsi="Times New Roman" w:cs="Times New Roman"/>
                <w:b w:val="0"/>
                <w:bCs/>
                <w:color w:val="auto"/>
                <w:u w:val="single"/>
              </w:rPr>
            </w:pPr>
          </w:p>
        </w:tc>
        <w:tc>
          <w:tcPr>
            <w:tcW w:w="1442" w:type="pct"/>
            <w:vMerge w:val="continue"/>
            <w:noWrap w:val="0"/>
            <w:vAlign w:val="center"/>
          </w:tcPr>
          <w:p>
            <w:pPr>
              <w:pStyle w:val="73"/>
              <w:wordWrap w:val="0"/>
              <w:rPr>
                <w:rFonts w:hint="default" w:ascii="Times New Roman" w:hAnsi="Times New Roman" w:cs="Times New Roman"/>
                <w:b w:val="0"/>
                <w:bCs/>
                <w:color w:val="auto"/>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3</w:t>
            </w:r>
          </w:p>
        </w:tc>
        <w:tc>
          <w:tcPr>
            <w:tcW w:w="498" w:type="pct"/>
            <w:vMerge w:val="restar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固废</w:t>
            </w:r>
          </w:p>
        </w:tc>
        <w:tc>
          <w:tcPr>
            <w:tcW w:w="1493" w:type="pct"/>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hAnsi="Times New Roman" w:cs="Times New Roman"/>
                <w:b w:val="0"/>
                <w:bCs/>
                <w:color w:val="auto"/>
                <w:u w:val="single"/>
                <w:lang w:eastAsia="zh-CN"/>
              </w:rPr>
              <w:t>垃圾桶</w:t>
            </w:r>
          </w:p>
        </w:tc>
        <w:tc>
          <w:tcPr>
            <w:tcW w:w="1171"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集中收集生活垃圾、格栅渣，</w:t>
            </w:r>
            <w:r>
              <w:rPr>
                <w:rFonts w:hint="eastAsia" w:ascii="Times New Roman" w:hAnsi="Times New Roman" w:cs="Times New Roman"/>
                <w:b w:val="0"/>
                <w:bCs/>
                <w:color w:val="auto"/>
                <w:u w:val="single"/>
                <w:lang w:eastAsia="zh-CN"/>
              </w:rPr>
              <w:t>沉砂</w:t>
            </w:r>
            <w:r>
              <w:rPr>
                <w:rFonts w:hint="default" w:ascii="Times New Roman" w:hAnsi="Times New Roman" w:cs="Times New Roman"/>
                <w:b w:val="0"/>
                <w:bCs/>
                <w:color w:val="auto"/>
                <w:u w:val="single"/>
              </w:rPr>
              <w:t>定期送</w:t>
            </w:r>
            <w:r>
              <w:rPr>
                <w:rFonts w:hint="default" w:ascii="Times New Roman" w:hAnsi="Times New Roman" w:cs="Times New Roman"/>
                <w:b w:val="0"/>
                <w:bCs/>
                <w:color w:val="auto"/>
                <w:u w:val="single"/>
                <w:lang w:eastAsia="zh-CN"/>
              </w:rPr>
              <w:t>永顺县</w:t>
            </w:r>
            <w:r>
              <w:rPr>
                <w:rFonts w:hint="default" w:ascii="Times New Roman" w:hAnsi="Times New Roman" w:cs="Times New Roman"/>
                <w:b w:val="0"/>
                <w:bCs/>
                <w:color w:val="auto"/>
                <w:u w:val="single"/>
              </w:rPr>
              <w:t>生活垃圾填埋场填埋处置</w:t>
            </w:r>
          </w:p>
        </w:tc>
        <w:tc>
          <w:tcPr>
            <w:tcW w:w="1442" w:type="pct"/>
            <w:noWrap w:val="0"/>
            <w:vAlign w:val="center"/>
          </w:tcPr>
          <w:p>
            <w:pPr>
              <w:pStyle w:val="73"/>
              <w:wordWrap w:val="0"/>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《生活垃圾填埋污染物控制指标》（GB16889-2008）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continue"/>
            <w:noWrap w:val="0"/>
            <w:vAlign w:val="center"/>
          </w:tcPr>
          <w:p>
            <w:pPr>
              <w:pStyle w:val="73"/>
              <w:rPr>
                <w:rFonts w:hint="default" w:ascii="Times New Roman" w:hAnsi="Times New Roman" w:cs="Times New Roman"/>
                <w:b w:val="0"/>
                <w:bCs/>
                <w:color w:val="auto"/>
                <w:u w:val="single"/>
              </w:rPr>
            </w:pPr>
          </w:p>
        </w:tc>
        <w:tc>
          <w:tcPr>
            <w:tcW w:w="498" w:type="pct"/>
            <w:vMerge w:val="continue"/>
            <w:noWrap w:val="0"/>
            <w:vAlign w:val="center"/>
          </w:tcPr>
          <w:p>
            <w:pPr>
              <w:pStyle w:val="73"/>
              <w:rPr>
                <w:rFonts w:hint="default" w:ascii="Times New Roman" w:hAnsi="Times New Roman" w:cs="Times New Roman"/>
                <w:b w:val="0"/>
                <w:bCs/>
                <w:color w:val="auto"/>
                <w:u w:val="single"/>
              </w:rPr>
            </w:pPr>
          </w:p>
        </w:tc>
        <w:tc>
          <w:tcPr>
            <w:tcW w:w="14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污泥脱水</w:t>
            </w:r>
            <w:r>
              <w:rPr>
                <w:rFonts w:hint="eastAsia" w:ascii="Times New Roman" w:hAnsi="Times New Roman" w:cs="Times New Roman"/>
                <w:b w:val="0"/>
                <w:bCs/>
                <w:color w:val="auto"/>
                <w:u w:val="single"/>
                <w:lang w:eastAsia="zh-CN"/>
              </w:rPr>
              <w:t>间</w:t>
            </w:r>
            <w:r>
              <w:rPr>
                <w:rFonts w:hint="default" w:ascii="Times New Roman" w:hAnsi="Times New Roman" w:cs="Times New Roman"/>
                <w:b w:val="0"/>
                <w:bCs/>
                <w:color w:val="auto"/>
                <w:u w:val="single"/>
              </w:rPr>
              <w:t>、污泥运输车</w:t>
            </w:r>
          </w:p>
        </w:tc>
        <w:tc>
          <w:tcPr>
            <w:tcW w:w="1171" w:type="pct"/>
            <w:noWrap w:val="0"/>
            <w:vAlign w:val="center"/>
          </w:tcPr>
          <w:p>
            <w:pPr>
              <w:pStyle w:val="73"/>
              <w:wordWrap w:val="0"/>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按照《危险废物鉴别标准浸出毒性鉴别》（GB5085.3-2007）进行浸出实验，如为危险废物，运营单位应按照危险废物要求进行管理，并委托具有相应资质单位进行安全处置；如鉴别属于一般固废，外运至</w:t>
            </w:r>
            <w:r>
              <w:rPr>
                <w:rFonts w:hint="default" w:ascii="Times New Roman" w:hAnsi="Times New Roman" w:cs="Times New Roman"/>
                <w:b w:val="0"/>
                <w:bCs/>
                <w:color w:val="auto"/>
                <w:u w:val="single"/>
                <w:lang w:eastAsia="zh-CN"/>
              </w:rPr>
              <w:t>永顺县</w:t>
            </w:r>
            <w:r>
              <w:rPr>
                <w:rFonts w:hint="default" w:ascii="Times New Roman" w:hAnsi="Times New Roman" w:cs="Times New Roman"/>
                <w:b w:val="0"/>
                <w:bCs/>
                <w:color w:val="auto"/>
                <w:u w:val="single"/>
              </w:rPr>
              <w:t>生活垃圾填埋场填埋处置</w:t>
            </w:r>
          </w:p>
        </w:tc>
        <w:tc>
          <w:tcPr>
            <w:tcW w:w="1442" w:type="pct"/>
            <w:noWrap w:val="0"/>
            <w:vAlign w:val="center"/>
          </w:tcPr>
          <w:p>
            <w:pPr>
              <w:pStyle w:val="73"/>
              <w:wordWrap w:val="0"/>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《生活垃圾填埋场污染物控制标准》（GB16889-2008）、《城镇污水处理厂污泥处置-混合填埋用泥质》（GB/T23485-2009）、《危险废物贮存污染控制标准》（GB18579-2001）及2013年修改单中相关要求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continue"/>
            <w:noWrap w:val="0"/>
            <w:vAlign w:val="center"/>
          </w:tcPr>
          <w:p>
            <w:pPr>
              <w:pStyle w:val="73"/>
              <w:rPr>
                <w:rFonts w:hint="default" w:ascii="Times New Roman" w:hAnsi="Times New Roman" w:cs="Times New Roman"/>
                <w:b w:val="0"/>
                <w:bCs/>
                <w:color w:val="auto"/>
                <w:u w:val="single"/>
              </w:rPr>
            </w:pPr>
          </w:p>
        </w:tc>
        <w:tc>
          <w:tcPr>
            <w:tcW w:w="498" w:type="pct"/>
            <w:vMerge w:val="continue"/>
            <w:noWrap w:val="0"/>
            <w:vAlign w:val="center"/>
          </w:tcPr>
          <w:p>
            <w:pPr>
              <w:pStyle w:val="73"/>
              <w:rPr>
                <w:rFonts w:hint="default" w:ascii="Times New Roman" w:hAnsi="Times New Roman" w:cs="Times New Roman"/>
                <w:b w:val="0"/>
                <w:bCs/>
                <w:color w:val="auto"/>
                <w:u w:val="single"/>
              </w:rPr>
            </w:pPr>
          </w:p>
        </w:tc>
        <w:tc>
          <w:tcPr>
            <w:tcW w:w="14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紫外灯管、活性炭</w:t>
            </w:r>
          </w:p>
        </w:tc>
        <w:tc>
          <w:tcPr>
            <w:tcW w:w="1171" w:type="pct"/>
            <w:noWrap w:val="0"/>
            <w:vAlign w:val="center"/>
          </w:tcPr>
          <w:p>
            <w:pPr>
              <w:pStyle w:val="73"/>
              <w:rPr>
                <w:rFonts w:hint="eastAsia" w:ascii="Times New Roman" w:hAnsi="Times New Roman" w:eastAsia="宋体" w:cs="Times New Roman"/>
                <w:b w:val="0"/>
                <w:bCs/>
                <w:color w:val="auto"/>
                <w:u w:val="single"/>
                <w:lang w:eastAsia="zh-CN"/>
              </w:rPr>
            </w:pPr>
            <w:r>
              <w:rPr>
                <w:rFonts w:hint="eastAsia" w:ascii="Times New Roman" w:cs="Times New Roman"/>
                <w:b w:val="0"/>
                <w:bCs/>
                <w:color w:val="auto"/>
                <w:u w:val="single"/>
                <w:lang w:eastAsia="zh-CN"/>
              </w:rPr>
              <w:t>厂家定期更换回收</w:t>
            </w:r>
          </w:p>
        </w:tc>
        <w:tc>
          <w:tcPr>
            <w:tcW w:w="1442" w:type="pct"/>
            <w:noWrap w:val="0"/>
            <w:vAlign w:val="center"/>
          </w:tcPr>
          <w:p>
            <w:pPr>
              <w:pStyle w:val="73"/>
              <w:wordWrap w:val="0"/>
              <w:rPr>
                <w:rFonts w:hint="eastAsia" w:ascii="Times New Roman" w:hAnsi="Times New Roman" w:eastAsia="宋体" w:cs="Times New Roman"/>
                <w:b w:val="0"/>
                <w:bCs/>
                <w:color w:val="auto"/>
                <w:u w:val="single"/>
                <w:lang w:eastAsia="zh-CN"/>
              </w:rPr>
            </w:pPr>
            <w:r>
              <w:rPr>
                <w:rFonts w:hint="eastAsia" w:ascii="Times New Roman" w:cs="Times New Roman"/>
                <w:b w:val="0"/>
                <w:bCs/>
                <w:color w:val="auto"/>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4</w:t>
            </w:r>
          </w:p>
        </w:tc>
        <w:tc>
          <w:tcPr>
            <w:tcW w:w="498"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噪声</w:t>
            </w:r>
          </w:p>
        </w:tc>
        <w:tc>
          <w:tcPr>
            <w:tcW w:w="14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减震基座、厂房隔声、消音</w:t>
            </w:r>
          </w:p>
        </w:tc>
        <w:tc>
          <w:tcPr>
            <w:tcW w:w="1171"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厂界噪声</w:t>
            </w:r>
          </w:p>
        </w:tc>
        <w:tc>
          <w:tcPr>
            <w:tcW w:w="1442" w:type="pct"/>
            <w:noWrap w:val="0"/>
            <w:vAlign w:val="center"/>
          </w:tcPr>
          <w:p>
            <w:pPr>
              <w:pStyle w:val="73"/>
              <w:wordWrap w:val="0"/>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《工业企业厂界噪声环境噪声排放标准》（GB12348-2002）表1中</w:t>
            </w:r>
            <w:r>
              <w:rPr>
                <w:rFonts w:hint="eastAsia" w:ascii="Times New Roman" w:hAnsi="Times New Roman" w:cs="Times New Roman"/>
                <w:b w:val="0"/>
                <w:bCs/>
                <w:color w:val="auto"/>
                <w:u w:val="single"/>
                <w:lang w:val="en-US" w:eastAsia="zh-CN"/>
              </w:rPr>
              <w:t>3</w:t>
            </w:r>
            <w:r>
              <w:rPr>
                <w:rFonts w:hint="default" w:ascii="Times New Roman" w:hAnsi="Times New Roman" w:cs="Times New Roman"/>
                <w:b w:val="0"/>
                <w:bCs/>
                <w:color w:val="auto"/>
                <w:u w:val="singl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5</w:t>
            </w:r>
          </w:p>
        </w:tc>
        <w:tc>
          <w:tcPr>
            <w:tcW w:w="498"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绿化</w:t>
            </w:r>
          </w:p>
        </w:tc>
        <w:tc>
          <w:tcPr>
            <w:tcW w:w="1493"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厂区绿化面积不低于30%</w:t>
            </w:r>
          </w:p>
        </w:tc>
        <w:tc>
          <w:tcPr>
            <w:tcW w:w="1171"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w:t>
            </w:r>
          </w:p>
        </w:tc>
        <w:tc>
          <w:tcPr>
            <w:tcW w:w="1442" w:type="pct"/>
            <w:noWrap w:val="0"/>
            <w:vAlign w:val="center"/>
          </w:tcPr>
          <w:p>
            <w:pPr>
              <w:pStyle w:val="73"/>
              <w:rPr>
                <w:rFonts w:hint="default" w:ascii="Times New Roman" w:hAnsi="Times New Roman" w:cs="Times New Roman"/>
                <w:b w:val="0"/>
                <w:bCs/>
                <w:color w:val="auto"/>
                <w:u w:val="single"/>
              </w:rPr>
            </w:pPr>
            <w:r>
              <w:rPr>
                <w:rFonts w:hint="default" w:ascii="Times New Roman" w:hAnsi="Times New Roman" w:cs="Times New Roman"/>
                <w:b w:val="0"/>
                <w:bCs/>
                <w:color w:val="auto"/>
                <w:u w:val="single"/>
              </w:rPr>
              <w:t>/</w:t>
            </w:r>
          </w:p>
        </w:tc>
      </w:tr>
    </w:tbl>
    <w:p>
      <w:pPr>
        <w:ind w:firstLine="480"/>
        <w:rPr>
          <w:rFonts w:hint="eastAsia"/>
          <w:color w:val="auto"/>
          <w:kern w:val="0"/>
          <w:u w:val="none"/>
        </w:rPr>
      </w:pPr>
    </w:p>
    <w:p>
      <w:pPr>
        <w:pStyle w:val="4"/>
        <w:ind w:firstLine="643"/>
        <w:rPr>
          <w:color w:val="auto"/>
          <w:u w:val="none"/>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26" w:charSpace="0"/>
        </w:sectPr>
      </w:pPr>
    </w:p>
    <w:p>
      <w:pPr>
        <w:pStyle w:val="4"/>
        <w:numPr>
          <w:ilvl w:val="0"/>
          <w:numId w:val="6"/>
        </w:numPr>
        <w:bidi w:val="0"/>
        <w:rPr>
          <w:rFonts w:hint="eastAsia" w:ascii="Times New Roman" w:hAnsi="Times New Roman" w:eastAsia="宋体" w:cs="Times New Roman"/>
          <w:b/>
        </w:rPr>
      </w:pPr>
      <w:r>
        <w:rPr>
          <w:rFonts w:hint="eastAsia" w:ascii="Times New Roman" w:hAnsi="Times New Roman" w:eastAsia="宋体" w:cs="Times New Roman"/>
          <w:b/>
          <w:lang w:val="en-US" w:eastAsia="zh-CN"/>
        </w:rPr>
        <w:t xml:space="preserve"> </w:t>
      </w:r>
      <w:bookmarkStart w:id="311" w:name="_Toc24890"/>
      <w:r>
        <w:rPr>
          <w:rFonts w:hint="eastAsia" w:ascii="Times New Roman" w:hAnsi="Times New Roman" w:eastAsia="宋体" w:cs="Times New Roman"/>
          <w:b/>
        </w:rPr>
        <w:t>入河排污口设置论证</w:t>
      </w:r>
      <w:bookmarkEnd w:id="311"/>
    </w:p>
    <w:p>
      <w:pPr>
        <w:pStyle w:val="76"/>
        <w:bidi w:val="0"/>
        <w:rPr>
          <w:u w:val="single"/>
        </w:rPr>
      </w:pPr>
      <w:bookmarkStart w:id="312" w:name="_Toc29444"/>
      <w:bookmarkStart w:id="313" w:name="_Toc31227"/>
      <w:bookmarkStart w:id="314" w:name="_Toc19658"/>
      <w:r>
        <w:rPr>
          <w:rFonts w:hint="eastAsia"/>
          <w:u w:val="single"/>
          <w:lang w:val="en-US" w:eastAsia="zh-CN"/>
        </w:rPr>
        <w:t>8.1</w:t>
      </w:r>
      <w:r>
        <w:rPr>
          <w:u w:val="single"/>
        </w:rPr>
        <w:t>总则</w:t>
      </w:r>
      <w:bookmarkEnd w:id="312"/>
      <w:bookmarkEnd w:id="313"/>
      <w:bookmarkEnd w:id="314"/>
    </w:p>
    <w:p>
      <w:pPr>
        <w:pStyle w:val="6"/>
        <w:bidi w:val="0"/>
        <w:jc w:val="both"/>
        <w:rPr>
          <w:rFonts w:hint="eastAsia"/>
          <w:lang w:val="en-US" w:eastAsia="zh-CN"/>
        </w:rPr>
      </w:pPr>
      <w:bookmarkStart w:id="315" w:name="_Toc30100"/>
      <w:bookmarkStart w:id="316" w:name="_Toc4810"/>
      <w:r>
        <w:rPr>
          <w:rFonts w:hint="eastAsia"/>
          <w:lang w:val="en-US" w:eastAsia="zh-CN"/>
        </w:rPr>
        <w:t>8.1.1论证的目的及依据</w:t>
      </w:r>
      <w:bookmarkEnd w:id="315"/>
      <w:bookmarkEnd w:id="316"/>
    </w:p>
    <w:p>
      <w:pPr>
        <w:pStyle w:val="69"/>
        <w:bidi w:val="0"/>
        <w:rPr>
          <w:rFonts w:hint="default"/>
          <w:lang w:val="en-US" w:eastAsia="zh-CN"/>
        </w:rPr>
      </w:pPr>
      <w:r>
        <w:rPr>
          <w:rFonts w:hint="eastAsia"/>
          <w:lang w:val="en-US" w:eastAsia="zh-CN"/>
        </w:rPr>
        <w:t>8.1.1.1</w:t>
      </w:r>
      <w:r>
        <w:rPr>
          <w:rFonts w:hint="eastAsia"/>
        </w:rPr>
        <w:t>论证的目的</w:t>
      </w:r>
    </w:p>
    <w:p>
      <w:pPr>
        <w:bidi w:val="0"/>
        <w:jc w:val="both"/>
        <w:rPr>
          <w:rFonts w:hint="eastAsia"/>
          <w:u w:val="single"/>
        </w:rPr>
      </w:pPr>
      <w:r>
        <w:rPr>
          <w:rFonts w:hint="eastAsia"/>
          <w:u w:val="single"/>
        </w:rPr>
        <w:t>根据</w:t>
      </w:r>
      <w:r>
        <w:rPr>
          <w:rFonts w:hint="eastAsia"/>
          <w:u w:val="single"/>
          <w:lang w:val="en-US" w:eastAsia="zh-CN"/>
        </w:rPr>
        <w:t>园区</w:t>
      </w:r>
      <w:r>
        <w:rPr>
          <w:rFonts w:hint="eastAsia"/>
          <w:u w:val="single"/>
          <w:lang w:eastAsia="zh-CN"/>
        </w:rPr>
        <w:t>实际纳污情况</w:t>
      </w:r>
      <w:r>
        <w:rPr>
          <w:rFonts w:hint="eastAsia"/>
          <w:u w:val="single"/>
        </w:rPr>
        <w:t>，本项目分两期建设，一期设计规模为400m</w:t>
      </w:r>
      <w:r>
        <w:rPr>
          <w:rFonts w:hint="eastAsia"/>
          <w:u w:val="single"/>
          <w:vertAlign w:val="superscript"/>
        </w:rPr>
        <w:t>3</w:t>
      </w:r>
      <w:r>
        <w:rPr>
          <w:rFonts w:hint="eastAsia"/>
          <w:u w:val="single"/>
        </w:rPr>
        <w:t>/d，二期</w:t>
      </w:r>
      <w:r>
        <w:rPr>
          <w:rFonts w:hint="eastAsia"/>
          <w:u w:val="single"/>
          <w:lang w:eastAsia="zh-CN"/>
        </w:rPr>
        <w:t>新增设备后总处理</w:t>
      </w:r>
      <w:r>
        <w:rPr>
          <w:rFonts w:hint="eastAsia"/>
          <w:u w:val="single"/>
        </w:rPr>
        <w:t>规模为</w:t>
      </w:r>
      <w:r>
        <w:rPr>
          <w:rFonts w:hint="eastAsia"/>
          <w:u w:val="single"/>
          <w:lang w:val="en-US" w:eastAsia="zh-CN"/>
        </w:rPr>
        <w:t>10</w:t>
      </w:r>
      <w:r>
        <w:rPr>
          <w:rFonts w:hint="eastAsia"/>
          <w:u w:val="single"/>
        </w:rPr>
        <w:t>00m</w:t>
      </w:r>
      <w:r>
        <w:rPr>
          <w:rFonts w:hint="eastAsia"/>
          <w:u w:val="single"/>
          <w:vertAlign w:val="superscript"/>
        </w:rPr>
        <w:t>3</w:t>
      </w:r>
      <w:r>
        <w:rPr>
          <w:rFonts w:hint="eastAsia"/>
          <w:u w:val="single"/>
        </w:rPr>
        <w:t>/d，确认</w:t>
      </w:r>
      <w:r>
        <w:rPr>
          <w:rFonts w:hint="eastAsia"/>
          <w:u w:val="single"/>
          <w:lang w:eastAsia="zh-CN"/>
        </w:rPr>
        <w:t>永顺经济开发区猛洞河产业园</w:t>
      </w:r>
      <w:r>
        <w:rPr>
          <w:rFonts w:hint="eastAsia"/>
          <w:u w:val="single"/>
        </w:rPr>
        <w:t>污水处理厂建设规模为</w:t>
      </w:r>
      <w:r>
        <w:rPr>
          <w:rFonts w:hint="eastAsia"/>
          <w:u w:val="single"/>
          <w:lang w:val="en-US" w:eastAsia="zh-CN"/>
        </w:rPr>
        <w:t>10</w:t>
      </w:r>
      <w:r>
        <w:rPr>
          <w:u w:val="single"/>
        </w:rPr>
        <w:t>00</w:t>
      </w:r>
      <w:r>
        <w:rPr>
          <w:rFonts w:hint="eastAsia"/>
          <w:u w:val="single"/>
        </w:rPr>
        <w:t>m</w:t>
      </w:r>
      <w:r>
        <w:rPr>
          <w:rFonts w:hint="eastAsia"/>
          <w:u w:val="single"/>
          <w:vertAlign w:val="superscript"/>
        </w:rPr>
        <w:t>3</w:t>
      </w:r>
      <w:r>
        <w:rPr>
          <w:rFonts w:hint="eastAsia"/>
          <w:u w:val="single"/>
        </w:rPr>
        <w:t>/d。</w:t>
      </w:r>
    </w:p>
    <w:p>
      <w:pPr>
        <w:bidi w:val="0"/>
      </w:pPr>
      <w:r>
        <w:rPr>
          <w:u w:val="single"/>
        </w:rPr>
        <w:t>纳污水体位于项目污水处理厂厂址</w:t>
      </w:r>
      <w:r>
        <w:rPr>
          <w:rFonts w:hint="eastAsia"/>
          <w:u w:val="single"/>
          <w:lang w:val="en-US" w:eastAsia="zh-CN"/>
        </w:rPr>
        <w:t>东</w:t>
      </w:r>
      <w:r>
        <w:rPr>
          <w:u w:val="single"/>
        </w:rPr>
        <w:t>侧，</w:t>
      </w:r>
      <w:r>
        <w:rPr>
          <w:rFonts w:hint="eastAsia"/>
          <w:u w:val="single"/>
        </w:rPr>
        <w:t>根据《湖南省水功能区划》、《湘西土家族苗族自治州水功能区划》可知，纳污水体</w:t>
      </w:r>
      <w:r>
        <w:rPr>
          <w:rFonts w:hint="eastAsia"/>
          <w:u w:val="single"/>
          <w:lang w:val="en-US" w:eastAsia="zh-CN"/>
        </w:rPr>
        <w:t>猛洞河</w:t>
      </w:r>
      <w:r>
        <w:rPr>
          <w:rFonts w:hint="eastAsia"/>
          <w:u w:val="single"/>
        </w:rPr>
        <w:t>为《湖南省水功能区划》</w:t>
      </w:r>
      <w:r>
        <w:rPr>
          <w:rFonts w:hint="eastAsia"/>
          <w:u w:val="single"/>
          <w:lang w:val="en-US" w:eastAsia="zh-CN"/>
        </w:rPr>
        <w:t>中</w:t>
      </w:r>
      <w:r>
        <w:rPr>
          <w:rFonts w:hint="eastAsia"/>
          <w:u w:val="single"/>
        </w:rPr>
        <w:t>“</w:t>
      </w:r>
      <w:r>
        <w:rPr>
          <w:rFonts w:hint="eastAsia"/>
          <w:u w:val="single"/>
          <w:lang w:val="en-US" w:eastAsia="zh-CN"/>
        </w:rPr>
        <w:t>景观娱乐用水区</w:t>
      </w:r>
      <w:r>
        <w:rPr>
          <w:rFonts w:hint="eastAsia"/>
          <w:u w:val="single"/>
        </w:rPr>
        <w:t>”；《湘西土家族苗族自治州水功能区划》一级区划的“</w:t>
      </w:r>
      <w:r>
        <w:rPr>
          <w:rFonts w:hint="eastAsia"/>
          <w:u w:val="single"/>
          <w:lang w:val="en-US" w:eastAsia="zh-CN"/>
        </w:rPr>
        <w:t>猛洞河永顺开发利用区</w:t>
      </w:r>
      <w:r>
        <w:rPr>
          <w:rFonts w:hint="eastAsia"/>
          <w:u w:val="single"/>
        </w:rPr>
        <w:t>”、二级区划的“</w:t>
      </w:r>
      <w:r>
        <w:rPr>
          <w:rFonts w:hint="eastAsia"/>
          <w:u w:val="single"/>
          <w:lang w:val="en-US" w:eastAsia="zh-CN"/>
        </w:rPr>
        <w:t>猛洞河永顺景观娱乐用水区</w:t>
      </w:r>
      <w:r>
        <w:rPr>
          <w:rFonts w:hint="eastAsia"/>
          <w:u w:val="single"/>
        </w:rPr>
        <w:t>”，根据水功能区划，水功能区的水质管理目标为</w:t>
      </w:r>
      <w:r>
        <w:rPr>
          <w:rFonts w:hint="eastAsia"/>
          <w:u w:val="single"/>
          <w:lang w:eastAsia="zh-CN"/>
        </w:rPr>
        <w:t>Ⅲ</w:t>
      </w:r>
      <w:r>
        <w:rPr>
          <w:rFonts w:hint="eastAsia"/>
          <w:u w:val="single"/>
        </w:rPr>
        <w:t>类。</w:t>
      </w:r>
      <w:r>
        <w:rPr>
          <w:u w:val="single"/>
        </w:rPr>
        <w:t>按照湘西自治州水环境质量要求，该河段</w:t>
      </w:r>
      <w:r>
        <w:rPr>
          <w:rFonts w:hint="eastAsia"/>
          <w:u w:val="single"/>
        </w:rPr>
        <w:t>水质管理目标为</w:t>
      </w:r>
      <w:r>
        <w:rPr>
          <w:rFonts w:hint="eastAsia"/>
          <w:u w:val="single"/>
          <w:lang w:eastAsia="zh-CN"/>
        </w:rPr>
        <w:t>Ⅲ</w:t>
      </w:r>
      <w:r>
        <w:rPr>
          <w:rFonts w:hint="eastAsia"/>
          <w:u w:val="single"/>
        </w:rPr>
        <w:t>类，</w:t>
      </w:r>
      <w:r>
        <w:rPr>
          <w:u w:val="single"/>
        </w:rPr>
        <w:t>执行</w:t>
      </w:r>
      <w:r>
        <w:rPr>
          <w:rFonts w:hint="eastAsia"/>
          <w:u w:val="single"/>
          <w:lang w:eastAsia="zh-CN"/>
        </w:rPr>
        <w:t>Ⅲ</w:t>
      </w:r>
      <w:r>
        <w:rPr>
          <w:u w:val="single"/>
        </w:rPr>
        <w:t>类水标准。</w:t>
      </w:r>
    </w:p>
    <w:p>
      <w:pPr>
        <w:ind w:firstLine="560"/>
        <w:rPr>
          <w:rFonts w:hAnsi="宋体"/>
          <w:szCs w:val="28"/>
          <w:u w:val="single"/>
        </w:rPr>
      </w:pPr>
      <w:r>
        <w:rPr>
          <w:rFonts w:hAnsi="宋体"/>
          <w:szCs w:val="28"/>
          <w:u w:val="single"/>
        </w:rPr>
        <w:t>本次论证的目的包括：</w:t>
      </w:r>
    </w:p>
    <w:p>
      <w:pPr>
        <w:ind w:firstLine="560"/>
        <w:rPr>
          <w:szCs w:val="28"/>
          <w:u w:val="single"/>
        </w:rPr>
      </w:pPr>
      <w:r>
        <w:rPr>
          <w:rFonts w:hint="eastAsia"/>
          <w:szCs w:val="28"/>
          <w:u w:val="single"/>
        </w:rPr>
        <w:t>（1）在满足水域保护要求的前提下，论证入河排污口对水域、水生生物和第三者权益的影响，以及区域污染物削减措施效果；</w:t>
      </w:r>
    </w:p>
    <w:p>
      <w:pPr>
        <w:ind w:firstLine="560"/>
        <w:rPr>
          <w:szCs w:val="28"/>
          <w:u w:val="single"/>
        </w:rPr>
      </w:pPr>
      <w:r>
        <w:rPr>
          <w:rFonts w:hint="eastAsia"/>
          <w:szCs w:val="28"/>
          <w:u w:val="single"/>
        </w:rPr>
        <w:t>（2）根据受纳水体纳污能力，排污总量控制、水生态保护等要求，对排污口设置的合理性进行分析论证；</w:t>
      </w:r>
    </w:p>
    <w:p>
      <w:pPr>
        <w:ind w:firstLine="560"/>
        <w:rPr>
          <w:szCs w:val="28"/>
          <w:u w:val="single"/>
        </w:rPr>
      </w:pPr>
      <w:r>
        <w:rPr>
          <w:rFonts w:hint="eastAsia"/>
          <w:szCs w:val="28"/>
          <w:u w:val="single"/>
        </w:rPr>
        <w:t>（3）优化入河排污口设置方案，并提出水资源保护措施，为各级环保行政主管部门审批入河排污口及建设单位合理设置入河排污口提供科学依据，以保障所在水域生活、生态和生产用水安全。</w:t>
      </w:r>
    </w:p>
    <w:p>
      <w:pPr>
        <w:ind w:firstLine="560"/>
        <w:jc w:val="both"/>
        <w:rPr>
          <w:u w:val="single"/>
        </w:rPr>
      </w:pPr>
      <w:r>
        <w:rPr>
          <w:u w:val="single"/>
        </w:rPr>
        <w:t>除上述目的外，根据水利部</w:t>
      </w:r>
      <w:r>
        <w:rPr>
          <w:rFonts w:hint="eastAsia"/>
          <w:u w:val="single"/>
        </w:rPr>
        <w:t>《水功能区监督管理办法》（水资源[2017]101号）、《湖南省入河排污口监督管理办法》（湘政办发〔2018〕44号）、</w:t>
      </w:r>
      <w:r>
        <w:rPr>
          <w:szCs w:val="28"/>
          <w:u w:val="single"/>
        </w:rPr>
        <w:t>湖南省生态环境厅&lt;关于做好入河排污口设置审批和水功能区划&gt;相关工作的通知(湘环发〔2019〕17号)</w:t>
      </w:r>
      <w:r>
        <w:rPr>
          <w:u w:val="single"/>
        </w:rPr>
        <w:t>等相关文件要求，设置入河排污口的单位，向有管辖权的</w:t>
      </w:r>
      <w:r>
        <w:rPr>
          <w:rFonts w:hint="eastAsia"/>
          <w:u w:val="single"/>
        </w:rPr>
        <w:t>环保</w:t>
      </w:r>
      <w:r>
        <w:rPr>
          <w:u w:val="single"/>
        </w:rPr>
        <w:t>行政主管部门或流域管理机构提出入河排污口设置申请，并提交包括入河排污口设置论证报告在内的相关材料。</w:t>
      </w:r>
      <w:r>
        <w:rPr>
          <w:rFonts w:hint="eastAsia"/>
          <w:u w:val="single"/>
        </w:rPr>
        <w:t>为严格执行</w:t>
      </w:r>
      <w:r>
        <w:rPr>
          <w:szCs w:val="28"/>
          <w:u w:val="single"/>
        </w:rPr>
        <w:t>湖南省生态环境厅&lt;关于做好入河排污口设置审批和水功能区划&gt;相关工作的通知(湘环发〔2019〕17号)</w:t>
      </w:r>
      <w:r>
        <w:rPr>
          <w:rFonts w:hint="eastAsia"/>
          <w:szCs w:val="28"/>
          <w:u w:val="single"/>
        </w:rPr>
        <w:t>，</w:t>
      </w:r>
      <w:r>
        <w:rPr>
          <w:u w:val="single"/>
        </w:rPr>
        <w:t>我公司</w:t>
      </w:r>
      <w:r>
        <w:rPr>
          <w:rFonts w:hint="eastAsia"/>
          <w:u w:val="single"/>
        </w:rPr>
        <w:t>委托长沙博大环保科技有限公司编制</w:t>
      </w:r>
      <w:r>
        <w:rPr>
          <w:rFonts w:hint="eastAsia"/>
          <w:u w:val="single"/>
          <w:lang w:val="en-US" w:eastAsia="zh-CN"/>
        </w:rPr>
        <w:t>永顺经济开发区猛洞河产业园</w:t>
      </w:r>
      <w:r>
        <w:rPr>
          <w:rFonts w:hint="eastAsia"/>
          <w:u w:val="single"/>
        </w:rPr>
        <w:t>污水处理厂</w:t>
      </w:r>
      <w:r>
        <w:rPr>
          <w:u w:val="single"/>
        </w:rPr>
        <w:t>入河排污口设置论证报告。</w:t>
      </w:r>
    </w:p>
    <w:p>
      <w:pPr>
        <w:pStyle w:val="69"/>
        <w:bidi w:val="0"/>
        <w:rPr>
          <w:rFonts w:hint="eastAsia"/>
          <w:lang w:val="en-US" w:eastAsia="zh-CN"/>
        </w:rPr>
      </w:pPr>
      <w:r>
        <w:rPr>
          <w:rFonts w:hint="eastAsia"/>
          <w:lang w:val="en-US" w:eastAsia="zh-CN"/>
        </w:rPr>
        <w:t>8.1.1.2论证原则</w:t>
      </w:r>
    </w:p>
    <w:p>
      <w:pPr>
        <w:pStyle w:val="69"/>
        <w:outlineLvl w:val="4"/>
        <w:rPr>
          <w:rFonts w:hint="eastAsia"/>
          <w:color w:val="auto"/>
          <w:u w:val="single"/>
        </w:rPr>
      </w:pPr>
      <w:r>
        <w:rPr>
          <w:rFonts w:hint="eastAsia"/>
          <w:color w:val="auto"/>
          <w:u w:val="single"/>
          <w:lang w:val="en-US" w:eastAsia="zh-CN"/>
        </w:rPr>
        <w:t>8.1.1.2.1</w:t>
      </w:r>
      <w:r>
        <w:rPr>
          <w:rFonts w:hint="eastAsia"/>
          <w:color w:val="auto"/>
          <w:u w:val="single"/>
        </w:rPr>
        <w:t>国家有关法律、法规</w:t>
      </w:r>
    </w:p>
    <w:p>
      <w:pPr>
        <w:ind w:firstLine="480"/>
        <w:jc w:val="both"/>
        <w:rPr>
          <w:rFonts w:hint="eastAsia" w:ascii="Times New Roman" w:hAnsi="Times New Roman"/>
          <w:color w:val="000000"/>
          <w:u w:val="single"/>
        </w:rPr>
      </w:pPr>
      <w:r>
        <w:rPr>
          <w:rFonts w:hint="eastAsia" w:ascii="Times New Roman" w:hAnsi="Times New Roman"/>
          <w:color w:val="000000"/>
          <w:u w:val="single"/>
        </w:rPr>
        <w:t>（1）《中华人民共和国水法》（自2002年10月1日起施行，2016年7月2号修改通过）；</w:t>
      </w:r>
    </w:p>
    <w:p>
      <w:pPr>
        <w:ind w:firstLine="480"/>
        <w:jc w:val="both"/>
        <w:rPr>
          <w:rFonts w:hint="eastAsia" w:ascii="Times New Roman" w:hAnsi="Times New Roman"/>
          <w:color w:val="000000"/>
          <w:u w:val="single"/>
        </w:rPr>
      </w:pPr>
      <w:r>
        <w:rPr>
          <w:rFonts w:hint="eastAsia" w:ascii="Times New Roman" w:hAnsi="Times New Roman"/>
          <w:color w:val="000000"/>
          <w:u w:val="single"/>
        </w:rPr>
        <w:t>（2）《中华人民共和国水污染防治法》（全国人大常委会2017年6月27日第二次修正，自2018年1月1日起施行）；</w:t>
      </w:r>
    </w:p>
    <w:p>
      <w:pPr>
        <w:ind w:firstLine="480"/>
        <w:jc w:val="both"/>
        <w:rPr>
          <w:rFonts w:hint="eastAsia" w:ascii="Times New Roman" w:hAnsi="Times New Roman"/>
          <w:color w:val="000000"/>
          <w:u w:val="single"/>
        </w:rPr>
      </w:pPr>
      <w:r>
        <w:rPr>
          <w:rFonts w:hint="eastAsia" w:ascii="Times New Roman" w:hAnsi="Times New Roman"/>
          <w:color w:val="000000"/>
          <w:u w:val="single"/>
        </w:rPr>
        <w:t>（3）《中华人民共和国环境保护法》，1989年12月26日发布并施行，2014年4月24日修订，自2015年1月1日起施行；</w:t>
      </w:r>
    </w:p>
    <w:p>
      <w:pPr>
        <w:ind w:firstLine="480"/>
        <w:jc w:val="both"/>
        <w:rPr>
          <w:rFonts w:hint="eastAsia" w:ascii="Times New Roman" w:hAnsi="Times New Roman"/>
          <w:color w:val="000000"/>
          <w:u w:val="single"/>
        </w:rPr>
      </w:pPr>
      <w:r>
        <w:rPr>
          <w:rFonts w:hint="eastAsia" w:ascii="Times New Roman" w:hAnsi="Times New Roman"/>
          <w:color w:val="000000"/>
          <w:u w:val="single"/>
        </w:rPr>
        <w:t>（4）《中华人民共和国河道管理条例》（国务院令第3号，1988年6月3日起发布施行，2017年3月1日国务院令第676号对部分条款进行了修改）；</w:t>
      </w:r>
    </w:p>
    <w:p>
      <w:pPr>
        <w:ind w:firstLine="480"/>
        <w:jc w:val="both"/>
        <w:rPr>
          <w:rFonts w:hint="eastAsia" w:ascii="Times New Roman" w:hAnsi="Times New Roman"/>
          <w:color w:val="000000"/>
          <w:u w:val="single"/>
        </w:rPr>
      </w:pPr>
      <w:r>
        <w:rPr>
          <w:rFonts w:hint="eastAsia" w:ascii="Times New Roman" w:hAnsi="Times New Roman"/>
          <w:color w:val="000000"/>
          <w:u w:val="single"/>
        </w:rPr>
        <w:t>（5）《中华人民共和国防洪法》（中华人民共和国主席令第23号），2015年4月24日修正；</w:t>
      </w:r>
    </w:p>
    <w:p>
      <w:pPr>
        <w:ind w:firstLine="480"/>
        <w:jc w:val="both"/>
        <w:rPr>
          <w:rFonts w:hint="eastAsia" w:ascii="Times New Roman" w:hAnsi="Times New Roman"/>
          <w:color w:val="000000"/>
          <w:u w:val="single"/>
        </w:rPr>
      </w:pPr>
      <w:r>
        <w:rPr>
          <w:rFonts w:hint="eastAsia" w:ascii="Times New Roman" w:hAnsi="Times New Roman"/>
          <w:color w:val="000000"/>
          <w:u w:val="single"/>
        </w:rPr>
        <w:t>（6）《中华人民共和国环境影响评价法》（2016年修订）（中华人民共和国主席令第48号），自2016月9月1日起施行；</w:t>
      </w:r>
    </w:p>
    <w:p>
      <w:pPr>
        <w:ind w:firstLine="480"/>
        <w:jc w:val="both"/>
        <w:rPr>
          <w:rFonts w:hint="eastAsia" w:ascii="Times New Roman" w:hAnsi="Times New Roman"/>
          <w:color w:val="000000"/>
          <w:u w:val="single"/>
        </w:rPr>
      </w:pPr>
      <w:r>
        <w:rPr>
          <w:rFonts w:hint="eastAsia" w:ascii="Times New Roman" w:hAnsi="Times New Roman"/>
          <w:color w:val="000000"/>
          <w:u w:val="single"/>
        </w:rPr>
        <w:t>（7）《关于做好入河排污口和水功能区划相关工作的通知》(环办水体[2019]36号)；</w:t>
      </w:r>
    </w:p>
    <w:p>
      <w:pPr>
        <w:ind w:firstLine="480"/>
        <w:jc w:val="both"/>
        <w:rPr>
          <w:rFonts w:hint="eastAsia" w:ascii="Times New Roman" w:hAnsi="Times New Roman"/>
          <w:color w:val="000000"/>
          <w:u w:val="single"/>
        </w:rPr>
      </w:pPr>
      <w:r>
        <w:rPr>
          <w:rFonts w:hint="eastAsia" w:ascii="Times New Roman" w:hAnsi="Times New Roman"/>
          <w:color w:val="000000"/>
          <w:u w:val="single"/>
        </w:rPr>
        <w:t>（8）《中华人民共和国长江保护法》（2020年12月26日第十三届全国人民代表大会常务委员会第二十四次会议通过。</w:t>
      </w:r>
    </w:p>
    <w:p>
      <w:pPr>
        <w:pStyle w:val="69"/>
        <w:rPr>
          <w:rFonts w:hint="eastAsia" w:ascii="Times New Roman" w:hAnsi="Times New Roman"/>
          <w:color w:val="000000"/>
          <w:u w:val="single"/>
        </w:rPr>
      </w:pPr>
      <w:r>
        <w:rPr>
          <w:rFonts w:hint="eastAsia"/>
          <w:color w:val="auto"/>
          <w:u w:val="single"/>
          <w:lang w:val="en-US" w:eastAsia="zh-CN"/>
        </w:rPr>
        <w:t>8.1.1.2.2</w:t>
      </w:r>
      <w:r>
        <w:rPr>
          <w:rFonts w:hint="eastAsia" w:ascii="Times New Roman" w:hAnsi="Times New Roman"/>
          <w:color w:val="000000"/>
          <w:u w:val="single"/>
        </w:rPr>
        <w:t>相关部门规章</w:t>
      </w:r>
    </w:p>
    <w:p>
      <w:pPr>
        <w:ind w:firstLine="480"/>
        <w:rPr>
          <w:rFonts w:hint="eastAsia" w:ascii="Times New Roman" w:hAnsi="Times New Roman"/>
          <w:color w:val="000000"/>
          <w:u w:val="single"/>
        </w:rPr>
      </w:pPr>
      <w:r>
        <w:rPr>
          <w:rFonts w:hint="eastAsia" w:ascii="Times New Roman" w:hAnsi="Times New Roman"/>
          <w:color w:val="000000"/>
          <w:u w:val="single"/>
        </w:rPr>
        <w:t>（1）水利部《关于做好建设项目水资源论证工作的通知》（水资源[2002]145号）；</w:t>
      </w:r>
    </w:p>
    <w:p>
      <w:pPr>
        <w:ind w:firstLine="480"/>
        <w:rPr>
          <w:rFonts w:hint="eastAsia" w:ascii="Times New Roman" w:hAnsi="Times New Roman"/>
          <w:color w:val="000000"/>
          <w:u w:val="single"/>
        </w:rPr>
      </w:pPr>
      <w:r>
        <w:rPr>
          <w:rFonts w:hint="eastAsia" w:ascii="Times New Roman" w:hAnsi="Times New Roman"/>
          <w:color w:val="000000"/>
          <w:u w:val="single"/>
        </w:rPr>
        <w:t>（2）湖南省生态环境厅&lt;关于做好入河排污口设置审批和水功能区划&gt;相关工作的通知(湘环发〔2019〕17号)；</w:t>
      </w:r>
    </w:p>
    <w:p>
      <w:pPr>
        <w:ind w:firstLine="480"/>
        <w:rPr>
          <w:rFonts w:hint="eastAsia" w:ascii="Times New Roman" w:hAnsi="Times New Roman"/>
          <w:color w:val="000000"/>
          <w:u w:val="single"/>
        </w:rPr>
      </w:pPr>
      <w:r>
        <w:rPr>
          <w:rFonts w:hint="eastAsia" w:ascii="Times New Roman" w:hAnsi="Times New Roman"/>
          <w:color w:val="000000"/>
          <w:u w:val="single"/>
        </w:rPr>
        <w:t>（3）湖南省人民政府办公厅关于印发《湖南省入河排污口监督管理办法》的通知(湘政办发〔2018〕44号)；</w:t>
      </w:r>
    </w:p>
    <w:p>
      <w:pPr>
        <w:ind w:firstLine="480"/>
        <w:rPr>
          <w:rFonts w:hint="eastAsia" w:ascii="Times New Roman" w:hAnsi="Times New Roman"/>
          <w:color w:val="000000"/>
          <w:u w:val="single"/>
        </w:rPr>
      </w:pPr>
      <w:r>
        <w:rPr>
          <w:rFonts w:hint="eastAsia" w:ascii="Times New Roman" w:hAnsi="Times New Roman"/>
          <w:color w:val="000000"/>
          <w:u w:val="single"/>
        </w:rPr>
        <w:t>（4）《湖南省住房和城乡建设厅等八部门关于建立绿色通道加快城乡污水处理设施建设前期工作的通知》（湘建村〔2019〕230号）;</w:t>
      </w:r>
    </w:p>
    <w:p>
      <w:pPr>
        <w:ind w:firstLine="480"/>
        <w:jc w:val="both"/>
        <w:rPr>
          <w:rFonts w:hint="eastAsia" w:ascii="Times New Roman" w:hAnsi="Times New Roman"/>
          <w:color w:val="000000"/>
          <w:u w:val="single"/>
        </w:rPr>
      </w:pPr>
      <w:r>
        <w:rPr>
          <w:rFonts w:hint="eastAsia" w:ascii="Times New Roman" w:hAnsi="Times New Roman"/>
          <w:color w:val="000000"/>
          <w:u w:val="single"/>
        </w:rPr>
        <w:t>（5）《关于规范入河排污口设置审批工作的函》（湘环函[2021]71号）；</w:t>
      </w:r>
    </w:p>
    <w:p>
      <w:pPr>
        <w:ind w:firstLine="480"/>
        <w:jc w:val="both"/>
        <w:rPr>
          <w:rFonts w:hint="eastAsia" w:ascii="Times New Roman" w:hAnsi="Times New Roman"/>
          <w:color w:val="000000"/>
          <w:u w:val="single"/>
        </w:rPr>
      </w:pPr>
      <w:r>
        <w:rPr>
          <w:rFonts w:hint="eastAsia" w:ascii="Times New Roman" w:hAnsi="Times New Roman"/>
          <w:color w:val="000000"/>
          <w:u w:val="single"/>
        </w:rPr>
        <w:t>（6）《湖南省水功能区划》；</w:t>
      </w:r>
    </w:p>
    <w:p>
      <w:pPr>
        <w:ind w:firstLine="480"/>
        <w:jc w:val="both"/>
        <w:rPr>
          <w:rFonts w:hint="eastAsia" w:ascii="Times New Roman" w:hAnsi="Times New Roman"/>
          <w:color w:val="000000"/>
          <w:u w:val="single"/>
        </w:rPr>
      </w:pPr>
      <w:r>
        <w:rPr>
          <w:rFonts w:hint="eastAsia" w:ascii="Times New Roman" w:hAnsi="Times New Roman"/>
          <w:color w:val="000000"/>
          <w:u w:val="single"/>
        </w:rPr>
        <w:t>（7）《湘西土家族苗族自治州水功能区划》；</w:t>
      </w:r>
    </w:p>
    <w:p>
      <w:pPr>
        <w:ind w:firstLine="480"/>
        <w:jc w:val="both"/>
        <w:rPr>
          <w:rFonts w:hint="eastAsia" w:ascii="Times New Roman" w:hAnsi="Times New Roman"/>
          <w:color w:val="000000"/>
          <w:u w:val="single"/>
        </w:rPr>
      </w:pPr>
      <w:r>
        <w:rPr>
          <w:rFonts w:hint="eastAsia" w:ascii="Times New Roman" w:hAnsi="Times New Roman"/>
          <w:color w:val="000000"/>
          <w:u w:val="single"/>
        </w:rPr>
        <w:t>（8）《建设项目水资源论证管理办法》（2015年修正本）水利部、国家计委第15号令，自2015年12月16日起施行；</w:t>
      </w:r>
    </w:p>
    <w:p>
      <w:pPr>
        <w:ind w:firstLine="480"/>
        <w:jc w:val="both"/>
        <w:rPr>
          <w:rFonts w:hint="eastAsia" w:ascii="Times New Roman" w:hAnsi="Times New Roman"/>
          <w:color w:val="000000"/>
          <w:u w:val="single"/>
        </w:rPr>
      </w:pPr>
      <w:r>
        <w:rPr>
          <w:rFonts w:hint="eastAsia" w:ascii="Times New Roman" w:hAnsi="Times New Roman"/>
          <w:color w:val="000000"/>
          <w:u w:val="single"/>
        </w:rPr>
        <w:t>（9）《入河排污口监督管理办法》水利部第22号令，自2005年1月1日起施行，2015年12月16日水利部令第47号修改公布；</w:t>
      </w:r>
    </w:p>
    <w:p>
      <w:pPr>
        <w:ind w:firstLine="480"/>
        <w:jc w:val="both"/>
        <w:rPr>
          <w:rFonts w:hint="eastAsia" w:ascii="Times New Roman" w:hAnsi="Times New Roman"/>
          <w:color w:val="000000"/>
          <w:u w:val="single"/>
        </w:rPr>
      </w:pPr>
      <w:r>
        <w:rPr>
          <w:rFonts w:hint="eastAsia" w:ascii="Times New Roman" w:hAnsi="Times New Roman"/>
          <w:color w:val="000000"/>
          <w:u w:val="single"/>
        </w:rPr>
        <w:t>（10）《水功能区监督管理办法》水资源[2017]101号；</w:t>
      </w:r>
    </w:p>
    <w:p>
      <w:pPr>
        <w:ind w:firstLine="480"/>
        <w:jc w:val="both"/>
        <w:rPr>
          <w:rFonts w:hint="eastAsia" w:ascii="Times New Roman" w:hAnsi="Times New Roman"/>
          <w:color w:val="000000"/>
          <w:u w:val="single"/>
        </w:rPr>
      </w:pPr>
      <w:r>
        <w:rPr>
          <w:rFonts w:hint="eastAsia" w:ascii="Times New Roman" w:hAnsi="Times New Roman"/>
          <w:color w:val="000000"/>
          <w:u w:val="single"/>
        </w:rPr>
        <w:t>（11）《湘西自治州河道管理条例》；</w:t>
      </w:r>
    </w:p>
    <w:p>
      <w:pPr>
        <w:ind w:firstLine="480"/>
        <w:jc w:val="both"/>
        <w:rPr>
          <w:rFonts w:hint="eastAsia" w:ascii="Times New Roman" w:hAnsi="Times New Roman"/>
          <w:color w:val="000000"/>
          <w:u w:val="single"/>
        </w:rPr>
      </w:pPr>
      <w:r>
        <w:rPr>
          <w:rFonts w:hint="eastAsia" w:ascii="Times New Roman" w:hAnsi="Times New Roman"/>
          <w:color w:val="000000"/>
          <w:u w:val="single"/>
        </w:rPr>
        <w:t>（12）《</w:t>
      </w:r>
      <w:r>
        <w:rPr>
          <w:rFonts w:hint="eastAsia" w:ascii="Times New Roman" w:hAnsi="Times New Roman"/>
          <w:color w:val="000000"/>
          <w:u w:val="single"/>
          <w:lang w:val="en-US" w:eastAsia="zh-CN"/>
        </w:rPr>
        <w:t>永顺</w:t>
      </w:r>
      <w:r>
        <w:rPr>
          <w:rFonts w:hint="eastAsia" w:ascii="Times New Roman" w:hAnsi="Times New Roman"/>
          <w:color w:val="000000"/>
          <w:u w:val="single"/>
        </w:rPr>
        <w:t>县土地利用总体规划（2006-2020）》；</w:t>
      </w:r>
    </w:p>
    <w:p>
      <w:pPr>
        <w:ind w:firstLine="480"/>
        <w:jc w:val="both"/>
        <w:rPr>
          <w:rFonts w:hint="eastAsia" w:ascii="Times New Roman" w:hAnsi="Times New Roman"/>
          <w:color w:val="000000"/>
          <w:u w:val="single"/>
        </w:rPr>
      </w:pPr>
      <w:r>
        <w:rPr>
          <w:rFonts w:hint="eastAsia" w:ascii="Times New Roman" w:hAnsi="Times New Roman"/>
          <w:color w:val="000000"/>
          <w:u w:val="single"/>
        </w:rPr>
        <w:t>（13）《入河(海)排污口命名与编码规则》(HJ1235-2021)》；</w:t>
      </w:r>
    </w:p>
    <w:p>
      <w:pPr>
        <w:pStyle w:val="2"/>
        <w:keepNext w:val="0"/>
        <w:keepLines w:val="0"/>
        <w:pageBreakBefore w:val="0"/>
        <w:widowControl/>
        <w:kinsoku/>
        <w:wordWrap/>
        <w:overflowPunct/>
        <w:topLinePunct w:val="0"/>
        <w:autoSpaceDE w:val="0"/>
        <w:autoSpaceDN w:val="0"/>
        <w:bidi w:val="0"/>
        <w:adjustRightInd/>
        <w:snapToGrid/>
        <w:ind w:left="0" w:leftChars="0" w:firstLine="480" w:firstLineChars="200"/>
        <w:jc w:val="both"/>
        <w:textAlignment w:val="auto"/>
        <w:rPr>
          <w:rFonts w:hint="eastAsia" w:ascii="Times New Roman" w:hAnsi="Times New Roman"/>
          <w:color w:val="000000"/>
          <w:u w:val="single"/>
          <w:lang w:val="en-US" w:eastAsia="zh-CN"/>
        </w:rPr>
      </w:pPr>
      <w:r>
        <w:rPr>
          <w:rFonts w:hint="eastAsia" w:ascii="Times New Roman" w:hAnsi="Times New Roman"/>
          <w:color w:val="000000"/>
          <w:u w:val="single"/>
          <w:lang w:eastAsia="zh-CN"/>
        </w:rPr>
        <w:t>（</w:t>
      </w:r>
      <w:r>
        <w:rPr>
          <w:rFonts w:hint="eastAsia" w:ascii="Times New Roman" w:hAnsi="Times New Roman"/>
          <w:color w:val="000000"/>
          <w:u w:val="single"/>
          <w:lang w:val="en-US" w:eastAsia="zh-CN"/>
        </w:rPr>
        <w:t>14</w:t>
      </w:r>
      <w:r>
        <w:rPr>
          <w:rFonts w:hint="eastAsia" w:ascii="Times New Roman" w:hAnsi="Times New Roman"/>
          <w:color w:val="000000"/>
          <w:u w:val="single"/>
          <w:lang w:eastAsia="zh-CN"/>
        </w:rPr>
        <w:t>）</w:t>
      </w:r>
      <w:r>
        <w:rPr>
          <w:rFonts w:hint="eastAsia" w:ascii="Times New Roman" w:hAnsi="Times New Roman"/>
          <w:color w:val="000000"/>
          <w:u w:val="single"/>
          <w:lang w:val="en-US" w:eastAsia="zh-CN"/>
        </w:rPr>
        <w:t>《关于进一步规范城镇（园区）污水处理环境管理的通知》(环水体【2020】71号)</w:t>
      </w:r>
    </w:p>
    <w:p>
      <w:pPr>
        <w:jc w:val="both"/>
        <w:rPr>
          <w:rFonts w:hint="eastAsia"/>
          <w:lang w:eastAsia="zh-CN"/>
        </w:rPr>
      </w:pPr>
      <w:r>
        <w:rPr>
          <w:rFonts w:hint="eastAsia" w:ascii="Times New Roman" w:hAnsi="Times New Roman"/>
          <w:color w:val="000000"/>
          <w:u w:val="single"/>
          <w:lang w:val="en-US" w:eastAsia="zh-CN"/>
        </w:rPr>
        <w:t>（15）国务院办公厅《关于加强入河入海排污口监督管理工作的实施意见》(国办函【2022】17号)</w:t>
      </w:r>
    </w:p>
    <w:p>
      <w:pPr>
        <w:pStyle w:val="69"/>
        <w:outlineLvl w:val="4"/>
        <w:rPr>
          <w:rFonts w:hint="eastAsia" w:ascii="Times New Roman" w:hAnsi="Times New Roman" w:eastAsia="宋体" w:cs="Times New Roman"/>
          <w:b/>
          <w:color w:val="auto"/>
          <w:u w:val="single"/>
        </w:rPr>
      </w:pPr>
      <w:r>
        <w:rPr>
          <w:rFonts w:hint="eastAsia"/>
          <w:color w:val="auto"/>
          <w:u w:val="single"/>
          <w:lang w:val="en-US" w:eastAsia="zh-CN"/>
        </w:rPr>
        <w:t>8.1.1.2.3</w:t>
      </w:r>
      <w:r>
        <w:rPr>
          <w:rFonts w:hint="eastAsia" w:ascii="Times New Roman" w:hAnsi="Times New Roman" w:eastAsia="宋体" w:cs="Times New Roman"/>
          <w:b/>
          <w:color w:val="auto"/>
          <w:u w:val="single"/>
        </w:rPr>
        <w:t>有关技术规范和技术标准</w:t>
      </w:r>
    </w:p>
    <w:p>
      <w:pPr>
        <w:ind w:firstLine="480"/>
        <w:rPr>
          <w:rFonts w:hint="eastAsia" w:ascii="Times New Roman" w:hAnsi="Times New Roman"/>
          <w:color w:val="000000"/>
          <w:u w:val="single"/>
        </w:rPr>
      </w:pPr>
      <w:r>
        <w:rPr>
          <w:rFonts w:hint="eastAsia" w:ascii="Times New Roman" w:hAnsi="Times New Roman"/>
          <w:color w:val="000000"/>
          <w:u w:val="single"/>
        </w:rPr>
        <w:t>(1)《地表水环境质量标准》（GB3838-2002）；</w:t>
      </w:r>
    </w:p>
    <w:p>
      <w:pPr>
        <w:ind w:firstLine="480"/>
        <w:rPr>
          <w:rFonts w:hint="eastAsia" w:ascii="Times New Roman" w:hAnsi="Times New Roman"/>
          <w:color w:val="000000"/>
          <w:u w:val="single"/>
        </w:rPr>
      </w:pPr>
      <w:r>
        <w:rPr>
          <w:rFonts w:hint="eastAsia" w:ascii="Times New Roman" w:hAnsi="Times New Roman"/>
          <w:color w:val="000000"/>
          <w:u w:val="single"/>
        </w:rPr>
        <w:t>(2)《地下水质量标准》（GB/T14848-2017）；</w:t>
      </w:r>
    </w:p>
    <w:p>
      <w:pPr>
        <w:ind w:firstLine="480"/>
        <w:rPr>
          <w:rFonts w:hint="eastAsia" w:ascii="Times New Roman" w:hAnsi="Times New Roman"/>
          <w:color w:val="000000"/>
          <w:u w:val="single"/>
        </w:rPr>
      </w:pPr>
      <w:r>
        <w:rPr>
          <w:rFonts w:hint="eastAsia" w:ascii="Times New Roman" w:hAnsi="Times New Roman"/>
          <w:color w:val="000000"/>
          <w:u w:val="single"/>
        </w:rPr>
        <w:t>(3)《生活饮用水卫生标准》（GB5749-2006）；</w:t>
      </w:r>
    </w:p>
    <w:p>
      <w:pPr>
        <w:ind w:firstLine="480"/>
        <w:rPr>
          <w:rFonts w:hint="eastAsia" w:ascii="Times New Roman" w:hAnsi="Times New Roman"/>
          <w:color w:val="000000"/>
          <w:u w:val="single"/>
        </w:rPr>
      </w:pPr>
      <w:r>
        <w:rPr>
          <w:rFonts w:hint="eastAsia" w:ascii="Times New Roman" w:hAnsi="Times New Roman"/>
          <w:color w:val="000000"/>
          <w:u w:val="single"/>
        </w:rPr>
        <w:t>(4)《水域纳污能力计算规范》（GB/T25173-2010）；</w:t>
      </w:r>
    </w:p>
    <w:p>
      <w:pPr>
        <w:ind w:firstLine="480"/>
        <w:rPr>
          <w:rFonts w:hint="eastAsia" w:ascii="Times New Roman" w:hAnsi="Times New Roman"/>
          <w:color w:val="000000"/>
          <w:u w:val="single"/>
        </w:rPr>
      </w:pPr>
      <w:r>
        <w:rPr>
          <w:rFonts w:hint="eastAsia" w:ascii="Times New Roman" w:hAnsi="Times New Roman"/>
          <w:color w:val="000000"/>
          <w:u w:val="single"/>
        </w:rPr>
        <w:t>(5)《城镇污水处理厂污染物排放标准》（GB18918-2002）；</w:t>
      </w:r>
    </w:p>
    <w:p>
      <w:pPr>
        <w:ind w:firstLine="480"/>
        <w:rPr>
          <w:rFonts w:hint="eastAsia" w:ascii="Times New Roman" w:hAnsi="Times New Roman"/>
          <w:color w:val="000000"/>
          <w:u w:val="single"/>
        </w:rPr>
      </w:pPr>
      <w:r>
        <w:rPr>
          <w:rFonts w:hint="eastAsia" w:ascii="Times New Roman" w:hAnsi="Times New Roman"/>
          <w:color w:val="000000"/>
          <w:u w:val="single"/>
        </w:rPr>
        <w:t>(6)《室外给水设计规范》（GB50013-2006）；</w:t>
      </w:r>
    </w:p>
    <w:p>
      <w:pPr>
        <w:ind w:firstLine="480"/>
        <w:rPr>
          <w:rFonts w:hint="eastAsia" w:ascii="Times New Roman" w:hAnsi="Times New Roman"/>
          <w:color w:val="000000"/>
          <w:u w:val="single"/>
        </w:rPr>
      </w:pPr>
      <w:r>
        <w:rPr>
          <w:rFonts w:hint="eastAsia" w:ascii="Times New Roman" w:hAnsi="Times New Roman"/>
          <w:color w:val="000000"/>
          <w:u w:val="single"/>
        </w:rPr>
        <w:t>(7)《城市给水工程规划规范》(GB50282-2016)；</w:t>
      </w:r>
    </w:p>
    <w:p>
      <w:pPr>
        <w:ind w:firstLine="480"/>
        <w:rPr>
          <w:rFonts w:hint="eastAsia" w:ascii="Times New Roman" w:hAnsi="Times New Roman"/>
          <w:color w:val="000000"/>
          <w:u w:val="single"/>
        </w:rPr>
      </w:pPr>
      <w:r>
        <w:rPr>
          <w:rFonts w:hint="eastAsia" w:ascii="Times New Roman" w:hAnsi="Times New Roman"/>
          <w:color w:val="000000"/>
          <w:u w:val="single"/>
        </w:rPr>
        <w:t>(8)《建设项目水资源论证导则》（GB/T35580-2017）；</w:t>
      </w:r>
    </w:p>
    <w:p>
      <w:pPr>
        <w:ind w:firstLine="480"/>
        <w:rPr>
          <w:rFonts w:hint="eastAsia" w:ascii="Times New Roman" w:hAnsi="Times New Roman"/>
          <w:color w:val="000000"/>
          <w:u w:val="single"/>
        </w:rPr>
      </w:pPr>
      <w:r>
        <w:rPr>
          <w:rFonts w:hint="eastAsia" w:ascii="Times New Roman" w:hAnsi="Times New Roman"/>
          <w:color w:val="000000"/>
          <w:u w:val="single"/>
        </w:rPr>
        <w:t>(9)《水环境监测规范》（SL219-2013）；</w:t>
      </w:r>
    </w:p>
    <w:p>
      <w:pPr>
        <w:ind w:firstLine="480"/>
        <w:rPr>
          <w:rFonts w:hint="eastAsia" w:ascii="Times New Roman" w:hAnsi="Times New Roman"/>
          <w:color w:val="000000"/>
          <w:u w:val="single"/>
        </w:rPr>
      </w:pPr>
      <w:r>
        <w:rPr>
          <w:rFonts w:hint="eastAsia" w:ascii="Times New Roman" w:hAnsi="Times New Roman"/>
          <w:color w:val="000000"/>
          <w:u w:val="single"/>
        </w:rPr>
        <w:t>(10)《地表水资源质量评价技术规程》（SL395-2007）；</w:t>
      </w:r>
    </w:p>
    <w:p>
      <w:pPr>
        <w:ind w:firstLine="480"/>
        <w:rPr>
          <w:rFonts w:hint="eastAsia" w:ascii="Times New Roman" w:hAnsi="Times New Roman"/>
          <w:color w:val="000000"/>
          <w:u w:val="single"/>
        </w:rPr>
      </w:pPr>
      <w:r>
        <w:rPr>
          <w:rFonts w:hint="eastAsia" w:ascii="Times New Roman" w:hAnsi="Times New Roman"/>
          <w:color w:val="000000"/>
          <w:u w:val="single"/>
        </w:rPr>
        <w:t>(11)《入河排污口管理技术导则》（SL532-2011）；</w:t>
      </w:r>
    </w:p>
    <w:p>
      <w:pPr>
        <w:ind w:firstLine="480"/>
        <w:rPr>
          <w:rFonts w:hint="eastAsia" w:ascii="Times New Roman" w:hAnsi="Times New Roman"/>
          <w:color w:val="000000"/>
          <w:u w:val="single"/>
        </w:rPr>
      </w:pPr>
      <w:r>
        <w:rPr>
          <w:rFonts w:hint="eastAsia" w:ascii="Times New Roman" w:hAnsi="Times New Roman"/>
          <w:color w:val="000000"/>
          <w:u w:val="single"/>
        </w:rPr>
        <w:t>(12)《水资源评价导则》（SL/Z238-1999）；</w:t>
      </w:r>
    </w:p>
    <w:p>
      <w:pPr>
        <w:ind w:firstLine="480"/>
        <w:rPr>
          <w:rFonts w:hint="eastAsia" w:ascii="Times New Roman" w:hAnsi="Times New Roman"/>
          <w:color w:val="000000"/>
          <w:u w:val="single"/>
        </w:rPr>
      </w:pPr>
      <w:r>
        <w:rPr>
          <w:rFonts w:hint="eastAsia" w:ascii="Times New Roman" w:hAnsi="Times New Roman"/>
          <w:color w:val="000000"/>
          <w:u w:val="single"/>
        </w:rPr>
        <w:t>(13)《水利水电工程水文计算规范》（SL/T278-2020）；</w:t>
      </w:r>
    </w:p>
    <w:p>
      <w:pPr>
        <w:ind w:firstLine="480"/>
        <w:rPr>
          <w:rFonts w:hint="eastAsia" w:ascii="Times New Roman" w:hAnsi="Times New Roman"/>
          <w:color w:val="000000"/>
          <w:u w:val="single"/>
        </w:rPr>
      </w:pPr>
      <w:r>
        <w:rPr>
          <w:rFonts w:hint="eastAsia" w:ascii="Times New Roman" w:hAnsi="Times New Roman"/>
          <w:color w:val="000000"/>
          <w:u w:val="single"/>
        </w:rPr>
        <w:t>(14)《城市综合用水量标准》（SL367-2006）；</w:t>
      </w:r>
    </w:p>
    <w:p>
      <w:pPr>
        <w:ind w:firstLine="480"/>
        <w:rPr>
          <w:rFonts w:hint="eastAsia" w:ascii="Times New Roman" w:hAnsi="Times New Roman"/>
          <w:color w:val="000000"/>
          <w:u w:val="single"/>
        </w:rPr>
      </w:pPr>
      <w:r>
        <w:rPr>
          <w:rFonts w:hint="eastAsia" w:ascii="Times New Roman" w:hAnsi="Times New Roman"/>
          <w:color w:val="000000"/>
          <w:u w:val="single"/>
        </w:rPr>
        <w:t>(15)《水域纳污能力计算规程（GBT25173-2010）；</w:t>
      </w:r>
    </w:p>
    <w:p>
      <w:pPr>
        <w:ind w:firstLine="480"/>
        <w:rPr>
          <w:rFonts w:hint="eastAsia" w:ascii="Times New Roman" w:hAnsi="Times New Roman"/>
          <w:color w:val="000000"/>
          <w:u w:val="single"/>
        </w:rPr>
      </w:pPr>
      <w:r>
        <w:rPr>
          <w:rFonts w:hint="eastAsia" w:ascii="Times New Roman" w:hAnsi="Times New Roman"/>
          <w:color w:val="000000"/>
          <w:u w:val="single"/>
        </w:rPr>
        <w:t>(16)《入河排污口设置论证报告技术导则》（征求意见稿）。</w:t>
      </w:r>
    </w:p>
    <w:p>
      <w:pPr>
        <w:pStyle w:val="69"/>
        <w:rPr>
          <w:rFonts w:hint="eastAsia" w:ascii="Times New Roman" w:hAnsi="Times New Roman"/>
          <w:color w:val="000000"/>
          <w:u w:val="single"/>
        </w:rPr>
      </w:pPr>
      <w:r>
        <w:rPr>
          <w:rFonts w:hint="eastAsia"/>
          <w:color w:val="auto"/>
          <w:u w:val="single"/>
          <w:lang w:val="en-US" w:eastAsia="zh-CN"/>
        </w:rPr>
        <w:t>8.1.1.2.4</w:t>
      </w:r>
      <w:r>
        <w:rPr>
          <w:rFonts w:hint="eastAsia" w:ascii="Times New Roman" w:hAnsi="Times New Roman"/>
          <w:color w:val="000000"/>
          <w:u w:val="single"/>
        </w:rPr>
        <w:t>有关技术文件</w:t>
      </w:r>
    </w:p>
    <w:p>
      <w:pPr>
        <w:ind w:firstLine="480"/>
        <w:jc w:val="both"/>
        <w:rPr>
          <w:rFonts w:hint="default" w:eastAsia="宋体"/>
          <w:color w:val="auto"/>
          <w:kern w:val="0"/>
          <w:u w:val="single"/>
          <w:lang w:val="en-US" w:eastAsia="zh-CN"/>
        </w:rPr>
      </w:pPr>
      <w:r>
        <w:rPr>
          <w:rFonts w:hint="eastAsia" w:ascii="Times New Roman" w:hAnsi="Times New Roman"/>
          <w:color w:val="000000"/>
          <w:kern w:val="0"/>
          <w:u w:val="single"/>
        </w:rPr>
        <w:t>（1）</w:t>
      </w:r>
      <w:r>
        <w:rPr>
          <w:rFonts w:hint="eastAsia"/>
          <w:color w:val="auto"/>
          <w:kern w:val="0"/>
          <w:u w:val="single"/>
          <w:lang w:eastAsia="zh-CN"/>
        </w:rPr>
        <w:t>《湘西州永顺经济开发区猛洞河产业园基础设施建设项目可行性研究报告》；</w:t>
      </w:r>
    </w:p>
    <w:p>
      <w:pPr>
        <w:ind w:firstLine="480"/>
        <w:jc w:val="both"/>
        <w:rPr>
          <w:rFonts w:hint="eastAsia"/>
          <w:color w:val="auto"/>
          <w:kern w:val="0"/>
          <w:u w:val="single"/>
        </w:rPr>
      </w:pPr>
      <w:r>
        <w:rPr>
          <w:rFonts w:hint="eastAsia"/>
          <w:color w:val="auto"/>
          <w:kern w:val="0"/>
          <w:u w:val="single"/>
          <w:lang w:eastAsia="zh-CN"/>
        </w:rPr>
        <w:t>（</w:t>
      </w:r>
      <w:r>
        <w:rPr>
          <w:rFonts w:hint="eastAsia"/>
          <w:color w:val="auto"/>
          <w:kern w:val="0"/>
          <w:u w:val="single"/>
          <w:lang w:val="en-US" w:eastAsia="zh-CN"/>
        </w:rPr>
        <w:t>2</w:t>
      </w:r>
      <w:r>
        <w:rPr>
          <w:rFonts w:hint="eastAsia"/>
          <w:color w:val="auto"/>
          <w:kern w:val="0"/>
          <w:u w:val="single"/>
          <w:lang w:eastAsia="zh-CN"/>
        </w:rPr>
        <w:t>）</w:t>
      </w:r>
      <w:r>
        <w:rPr>
          <w:rFonts w:hint="eastAsia"/>
          <w:color w:val="auto"/>
          <w:kern w:val="0"/>
          <w:u w:val="single"/>
        </w:rPr>
        <w:t>《</w:t>
      </w:r>
      <w:r>
        <w:rPr>
          <w:rFonts w:hint="eastAsia"/>
          <w:color w:val="auto"/>
          <w:kern w:val="0"/>
          <w:u w:val="single"/>
          <w:lang w:eastAsia="zh-CN"/>
        </w:rPr>
        <w:t>湖南永顺经济开发区调扩区环境影响报告书</w:t>
      </w:r>
      <w:r>
        <w:rPr>
          <w:rFonts w:hint="eastAsia"/>
          <w:color w:val="auto"/>
          <w:kern w:val="0"/>
          <w:u w:val="single"/>
        </w:rPr>
        <w:t>》</w:t>
      </w:r>
      <w:r>
        <w:rPr>
          <w:rFonts w:hint="eastAsia"/>
          <w:color w:val="auto"/>
          <w:kern w:val="0"/>
          <w:u w:val="single"/>
          <w:lang w:eastAsia="zh-CN"/>
        </w:rPr>
        <w:t>（</w:t>
      </w:r>
      <w:r>
        <w:rPr>
          <w:rFonts w:hint="eastAsia"/>
          <w:color w:val="auto"/>
          <w:kern w:val="0"/>
          <w:u w:val="single"/>
        </w:rPr>
        <w:t>20</w:t>
      </w:r>
      <w:r>
        <w:rPr>
          <w:rFonts w:hint="eastAsia"/>
          <w:color w:val="auto"/>
          <w:kern w:val="0"/>
          <w:u w:val="single"/>
          <w:lang w:val="en-US" w:eastAsia="zh-CN"/>
        </w:rPr>
        <w:t>21</w:t>
      </w:r>
      <w:r>
        <w:rPr>
          <w:rFonts w:hint="eastAsia"/>
          <w:color w:val="auto"/>
          <w:kern w:val="0"/>
          <w:u w:val="single"/>
        </w:rPr>
        <w:t>年</w:t>
      </w:r>
      <w:r>
        <w:rPr>
          <w:rFonts w:hint="eastAsia"/>
          <w:color w:val="auto"/>
          <w:kern w:val="0"/>
          <w:u w:val="single"/>
          <w:lang w:val="en-US" w:eastAsia="zh-CN"/>
        </w:rPr>
        <w:t>1</w:t>
      </w:r>
      <w:r>
        <w:rPr>
          <w:rFonts w:hint="eastAsia"/>
          <w:color w:val="auto"/>
          <w:kern w:val="0"/>
          <w:u w:val="single"/>
        </w:rPr>
        <w:t>月</w:t>
      </w:r>
      <w:r>
        <w:rPr>
          <w:rFonts w:hint="eastAsia"/>
          <w:color w:val="auto"/>
          <w:kern w:val="0"/>
          <w:u w:val="single"/>
          <w:lang w:eastAsia="zh-CN"/>
        </w:rPr>
        <w:t>）</w:t>
      </w:r>
      <w:r>
        <w:rPr>
          <w:rFonts w:hint="eastAsia"/>
          <w:color w:val="auto"/>
          <w:kern w:val="0"/>
          <w:u w:val="single"/>
        </w:rPr>
        <w:t>；</w:t>
      </w:r>
    </w:p>
    <w:p>
      <w:pPr>
        <w:ind w:firstLine="480"/>
        <w:jc w:val="both"/>
        <w:rPr>
          <w:rFonts w:hint="default" w:ascii="Times New Roman" w:hAnsi="Times New Roman" w:eastAsia="宋体" w:cs="Times New Roman"/>
          <w:color w:val="auto"/>
          <w:kern w:val="0"/>
          <w:u w:val="single"/>
          <w:lang w:eastAsia="zh-CN"/>
        </w:rPr>
      </w:pPr>
      <w:r>
        <w:rPr>
          <w:rFonts w:hint="default" w:ascii="Times New Roman" w:hAnsi="Times New Roman" w:eastAsia="宋体" w:cs="Times New Roman"/>
          <w:color w:val="auto"/>
          <w:kern w:val="0"/>
          <w:u w:val="single"/>
          <w:lang w:eastAsia="zh-CN"/>
        </w:rPr>
        <w:t>（</w:t>
      </w:r>
      <w:r>
        <w:rPr>
          <w:rFonts w:hint="default" w:ascii="Times New Roman" w:hAnsi="Times New Roman" w:eastAsia="宋体" w:cs="Times New Roman"/>
          <w:color w:val="auto"/>
          <w:kern w:val="0"/>
          <w:u w:val="single"/>
          <w:lang w:val="en-US" w:eastAsia="zh-CN"/>
        </w:rPr>
        <w:t>3</w:t>
      </w:r>
      <w:r>
        <w:rPr>
          <w:rFonts w:hint="default" w:ascii="Times New Roman" w:hAnsi="Times New Roman" w:eastAsia="宋体" w:cs="Times New Roman"/>
          <w:color w:val="auto"/>
          <w:kern w:val="0"/>
          <w:u w:val="single"/>
          <w:lang w:eastAsia="zh-CN"/>
        </w:rPr>
        <w:t>）</w:t>
      </w:r>
      <w:r>
        <w:rPr>
          <w:rFonts w:hint="eastAsia" w:ascii="宋体" w:hAnsi="宋体" w:eastAsia="宋体" w:cs="宋体"/>
          <w:b w:val="0"/>
          <w:bCs w:val="0"/>
          <w:color w:val="auto"/>
          <w:sz w:val="24"/>
          <w:szCs w:val="24"/>
          <w:u w:val="single"/>
          <w:lang w:val="en-US" w:eastAsia="zh-CN"/>
        </w:rPr>
        <w:t>《永顺县经开区污水处理站建设项目技术方案》</w:t>
      </w:r>
    </w:p>
    <w:p>
      <w:pPr>
        <w:bidi w:val="0"/>
        <w:jc w:val="both"/>
      </w:pPr>
      <w:r>
        <w:rPr>
          <w:rFonts w:hint="eastAsia" w:ascii="Times New Roman" w:hAnsi="Times New Roman" w:eastAsia="宋体" w:cs="Times New Roman"/>
          <w:color w:val="auto"/>
          <w:kern w:val="0"/>
          <w:u w:val="single"/>
          <w:lang w:eastAsia="zh-CN"/>
        </w:rPr>
        <w:t>（</w:t>
      </w:r>
      <w:r>
        <w:rPr>
          <w:rFonts w:hint="eastAsia" w:ascii="Times New Roman" w:hAnsi="Times New Roman" w:eastAsia="宋体" w:cs="Times New Roman"/>
          <w:color w:val="auto"/>
          <w:kern w:val="0"/>
          <w:u w:val="single"/>
          <w:lang w:val="en-US" w:eastAsia="zh-CN"/>
        </w:rPr>
        <w:t>4</w:t>
      </w:r>
      <w:r>
        <w:rPr>
          <w:rFonts w:hint="eastAsia" w:ascii="Times New Roman" w:hAnsi="Times New Roman" w:eastAsia="宋体" w:cs="Times New Roman"/>
          <w:color w:val="auto"/>
          <w:kern w:val="0"/>
          <w:u w:val="single"/>
          <w:lang w:eastAsia="zh-CN"/>
        </w:rPr>
        <w:t>）</w:t>
      </w:r>
      <w:r>
        <w:rPr>
          <w:rFonts w:hint="eastAsia" w:ascii="Times New Roman" w:hAnsi="Times New Roman"/>
          <w:color w:val="000000"/>
          <w:u w:val="single"/>
        </w:rPr>
        <w:t>永顺县污水处理厂下游监测数据。</w:t>
      </w:r>
    </w:p>
    <w:p>
      <w:pPr>
        <w:pStyle w:val="6"/>
        <w:bidi w:val="0"/>
        <w:jc w:val="both"/>
        <w:rPr>
          <w:rFonts w:hint="eastAsia"/>
          <w:u w:val="single"/>
          <w:lang w:val="en-US" w:eastAsia="zh-CN"/>
        </w:rPr>
      </w:pPr>
      <w:r>
        <w:rPr>
          <w:rFonts w:hint="eastAsia"/>
          <w:u w:val="single"/>
          <w:lang w:val="en-US" w:eastAsia="zh-CN"/>
        </w:rPr>
        <w:t>8.1.2论证原则</w:t>
      </w:r>
    </w:p>
    <w:p>
      <w:pPr>
        <w:ind w:firstLine="560"/>
        <w:rPr>
          <w:u w:val="single"/>
        </w:rPr>
      </w:pPr>
      <w:r>
        <w:rPr>
          <w:u w:val="single"/>
        </w:rPr>
        <w:t>（1）</w:t>
      </w:r>
      <w:r>
        <w:rPr>
          <w:rFonts w:hint="eastAsia" w:ascii="宋体" w:hAnsi="宋体" w:cs="宋体"/>
          <w:kern w:val="0"/>
          <w:u w:val="single"/>
        </w:rPr>
        <w:t>符合国家有关水污染防治、水资源保护法律、法规和相关政策的要求和规定</w:t>
      </w:r>
      <w:r>
        <w:rPr>
          <w:u w:val="single"/>
        </w:rPr>
        <w:t>。</w:t>
      </w:r>
    </w:p>
    <w:p>
      <w:pPr>
        <w:ind w:firstLine="560"/>
        <w:rPr>
          <w:szCs w:val="28"/>
          <w:u w:val="single"/>
        </w:rPr>
      </w:pPr>
      <w:r>
        <w:rPr>
          <w:rFonts w:hAnsi="宋体"/>
          <w:szCs w:val="28"/>
          <w:u w:val="single"/>
        </w:rPr>
        <w:t>（</w:t>
      </w:r>
      <w:r>
        <w:rPr>
          <w:szCs w:val="28"/>
          <w:u w:val="single"/>
        </w:rPr>
        <w:t>2</w:t>
      </w:r>
      <w:r>
        <w:rPr>
          <w:rFonts w:hAnsi="宋体"/>
          <w:szCs w:val="28"/>
          <w:u w:val="single"/>
        </w:rPr>
        <w:t>）</w:t>
      </w:r>
      <w:r>
        <w:rPr>
          <w:rFonts w:hint="eastAsia" w:ascii="宋体" w:hAnsi="宋体" w:cs="宋体"/>
          <w:kern w:val="0"/>
          <w:u w:val="single"/>
        </w:rPr>
        <w:t>符合国家和行业有关技术标准与规范、规程</w:t>
      </w:r>
      <w:r>
        <w:rPr>
          <w:rFonts w:hAnsi="宋体"/>
          <w:szCs w:val="28"/>
          <w:u w:val="single"/>
        </w:rPr>
        <w:t>。</w:t>
      </w:r>
    </w:p>
    <w:p>
      <w:pPr>
        <w:ind w:firstLine="560"/>
        <w:rPr>
          <w:szCs w:val="28"/>
          <w:u w:val="single"/>
        </w:rPr>
      </w:pPr>
      <w:r>
        <w:rPr>
          <w:rFonts w:hAnsi="宋体"/>
          <w:szCs w:val="28"/>
          <w:u w:val="single"/>
        </w:rPr>
        <w:t>（</w:t>
      </w:r>
      <w:r>
        <w:rPr>
          <w:szCs w:val="28"/>
          <w:u w:val="single"/>
        </w:rPr>
        <w:t>3</w:t>
      </w:r>
      <w:r>
        <w:rPr>
          <w:rFonts w:hAnsi="宋体"/>
          <w:szCs w:val="28"/>
          <w:u w:val="single"/>
        </w:rPr>
        <w:t>）</w:t>
      </w:r>
      <w:r>
        <w:rPr>
          <w:rFonts w:hint="eastAsia" w:ascii="宋体" w:hAnsi="宋体" w:cs="宋体"/>
          <w:kern w:val="0"/>
          <w:u w:val="single"/>
        </w:rPr>
        <w:t>符合流域或区域的综合规划及水资源保护等专业规划</w:t>
      </w:r>
      <w:r>
        <w:rPr>
          <w:rFonts w:hAnsi="宋体"/>
          <w:szCs w:val="28"/>
          <w:u w:val="single"/>
        </w:rPr>
        <w:t>。</w:t>
      </w:r>
    </w:p>
    <w:p>
      <w:pPr>
        <w:ind w:firstLine="560"/>
        <w:rPr>
          <w:rFonts w:hAnsi="宋体"/>
          <w:szCs w:val="28"/>
          <w:u w:val="single"/>
        </w:rPr>
      </w:pPr>
      <w:r>
        <w:rPr>
          <w:rFonts w:hAnsi="宋体"/>
          <w:szCs w:val="28"/>
          <w:u w:val="single"/>
        </w:rPr>
        <w:t>（</w:t>
      </w:r>
      <w:r>
        <w:rPr>
          <w:szCs w:val="28"/>
          <w:u w:val="single"/>
        </w:rPr>
        <w:t>4</w:t>
      </w:r>
      <w:r>
        <w:rPr>
          <w:rFonts w:hAnsi="宋体"/>
          <w:szCs w:val="28"/>
          <w:u w:val="single"/>
        </w:rPr>
        <w:t>）符合水功能区管理要求。</w:t>
      </w:r>
    </w:p>
    <w:p>
      <w:pPr>
        <w:ind w:firstLine="560"/>
        <w:rPr>
          <w:rFonts w:hAnsi="宋体"/>
          <w:szCs w:val="28"/>
          <w:u w:val="single"/>
        </w:rPr>
      </w:pPr>
      <w:r>
        <w:rPr>
          <w:rFonts w:hAnsi="宋体"/>
          <w:szCs w:val="28"/>
          <w:u w:val="single"/>
        </w:rPr>
        <w:t>（</w:t>
      </w:r>
      <w:r>
        <w:rPr>
          <w:rFonts w:hint="eastAsia"/>
          <w:szCs w:val="28"/>
          <w:u w:val="single"/>
        </w:rPr>
        <w:t>5</w:t>
      </w:r>
      <w:r>
        <w:rPr>
          <w:rFonts w:hAnsi="宋体"/>
          <w:szCs w:val="28"/>
          <w:u w:val="single"/>
        </w:rPr>
        <w:t>）</w:t>
      </w:r>
      <w:r>
        <w:rPr>
          <w:rFonts w:hint="eastAsia" w:ascii="宋体" w:hAnsi="宋体" w:cs="宋体"/>
          <w:kern w:val="0"/>
          <w:u w:val="single"/>
        </w:rPr>
        <w:t>全面系统，重点突出</w:t>
      </w:r>
      <w:r>
        <w:rPr>
          <w:rFonts w:hAnsi="宋体"/>
          <w:szCs w:val="28"/>
          <w:u w:val="single"/>
        </w:rPr>
        <w:t>。</w:t>
      </w:r>
    </w:p>
    <w:p>
      <w:pPr>
        <w:ind w:firstLine="560"/>
        <w:rPr>
          <w:rFonts w:hAnsi="宋体"/>
          <w:strike w:val="0"/>
          <w:dstrike w:val="0"/>
          <w:szCs w:val="28"/>
          <w:u w:val="single"/>
        </w:rPr>
      </w:pPr>
      <w:r>
        <w:rPr>
          <w:rFonts w:hAnsi="宋体"/>
          <w:strike w:val="0"/>
          <w:dstrike w:val="0"/>
          <w:szCs w:val="28"/>
          <w:u w:val="single"/>
        </w:rPr>
        <w:t>（</w:t>
      </w:r>
      <w:r>
        <w:rPr>
          <w:rFonts w:hint="eastAsia"/>
          <w:strike w:val="0"/>
          <w:dstrike w:val="0"/>
          <w:szCs w:val="28"/>
          <w:u w:val="single"/>
        </w:rPr>
        <w:t>6</w:t>
      </w:r>
      <w:r>
        <w:rPr>
          <w:rFonts w:hAnsi="宋体"/>
          <w:strike w:val="0"/>
          <w:dstrike w:val="0"/>
          <w:szCs w:val="28"/>
          <w:u w:val="single"/>
        </w:rPr>
        <w:t>）</w:t>
      </w:r>
      <w:r>
        <w:rPr>
          <w:rFonts w:hint="eastAsia" w:ascii="宋体" w:hAnsi="宋体" w:cs="宋体"/>
          <w:strike w:val="0"/>
          <w:dstrike w:val="0"/>
          <w:kern w:val="0"/>
          <w:u w:val="single"/>
        </w:rPr>
        <w:t>客观公正，科学合理</w:t>
      </w:r>
      <w:r>
        <w:rPr>
          <w:rFonts w:hAnsi="宋体"/>
          <w:strike w:val="0"/>
          <w:dstrike w:val="0"/>
          <w:szCs w:val="28"/>
          <w:u w:val="single"/>
        </w:rPr>
        <w:t>。</w:t>
      </w:r>
    </w:p>
    <w:p>
      <w:pPr>
        <w:pStyle w:val="6"/>
        <w:bidi w:val="0"/>
        <w:jc w:val="both"/>
        <w:rPr>
          <w:rFonts w:hint="default"/>
          <w:lang w:val="en-US" w:eastAsia="zh-CN"/>
        </w:rPr>
      </w:pPr>
      <w:r>
        <w:rPr>
          <w:rFonts w:hint="eastAsia"/>
          <w:lang w:val="en-US" w:eastAsia="zh-CN"/>
        </w:rPr>
        <w:t>8.1.3</w:t>
      </w:r>
      <w:r>
        <w:rPr>
          <w:rFonts w:hint="default"/>
          <w:lang w:val="en-US" w:eastAsia="zh-CN"/>
        </w:rPr>
        <w:t>论证范围</w:t>
      </w:r>
    </w:p>
    <w:p>
      <w:pPr>
        <w:pStyle w:val="69"/>
        <w:bidi w:val="0"/>
        <w:rPr>
          <w:rFonts w:hint="default"/>
          <w:lang w:val="en-US" w:eastAsia="zh-CN"/>
        </w:rPr>
      </w:pPr>
      <w:r>
        <w:rPr>
          <w:rFonts w:hint="eastAsia"/>
          <w:lang w:val="en-US" w:eastAsia="zh-CN"/>
        </w:rPr>
        <w:t>8.1.3.1</w:t>
      </w:r>
      <w:r>
        <w:rPr>
          <w:rFonts w:hint="default"/>
          <w:lang w:val="en-US" w:eastAsia="zh-CN"/>
        </w:rPr>
        <w:t>.论证规模</w:t>
      </w:r>
    </w:p>
    <w:p>
      <w:pPr>
        <w:bidi w:val="0"/>
        <w:rPr>
          <w:rFonts w:hint="default"/>
          <w:u w:val="single"/>
          <w:lang w:val="en-US" w:eastAsia="zh-CN"/>
        </w:rPr>
      </w:pPr>
      <w:r>
        <w:rPr>
          <w:rFonts w:hint="eastAsia"/>
          <w:u w:val="single"/>
          <w:lang w:val="en-US" w:eastAsia="zh-CN"/>
        </w:rPr>
        <w:t>二期建成后</w:t>
      </w:r>
      <w:r>
        <w:rPr>
          <w:rFonts w:hint="default"/>
          <w:u w:val="single"/>
          <w:lang w:val="en-US" w:eastAsia="zh-CN"/>
        </w:rPr>
        <w:t>本项目污水处理厂的处理能力为</w:t>
      </w:r>
      <w:r>
        <w:rPr>
          <w:rFonts w:hint="eastAsia"/>
          <w:u w:val="single"/>
          <w:lang w:val="en-US" w:eastAsia="zh-CN"/>
        </w:rPr>
        <w:t>1000</w:t>
      </w:r>
      <w:r>
        <w:rPr>
          <w:rFonts w:hint="default"/>
          <w:u w:val="single"/>
          <w:lang w:val="en-US" w:eastAsia="zh-CN"/>
        </w:rPr>
        <w:t>m</w:t>
      </w:r>
      <w:r>
        <w:rPr>
          <w:rFonts w:hint="default"/>
          <w:u w:val="single"/>
          <w:vertAlign w:val="superscript"/>
          <w:lang w:val="en-US" w:eastAsia="zh-CN"/>
        </w:rPr>
        <w:t>3</w:t>
      </w:r>
      <w:r>
        <w:rPr>
          <w:rFonts w:hint="default"/>
          <w:u w:val="single"/>
          <w:lang w:val="en-US" w:eastAsia="zh-CN"/>
        </w:rPr>
        <w:t>/d，年排水量为</w:t>
      </w:r>
      <w:r>
        <w:rPr>
          <w:rFonts w:hint="eastAsia"/>
          <w:u w:val="single"/>
          <w:lang w:val="en-US" w:eastAsia="zh-CN"/>
        </w:rPr>
        <w:t>35.6</w:t>
      </w:r>
      <w:r>
        <w:rPr>
          <w:rFonts w:hint="default"/>
          <w:u w:val="single"/>
          <w:lang w:val="en-US" w:eastAsia="zh-CN"/>
        </w:rPr>
        <w:t>万m</w:t>
      </w:r>
      <w:r>
        <w:rPr>
          <w:rFonts w:hint="default"/>
          <w:u w:val="single"/>
          <w:vertAlign w:val="superscript"/>
          <w:lang w:val="en-US" w:eastAsia="zh-CN"/>
        </w:rPr>
        <w:t>3</w:t>
      </w:r>
      <w:r>
        <w:rPr>
          <w:rFonts w:hint="default"/>
          <w:u w:val="single"/>
          <w:lang w:val="en-US" w:eastAsia="zh-CN"/>
        </w:rPr>
        <w:t>/a。</w:t>
      </w:r>
    </w:p>
    <w:p>
      <w:pPr>
        <w:pStyle w:val="69"/>
        <w:bidi w:val="0"/>
        <w:jc w:val="both"/>
        <w:rPr>
          <w:rFonts w:hint="default"/>
          <w:lang w:val="en-US" w:eastAsia="zh-CN"/>
        </w:rPr>
      </w:pPr>
      <w:r>
        <w:rPr>
          <w:rFonts w:hint="eastAsia"/>
          <w:lang w:val="en-US" w:eastAsia="zh-CN"/>
        </w:rPr>
        <w:t>8.1.3.2</w:t>
      </w:r>
      <w:r>
        <w:rPr>
          <w:rFonts w:hint="default"/>
          <w:lang w:val="en-US" w:eastAsia="zh-CN"/>
        </w:rPr>
        <w:t>论证等级</w:t>
      </w:r>
    </w:p>
    <w:p>
      <w:pPr>
        <w:ind w:firstLine="560"/>
        <w:jc w:val="both"/>
        <w:rPr>
          <w:rFonts w:hint="eastAsia"/>
          <w:u w:val="none"/>
        </w:rPr>
      </w:pPr>
      <w:r>
        <w:rPr>
          <w:u w:val="none"/>
        </w:rPr>
        <w:t>入河排污口设置论证工作等级由各分类指标等级的最高级别确定，分类等级由地区水资源与水生态状况、水资源利用状况、水域管理要求、污染物排放类型、废污水排放量等分类指标的最高级别确定。入河排污口设置论证分类分级指标见下表</w:t>
      </w:r>
      <w:r>
        <w:rPr>
          <w:rFonts w:hint="eastAsia"/>
          <w:u w:val="none"/>
          <w:lang w:val="en-US" w:eastAsia="zh-CN"/>
        </w:rPr>
        <w:t>8</w:t>
      </w:r>
      <w:r>
        <w:rPr>
          <w:u w:val="none"/>
        </w:rPr>
        <w:t>-1</w:t>
      </w:r>
      <w:r>
        <w:rPr>
          <w:rFonts w:hint="eastAsia"/>
          <w:u w:val="none"/>
        </w:rPr>
        <w:t>。</w:t>
      </w:r>
    </w:p>
    <w:p>
      <w:pPr>
        <w:pStyle w:val="122"/>
        <w:rPr>
          <w:rFonts w:hint="eastAsia"/>
          <w:sz w:val="21"/>
          <w:szCs w:val="21"/>
          <w:u w:val="none"/>
        </w:rPr>
      </w:pPr>
      <w:r>
        <w:rPr>
          <w:rFonts w:hint="eastAsia"/>
          <w:sz w:val="21"/>
          <w:szCs w:val="21"/>
          <w:u w:val="none"/>
        </w:rPr>
        <w:t>表</w:t>
      </w:r>
      <w:r>
        <w:rPr>
          <w:rFonts w:hint="eastAsia"/>
          <w:sz w:val="21"/>
          <w:szCs w:val="21"/>
          <w:u w:val="none"/>
          <w:lang w:val="en-US" w:eastAsia="zh-CN"/>
        </w:rPr>
        <w:t>8.1</w:t>
      </w:r>
      <w:r>
        <w:rPr>
          <w:rFonts w:hint="eastAsia"/>
          <w:sz w:val="21"/>
          <w:szCs w:val="21"/>
          <w:u w:val="none"/>
        </w:rPr>
        <w:t>-1  入河排污口设置论证分类分级指标</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275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509" w:type="dxa"/>
            <w:vMerge w:val="restart"/>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分类指标</w:t>
            </w:r>
          </w:p>
        </w:tc>
        <w:tc>
          <w:tcPr>
            <w:tcW w:w="7013" w:type="dxa"/>
            <w:gridSpan w:val="3"/>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509" w:type="dxa"/>
            <w:vMerge w:val="continue"/>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p>
        </w:tc>
        <w:tc>
          <w:tcPr>
            <w:tcW w:w="275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一级</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二级</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509"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水功能区管理要求</w:t>
            </w:r>
          </w:p>
        </w:tc>
        <w:tc>
          <w:tcPr>
            <w:tcW w:w="275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涉及一级水功能区中的保护区，保留区，缓冲区及二级水功能区中饮用水水源区</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涉及二级水功能区中的工业、农业、渔业、景观娱乐用水区</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涉及二级水功能区中的排污控制区和过度区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509"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水功能区水域纳污现状</w:t>
            </w:r>
          </w:p>
        </w:tc>
        <w:tc>
          <w:tcPr>
            <w:tcW w:w="275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现状污染物入河数量超出水功能区水域纳污能力</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现状污染物入河量接近水功能区水域纳污能力</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现状污染物入河量远小于水功能区水域纳污能力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水生态现状</w:t>
            </w:r>
          </w:p>
        </w:tc>
        <w:tc>
          <w:tcPr>
            <w:tcW w:w="275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现状生态问题敏感；相关水域现状排污对水文情势和水生态环境产生明显影响，同时存在水温或水体富营养化影响问题</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现状生态问题较为敏感；相关水域现状排污对水文情势和水生态环境产生一定影响</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现状无敏感生态问题；相关水域现状排污对水生态环境无影响或影响轻微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污染物排放种类</w:t>
            </w:r>
          </w:p>
        </w:tc>
        <w:tc>
          <w:tcPr>
            <w:tcW w:w="275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所排放废污水含有毒有机物、重金属、放射性或持久性化学污染物</w:t>
            </w:r>
          </w:p>
        </w:tc>
        <w:tc>
          <w:tcPr>
            <w:tcW w:w="213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所排放废污水含有多种可降解化学污染物</w:t>
            </w:r>
          </w:p>
        </w:tc>
        <w:tc>
          <w:tcPr>
            <w:tcW w:w="213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所排放废污水有少量可降解的污染物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废污水排放流量（缺水地区）（m</w:t>
            </w:r>
            <w:r>
              <w:rPr>
                <w:rFonts w:hint="eastAsia" w:ascii="Times New Roman" w:hAnsi="Times New Roman" w:eastAsia="宋体" w:cs="Times New Roman"/>
                <w:sz w:val="21"/>
                <w:szCs w:val="21"/>
                <w:u w:val="none"/>
                <w:vertAlign w:val="superscript"/>
              </w:rPr>
              <w:t>3</w:t>
            </w:r>
            <w:r>
              <w:rPr>
                <w:rFonts w:hint="eastAsia" w:ascii="Times New Roman" w:hAnsi="Times New Roman" w:eastAsia="宋体" w:cs="Times New Roman"/>
                <w:sz w:val="21"/>
                <w:szCs w:val="21"/>
                <w:u w:val="none"/>
              </w:rPr>
              <w:t>/h）</w:t>
            </w:r>
          </w:p>
        </w:tc>
        <w:tc>
          <w:tcPr>
            <w:tcW w:w="275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≥1000（300）</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1000~500（300~100）</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≤500（100）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年度废污水排放量</w:t>
            </w:r>
          </w:p>
        </w:tc>
        <w:tc>
          <w:tcPr>
            <w:tcW w:w="275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大于200万吨</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20~200万吨</w:t>
            </w:r>
          </w:p>
        </w:tc>
        <w:tc>
          <w:tcPr>
            <w:tcW w:w="2131" w:type="dxa"/>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none"/>
              </w:rPr>
            </w:pPr>
            <w:r>
              <w:rPr>
                <w:rFonts w:hint="eastAsia" w:ascii="Times New Roman" w:hAnsi="Times New Roman" w:eastAsia="宋体" w:cs="Times New Roman"/>
                <w:sz w:val="21"/>
                <w:szCs w:val="21"/>
                <w:u w:val="none"/>
              </w:rPr>
              <w:t>小于20万吨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509"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区域水资源状况</w:t>
            </w:r>
          </w:p>
        </w:tc>
        <w:tc>
          <w:tcPr>
            <w:tcW w:w="275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用水紧缺，取用大量达到或超出所分配用水指标</w:t>
            </w:r>
          </w:p>
        </w:tc>
        <w:tc>
          <w:tcPr>
            <w:tcW w:w="213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水资源量一般，取用水小于或接近分配用水指标</w:t>
            </w:r>
          </w:p>
        </w:tc>
        <w:tc>
          <w:tcPr>
            <w:tcW w:w="213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水资源丰沛，取用水量远小于所分配用水指标</w:t>
            </w:r>
          </w:p>
        </w:tc>
      </w:tr>
    </w:tbl>
    <w:p>
      <w:pPr>
        <w:pStyle w:val="122"/>
        <w:rPr>
          <w:sz w:val="21"/>
          <w:szCs w:val="21"/>
          <w:u w:val="none"/>
        </w:rPr>
      </w:pPr>
      <w:r>
        <w:rPr>
          <w:rFonts w:hint="eastAsia"/>
          <w:sz w:val="21"/>
          <w:szCs w:val="21"/>
          <w:u w:val="none"/>
        </w:rPr>
        <w:t>表</w:t>
      </w:r>
      <w:r>
        <w:rPr>
          <w:rFonts w:hint="eastAsia"/>
          <w:sz w:val="21"/>
          <w:szCs w:val="21"/>
          <w:u w:val="none"/>
          <w:lang w:val="en-US" w:eastAsia="zh-CN"/>
        </w:rPr>
        <w:t>8.1-</w:t>
      </w:r>
      <w:r>
        <w:rPr>
          <w:rFonts w:hint="eastAsia"/>
          <w:sz w:val="21"/>
          <w:szCs w:val="21"/>
          <w:u w:val="none"/>
        </w:rPr>
        <w:t>2    入河排污口设置论证分类分级指标</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分类指标</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本项目情况</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水功能区管理要求</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涉及湖南省水功能区划二级区划“</w:t>
            </w:r>
            <w:r>
              <w:rPr>
                <w:rFonts w:hint="eastAsia" w:ascii="Times New Roman" w:hAnsi="Times New Roman" w:eastAsia="宋体" w:cs="Times New Roman"/>
                <w:sz w:val="21"/>
                <w:szCs w:val="21"/>
                <w:u w:val="none"/>
                <w:lang w:val="en-US" w:eastAsia="zh-CN"/>
              </w:rPr>
              <w:t>景观娱乐用水区</w:t>
            </w:r>
            <w:r>
              <w:rPr>
                <w:rFonts w:hint="eastAsia" w:ascii="Times New Roman" w:hAnsi="Times New Roman" w:eastAsia="宋体" w:cs="Times New Roman"/>
                <w:sz w:val="21"/>
                <w:szCs w:val="21"/>
                <w:u w:val="none"/>
              </w:rPr>
              <w:t>”</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水功能区水域纳污现状</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现状污染物入河量远小于水功能区水域纳污能力</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lang w:val="en-US" w:eastAsia="zh-CN"/>
              </w:rPr>
              <w:t>三</w:t>
            </w:r>
            <w:r>
              <w:rPr>
                <w:rFonts w:hint="eastAsia" w:ascii="Times New Roman" w:hAnsi="Times New Roman" w:eastAsia="宋体" w:cs="Times New Roman"/>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水生态现状</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现状无敏感生态问题；相关水域现状排污对水生态环境无影响或影响轻微</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污染物排放种类</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所排放废污水有少量可降解的污染物如：CODcr、BOD</w:t>
            </w:r>
            <w:r>
              <w:rPr>
                <w:rFonts w:hint="eastAsia" w:ascii="Times New Roman" w:hAnsi="Times New Roman" w:eastAsia="宋体" w:cs="Times New Roman"/>
                <w:sz w:val="21"/>
                <w:szCs w:val="21"/>
                <w:u w:val="none"/>
                <w:vertAlign w:val="subscript"/>
              </w:rPr>
              <w:t>5</w:t>
            </w:r>
            <w:r>
              <w:rPr>
                <w:rFonts w:hint="eastAsia" w:ascii="Times New Roman" w:hAnsi="Times New Roman" w:eastAsia="宋体" w:cs="Times New Roman"/>
                <w:sz w:val="21"/>
                <w:szCs w:val="21"/>
                <w:u w:val="none"/>
              </w:rPr>
              <w:t>、SS、NH</w:t>
            </w:r>
            <w:r>
              <w:rPr>
                <w:rFonts w:hint="eastAsia" w:ascii="Times New Roman" w:hAnsi="Times New Roman" w:eastAsia="宋体" w:cs="Times New Roman"/>
                <w:sz w:val="21"/>
                <w:szCs w:val="21"/>
                <w:u w:val="none"/>
                <w:vertAlign w:val="subscript"/>
              </w:rPr>
              <w:t>3</w:t>
            </w:r>
            <w:r>
              <w:rPr>
                <w:rFonts w:hint="eastAsia" w:ascii="Times New Roman" w:hAnsi="Times New Roman" w:eastAsia="宋体" w:cs="Times New Roman"/>
                <w:sz w:val="21"/>
                <w:szCs w:val="21"/>
                <w:u w:val="none"/>
              </w:rPr>
              <w:t>-N</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lang w:val="en-US" w:eastAsia="zh-CN"/>
              </w:rPr>
              <w:t>三</w:t>
            </w:r>
            <w:r>
              <w:rPr>
                <w:rFonts w:hint="eastAsia" w:ascii="Times New Roman" w:hAnsi="Times New Roman" w:eastAsia="宋体" w:cs="Times New Roman"/>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废污水排放流量（缺水地区）（m</w:t>
            </w:r>
            <w:r>
              <w:rPr>
                <w:rFonts w:hint="eastAsia" w:ascii="Times New Roman" w:hAnsi="Times New Roman" w:eastAsia="宋体" w:cs="Times New Roman"/>
                <w:sz w:val="21"/>
                <w:szCs w:val="21"/>
                <w:u w:val="none"/>
                <w:vertAlign w:val="superscript"/>
              </w:rPr>
              <w:t>3</w:t>
            </w:r>
            <w:r>
              <w:rPr>
                <w:rFonts w:hint="eastAsia" w:ascii="Times New Roman" w:hAnsi="Times New Roman" w:eastAsia="宋体" w:cs="Times New Roman"/>
                <w:sz w:val="21"/>
                <w:szCs w:val="21"/>
                <w:u w:val="none"/>
              </w:rPr>
              <w:t>/h）</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本流域不属于缺水地区</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不分级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840"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年度废污水排放量</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lang w:val="en-US" w:eastAsia="zh-CN"/>
              </w:rPr>
              <w:t>35.6</w:t>
            </w:r>
            <w:r>
              <w:rPr>
                <w:rFonts w:hint="eastAsia" w:ascii="Times New Roman" w:hAnsi="Times New Roman" w:eastAsia="宋体" w:cs="Times New Roman"/>
                <w:sz w:val="21"/>
                <w:szCs w:val="21"/>
                <w:u w:val="none"/>
              </w:rPr>
              <w:t>万</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lang w:val="en-US" w:eastAsia="zh-CN"/>
              </w:rPr>
              <w:t>三</w:t>
            </w:r>
            <w:r>
              <w:rPr>
                <w:rFonts w:hint="eastAsia" w:ascii="Times New Roman" w:hAnsi="Times New Roman" w:eastAsia="宋体" w:cs="Times New Roman"/>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2840"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区域水资源状况</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水资源丰沛，取用水量远小于所分配用水指标</w:t>
            </w:r>
          </w:p>
        </w:tc>
        <w:tc>
          <w:tcPr>
            <w:tcW w:w="2841" w:type="dxa"/>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u w:val="none"/>
              </w:rPr>
            </w:pPr>
            <w:r>
              <w:rPr>
                <w:rFonts w:hint="eastAsia" w:ascii="Times New Roman" w:hAnsi="Times New Roman" w:eastAsia="宋体" w:cs="Times New Roman"/>
                <w:sz w:val="21"/>
                <w:szCs w:val="21"/>
                <w:u w:val="none"/>
              </w:rPr>
              <w:t>三级</w:t>
            </w:r>
          </w:p>
        </w:tc>
      </w:tr>
    </w:tbl>
    <w:p>
      <w:pPr>
        <w:rPr>
          <w:rFonts w:hint="eastAsia"/>
        </w:rPr>
      </w:pPr>
      <w:r>
        <w:rPr>
          <w:rFonts w:hint="eastAsia"/>
        </w:rPr>
        <w:t>综合上述分析，最终确定</w:t>
      </w:r>
      <w:r>
        <w:rPr>
          <w:rFonts w:hint="eastAsia"/>
          <w:lang w:eastAsia="zh-CN"/>
        </w:rPr>
        <w:t>湖南</w:t>
      </w:r>
      <w:r>
        <w:rPr>
          <w:rFonts w:hint="eastAsia"/>
        </w:rPr>
        <w:t>永顺</w:t>
      </w:r>
      <w:r>
        <w:rPr>
          <w:rFonts w:hint="eastAsia"/>
          <w:lang w:eastAsia="zh-CN"/>
        </w:rPr>
        <w:t>经济开发区猛洞河产业园</w:t>
      </w:r>
      <w:r>
        <w:rPr>
          <w:rFonts w:hint="eastAsia"/>
        </w:rPr>
        <w:t>污水处理厂入河排污口设置论证等级为二级。</w:t>
      </w:r>
    </w:p>
    <w:p>
      <w:pPr>
        <w:pStyle w:val="69"/>
        <w:bidi w:val="0"/>
        <w:rPr>
          <w:rFonts w:hint="default"/>
          <w:lang w:val="en-US" w:eastAsia="zh-CN"/>
        </w:rPr>
      </w:pPr>
      <w:r>
        <w:rPr>
          <w:rFonts w:hint="eastAsia"/>
          <w:lang w:val="en-US" w:eastAsia="zh-CN"/>
        </w:rPr>
        <w:t>8.1.3.3</w:t>
      </w:r>
      <w:r>
        <w:rPr>
          <w:rFonts w:hint="default"/>
          <w:lang w:val="en-US" w:eastAsia="zh-CN"/>
        </w:rPr>
        <w:t>论证</w:t>
      </w:r>
      <w:r>
        <w:rPr>
          <w:rFonts w:hint="eastAsia"/>
          <w:lang w:val="en-US" w:eastAsia="zh-CN"/>
        </w:rPr>
        <w:t>范围</w:t>
      </w:r>
    </w:p>
    <w:p>
      <w:pPr>
        <w:jc w:val="both"/>
        <w:rPr>
          <w:rFonts w:hint="eastAsia"/>
        </w:rPr>
      </w:pPr>
      <w:r>
        <w:rPr>
          <w:rFonts w:hint="eastAsia"/>
        </w:rPr>
        <w:t>永顺</w:t>
      </w:r>
      <w:r>
        <w:rPr>
          <w:rFonts w:hint="eastAsia"/>
          <w:lang w:eastAsia="zh-CN"/>
        </w:rPr>
        <w:t>经济开发区猛洞河产业园</w:t>
      </w:r>
      <w:r>
        <w:rPr>
          <w:rFonts w:hint="eastAsia"/>
        </w:rPr>
        <w:t>污水处理厂尾水通过</w:t>
      </w:r>
      <w:r>
        <w:rPr>
          <w:rFonts w:hint="eastAsia"/>
          <w:lang w:val="en-US" w:eastAsia="zh-CN"/>
        </w:rPr>
        <w:t>2050</w:t>
      </w:r>
      <w:r>
        <w:rPr>
          <w:rFonts w:hint="eastAsia"/>
        </w:rPr>
        <w:t>米管道后排入猛洞河，排口位置在项目污水处理厂厂址东侧，纳污河段属于景观娱乐用水区，排污口不涉及到饮用水源保护区，根据</w:t>
      </w:r>
      <w:r>
        <w:rPr>
          <w:rFonts w:hint="eastAsia"/>
          <w:lang w:eastAsia="zh-CN"/>
        </w:rPr>
        <w:t>永顺经济开发区猛洞河产业园</w:t>
      </w:r>
      <w:r>
        <w:rPr>
          <w:rFonts w:hint="eastAsia"/>
        </w:rPr>
        <w:t>区对猛洞河水质的保护目标，确定</w:t>
      </w:r>
      <w:r>
        <w:rPr>
          <w:rFonts w:hint="eastAsia"/>
          <w:lang w:eastAsia="zh-CN"/>
        </w:rPr>
        <w:t>永顺经济开发区猛洞河产业园</w:t>
      </w:r>
      <w:r>
        <w:rPr>
          <w:rFonts w:hint="eastAsia"/>
        </w:rPr>
        <w:t>污水处理厂排放尾水应达到《城镇污水处理厂污染物排放标准》（GB18918-2002）一级A标准。</w:t>
      </w:r>
    </w:p>
    <w:p>
      <w:pPr>
        <w:pStyle w:val="15"/>
        <w:ind w:firstLine="480"/>
        <w:jc w:val="both"/>
        <w:rPr>
          <w:rFonts w:hint="eastAsia" w:ascii="Times New Roman" w:hAnsi="Times New Roman"/>
          <w:color w:val="000000"/>
          <w:kern w:val="0"/>
          <w:u w:val="single"/>
        </w:rPr>
      </w:pPr>
      <w:r>
        <w:rPr>
          <w:rFonts w:hint="eastAsia"/>
          <w:u w:val="single"/>
          <w:lang w:val="en-US" w:eastAsia="zh-CN"/>
        </w:rPr>
        <w:t>本次排污口位于</w:t>
      </w:r>
      <w:r>
        <w:rPr>
          <w:rFonts w:hint="eastAsia"/>
          <w:u w:val="single"/>
        </w:rPr>
        <w:t>《湘西土家族苗族自治州水功能区划》一级区划的“</w:t>
      </w:r>
      <w:r>
        <w:rPr>
          <w:rFonts w:hint="eastAsia"/>
          <w:u w:val="single"/>
          <w:lang w:val="en-US" w:eastAsia="zh-CN"/>
        </w:rPr>
        <w:t>猛洞河永顺开发利用区</w:t>
      </w:r>
      <w:r>
        <w:rPr>
          <w:rFonts w:hint="eastAsia"/>
          <w:u w:val="single"/>
        </w:rPr>
        <w:t>”、二级区划的“</w:t>
      </w:r>
      <w:r>
        <w:rPr>
          <w:rFonts w:hint="eastAsia"/>
          <w:u w:val="single"/>
          <w:lang w:val="en-US" w:eastAsia="zh-CN"/>
        </w:rPr>
        <w:t>猛洞河永顺景观娱乐用水区</w:t>
      </w:r>
      <w:r>
        <w:rPr>
          <w:rFonts w:hint="eastAsia"/>
          <w:u w:val="single"/>
        </w:rPr>
        <w:t>”</w:t>
      </w:r>
      <w:r>
        <w:rPr>
          <w:rFonts w:hint="eastAsia"/>
          <w:u w:val="single"/>
          <w:lang w:eastAsia="zh-CN"/>
        </w:rPr>
        <w:t>，</w:t>
      </w:r>
      <w:r>
        <w:rPr>
          <w:rFonts w:hint="eastAsia" w:ascii="Times New Roman" w:hAnsi="Times New Roman"/>
          <w:color w:val="000000"/>
          <w:kern w:val="0"/>
          <w:u w:val="single"/>
          <w:lang w:eastAsia="zh-CN"/>
        </w:rPr>
        <w:t>全长</w:t>
      </w:r>
      <w:r>
        <w:rPr>
          <w:rFonts w:hint="eastAsia" w:ascii="Times New Roman" w:hAnsi="Times New Roman"/>
          <w:color w:val="000000"/>
          <w:kern w:val="0"/>
          <w:u w:val="single"/>
          <w:lang w:val="en-US" w:eastAsia="zh-CN"/>
        </w:rPr>
        <w:t>47</w:t>
      </w:r>
      <w:r>
        <w:rPr>
          <w:rFonts w:hint="eastAsia" w:ascii="Times New Roman" w:hAnsi="Times New Roman"/>
          <w:color w:val="000000"/>
          <w:kern w:val="0"/>
          <w:u w:val="single"/>
          <w:lang w:eastAsia="zh-CN"/>
        </w:rPr>
        <w:t>km，考虑永顺</w:t>
      </w:r>
      <w:r>
        <w:rPr>
          <w:rFonts w:hint="eastAsia"/>
          <w:color w:val="000000"/>
          <w:kern w:val="0"/>
          <w:u w:val="single"/>
          <w:lang w:eastAsia="zh-CN"/>
        </w:rPr>
        <w:t>经济开发区</w:t>
      </w:r>
      <w:r>
        <w:rPr>
          <w:rFonts w:hint="eastAsia" w:ascii="Times New Roman" w:hAnsi="Times New Roman"/>
          <w:color w:val="000000"/>
          <w:kern w:val="0"/>
          <w:u w:val="single"/>
          <w:lang w:eastAsia="zh-CN"/>
        </w:rPr>
        <w:t>猛洞河产业园</w:t>
      </w:r>
      <w:r>
        <w:rPr>
          <w:rFonts w:ascii="Times New Roman" w:hAnsi="Times New Roman"/>
          <w:color w:val="000000"/>
          <w:u w:val="single"/>
        </w:rPr>
        <w:t>污水处理厂</w:t>
      </w:r>
      <w:r>
        <w:rPr>
          <w:rFonts w:hint="eastAsia" w:ascii="Times New Roman" w:hAnsi="Times New Roman"/>
          <w:color w:val="000000"/>
          <w:u w:val="single"/>
        </w:rPr>
        <w:t>排污口距离下游</w:t>
      </w:r>
      <w:r>
        <w:rPr>
          <w:rFonts w:hint="eastAsia" w:ascii="Times New Roman" w:hAnsi="Times New Roman"/>
          <w:color w:val="000000"/>
          <w:u w:val="single"/>
          <w:lang w:val="en-US" w:eastAsia="zh-CN"/>
        </w:rPr>
        <w:t>海螺电站（国控断面）</w:t>
      </w:r>
      <w:r>
        <w:rPr>
          <w:rFonts w:hint="eastAsia" w:ascii="Times New Roman" w:hAnsi="Times New Roman"/>
          <w:color w:val="000000"/>
          <w:u w:val="single"/>
        </w:rPr>
        <w:t>约1</w:t>
      </w:r>
      <w:r>
        <w:rPr>
          <w:rFonts w:hint="eastAsia" w:ascii="Times New Roman" w:hAnsi="Times New Roman"/>
          <w:color w:val="000000"/>
          <w:u w:val="single"/>
          <w:lang w:val="en-US" w:eastAsia="zh-CN"/>
        </w:rPr>
        <w:t>50</w:t>
      </w:r>
      <w:r>
        <w:rPr>
          <w:rFonts w:ascii="Times New Roman" w:hAnsi="Times New Roman"/>
          <w:color w:val="000000"/>
          <w:u w:val="single"/>
        </w:rPr>
        <w:t>00m</w:t>
      </w:r>
      <w:r>
        <w:rPr>
          <w:rFonts w:hint="eastAsia" w:ascii="Times New Roman" w:hAnsi="Times New Roman"/>
          <w:color w:val="000000"/>
          <w:u w:val="single"/>
          <w:lang w:eastAsia="zh-CN"/>
        </w:rPr>
        <w:t>，</w:t>
      </w:r>
      <w:r>
        <w:rPr>
          <w:rFonts w:hint="eastAsia" w:ascii="Times New Roman" w:hAnsi="Times New Roman" w:cs="宋体"/>
          <w:color w:val="000000"/>
          <w:kern w:val="0"/>
          <w:u w:val="single"/>
          <w:lang w:eastAsia="zh-CN"/>
        </w:rPr>
        <w:t>故</w:t>
      </w:r>
      <w:r>
        <w:rPr>
          <w:rFonts w:ascii="Times New Roman" w:hAnsi="Times New Roman" w:cs="Times New Roman"/>
          <w:color w:val="000000"/>
          <w:kern w:val="0"/>
          <w:sz w:val="24"/>
          <w:szCs w:val="24"/>
          <w:u w:val="single"/>
          <w:lang w:val="en-US" w:eastAsia="zh-CN" w:bidi="ar-SA"/>
        </w:rPr>
        <w:t>水资源开发利用现状分析范围、水功能区纳污能力分析范围</w:t>
      </w:r>
      <w:r>
        <w:rPr>
          <w:rFonts w:hint="eastAsia" w:ascii="Times New Roman" w:hAnsi="Times New Roman" w:cs="Times New Roman"/>
          <w:color w:val="000000"/>
          <w:kern w:val="0"/>
          <w:sz w:val="24"/>
          <w:szCs w:val="24"/>
          <w:u w:val="single"/>
          <w:lang w:val="en-US" w:eastAsia="zh-CN" w:bidi="ar-SA"/>
        </w:rPr>
        <w:t>为</w:t>
      </w:r>
      <w:r>
        <w:rPr>
          <w:rFonts w:hint="eastAsia" w:ascii="Times New Roman" w:hAnsi="Times New Roman"/>
          <w:color w:val="000000"/>
          <w:kern w:val="0"/>
          <w:u w:val="single"/>
        </w:rPr>
        <w:t>：</w:t>
      </w:r>
      <w:r>
        <w:rPr>
          <w:rFonts w:hint="eastAsia" w:ascii="Times New Roman" w:hAnsi="Times New Roman"/>
          <w:color w:val="000000"/>
          <w:u w:val="single"/>
          <w:lang w:val="en-US" w:eastAsia="zh-CN"/>
        </w:rPr>
        <w:t>猛洞河</w:t>
      </w:r>
      <w:r>
        <w:rPr>
          <w:rFonts w:hint="eastAsia" w:ascii="Times New Roman" w:hAnsi="Times New Roman"/>
          <w:color w:val="000000"/>
          <w:kern w:val="0"/>
          <w:u w:val="single"/>
        </w:rPr>
        <w:t>上游</w:t>
      </w:r>
      <w:r>
        <w:rPr>
          <w:rFonts w:hint="eastAsia" w:ascii="Times New Roman" w:hAnsi="Times New Roman"/>
          <w:color w:val="000000"/>
          <w:kern w:val="0"/>
          <w:u w:val="single"/>
          <w:lang w:val="en-US" w:eastAsia="zh-CN"/>
        </w:rPr>
        <w:t>7.5k</w:t>
      </w:r>
      <w:r>
        <w:rPr>
          <w:rFonts w:hint="eastAsia" w:ascii="Times New Roman" w:hAnsi="Times New Roman"/>
          <w:color w:val="000000"/>
          <w:kern w:val="0"/>
          <w:u w:val="single"/>
        </w:rPr>
        <w:t>m至排污口下游</w:t>
      </w:r>
      <w:r>
        <w:rPr>
          <w:rFonts w:hint="eastAsia" w:ascii="Times New Roman" w:hAnsi="Times New Roman"/>
          <w:color w:val="000000"/>
          <w:kern w:val="0"/>
          <w:u w:val="single"/>
          <w:lang w:val="en-US" w:eastAsia="zh-CN"/>
        </w:rPr>
        <w:t>39.5k</w:t>
      </w:r>
      <w:r>
        <w:rPr>
          <w:rFonts w:hint="eastAsia" w:ascii="Times New Roman" w:hAnsi="Times New Roman"/>
          <w:color w:val="000000"/>
          <w:kern w:val="0"/>
          <w:u w:val="single"/>
        </w:rPr>
        <w:t>m</w:t>
      </w:r>
      <w:r>
        <w:rPr>
          <w:rFonts w:hint="eastAsia" w:ascii="Times New Roman" w:hAnsi="Times New Roman"/>
          <w:color w:val="000000"/>
          <w:kern w:val="0"/>
          <w:u w:val="single"/>
          <w:lang w:eastAsia="zh-CN"/>
        </w:rPr>
        <w:t>，</w:t>
      </w:r>
      <w:r>
        <w:rPr>
          <w:rFonts w:hint="eastAsia" w:ascii="Times New Roman" w:hAnsi="Times New Roman"/>
          <w:color w:val="000000"/>
          <w:kern w:val="0"/>
          <w:u w:val="single"/>
        </w:rPr>
        <w:t>评价范围总长</w:t>
      </w:r>
      <w:r>
        <w:rPr>
          <w:rFonts w:hint="eastAsia" w:ascii="Times New Roman" w:hAnsi="Times New Roman"/>
          <w:color w:val="000000"/>
          <w:kern w:val="0"/>
          <w:u w:val="single"/>
          <w:lang w:val="en-US" w:eastAsia="zh-CN"/>
        </w:rPr>
        <w:t>47</w:t>
      </w:r>
      <w:r>
        <w:rPr>
          <w:rFonts w:ascii="Times New Roman" w:hAnsi="Times New Roman"/>
          <w:color w:val="000000"/>
          <w:kern w:val="0"/>
          <w:u w:val="single"/>
        </w:rPr>
        <w:t>km</w:t>
      </w:r>
      <w:r>
        <w:rPr>
          <w:rFonts w:hint="eastAsia" w:ascii="Times New Roman" w:hAnsi="Times New Roman"/>
          <w:color w:val="000000"/>
          <w:kern w:val="0"/>
          <w:u w:val="single"/>
        </w:rPr>
        <w:t>。</w:t>
      </w:r>
    </w:p>
    <w:p>
      <w:pPr>
        <w:pStyle w:val="15"/>
        <w:ind w:firstLine="480"/>
        <w:jc w:val="both"/>
        <w:rPr>
          <w:rFonts w:hint="eastAsia" w:ascii="Times New Roman" w:hAnsi="Times New Roman"/>
          <w:color w:val="000000"/>
          <w:kern w:val="0"/>
          <w:u w:val="single"/>
        </w:rPr>
      </w:pPr>
      <w:r>
        <w:rPr>
          <w:rFonts w:ascii="Times New Roman" w:hAnsi="Times New Roman" w:cs="Times New Roman"/>
          <w:color w:val="000000"/>
          <w:kern w:val="0"/>
          <w:sz w:val="24"/>
          <w:szCs w:val="24"/>
          <w:u w:val="single"/>
          <w:lang w:val="en-US" w:eastAsia="zh-CN" w:bidi="ar-SA"/>
        </w:rPr>
        <w:t>排污影响分析范围</w:t>
      </w:r>
      <w:r>
        <w:rPr>
          <w:rFonts w:hint="eastAsia" w:ascii="Times New Roman" w:hAnsi="Times New Roman" w:cs="Times New Roman"/>
          <w:color w:val="000000"/>
          <w:kern w:val="0"/>
          <w:sz w:val="24"/>
          <w:szCs w:val="24"/>
          <w:u w:val="single"/>
          <w:lang w:val="en-US" w:eastAsia="zh-CN" w:bidi="ar-SA"/>
        </w:rPr>
        <w:t>为</w:t>
      </w:r>
      <w:r>
        <w:rPr>
          <w:rFonts w:hint="eastAsia" w:ascii="Times New Roman" w:hAnsi="Times New Roman"/>
          <w:color w:val="000000"/>
          <w:kern w:val="0"/>
          <w:u w:val="single"/>
        </w:rPr>
        <w:t>：排污口</w:t>
      </w:r>
      <w:r>
        <w:rPr>
          <w:rFonts w:hint="eastAsia" w:ascii="Times New Roman" w:hAnsi="Times New Roman"/>
          <w:color w:val="000000"/>
          <w:kern w:val="0"/>
          <w:u w:val="single"/>
          <w:lang w:val="en-US" w:eastAsia="zh-CN"/>
        </w:rPr>
        <w:t>猛洞河</w:t>
      </w:r>
      <w:r>
        <w:rPr>
          <w:rFonts w:hint="eastAsia" w:ascii="Times New Roman" w:hAnsi="Times New Roman"/>
          <w:color w:val="000000"/>
          <w:kern w:val="0"/>
          <w:u w:val="single"/>
        </w:rPr>
        <w:t>上游500m至排污口下游</w:t>
      </w:r>
      <w:r>
        <w:rPr>
          <w:rFonts w:hint="eastAsia" w:ascii="Times New Roman" w:hAnsi="Times New Roman"/>
          <w:color w:val="000000"/>
          <w:kern w:val="0"/>
          <w:u w:val="single"/>
          <w:lang w:val="en-US" w:eastAsia="zh-CN"/>
        </w:rPr>
        <w:t>15000</w:t>
      </w:r>
      <w:r>
        <w:rPr>
          <w:rFonts w:hint="eastAsia" w:ascii="Times New Roman" w:hAnsi="Times New Roman"/>
          <w:color w:val="000000"/>
          <w:kern w:val="0"/>
          <w:u w:val="single"/>
        </w:rPr>
        <w:t>m</w:t>
      </w:r>
      <w:r>
        <w:rPr>
          <w:rFonts w:hint="eastAsia" w:ascii="Times New Roman" w:hAnsi="Times New Roman"/>
          <w:color w:val="000000"/>
          <w:kern w:val="0"/>
          <w:u w:val="single"/>
          <w:lang w:eastAsia="zh-CN"/>
        </w:rPr>
        <w:t>，</w:t>
      </w:r>
      <w:r>
        <w:rPr>
          <w:rFonts w:hint="eastAsia" w:ascii="Times New Roman" w:hAnsi="Times New Roman"/>
          <w:color w:val="000000"/>
          <w:kern w:val="0"/>
          <w:u w:val="single"/>
        </w:rPr>
        <w:t>评价范围总长</w:t>
      </w:r>
      <w:r>
        <w:rPr>
          <w:rFonts w:hint="eastAsia" w:ascii="Times New Roman" w:hAnsi="Times New Roman"/>
          <w:color w:val="000000"/>
          <w:kern w:val="0"/>
          <w:u w:val="single"/>
          <w:lang w:val="en-US" w:eastAsia="zh-CN"/>
        </w:rPr>
        <w:t>15.5</w:t>
      </w:r>
      <w:r>
        <w:rPr>
          <w:rFonts w:ascii="Times New Roman" w:hAnsi="Times New Roman"/>
          <w:color w:val="000000"/>
          <w:kern w:val="0"/>
          <w:u w:val="single"/>
        </w:rPr>
        <w:t>km</w:t>
      </w:r>
      <w:r>
        <w:rPr>
          <w:rFonts w:hint="eastAsia" w:ascii="Times New Roman" w:hAnsi="Times New Roman"/>
          <w:color w:val="000000"/>
          <w:kern w:val="0"/>
          <w:u w:val="single"/>
          <w:lang w:eastAsia="zh-CN"/>
        </w:rPr>
        <w:t>；</w:t>
      </w:r>
    </w:p>
    <w:p>
      <w:pPr>
        <w:jc w:val="both"/>
        <w:rPr>
          <w:rFonts w:hint="eastAsia"/>
        </w:rPr>
      </w:pPr>
      <w:r>
        <w:rPr>
          <w:rFonts w:hint="eastAsia" w:ascii="Times New Roman" w:hAnsi="Times New Roman"/>
          <w:color w:val="000000"/>
          <w:u w:val="single"/>
        </w:rPr>
        <w:t>本次</w:t>
      </w:r>
      <w:r>
        <w:rPr>
          <w:rFonts w:hint="eastAsia" w:ascii="Times New Roman" w:hAnsi="Times New Roman"/>
          <w:color w:val="000000"/>
          <w:u w:val="single"/>
          <w:lang w:eastAsia="zh-CN"/>
        </w:rPr>
        <w:t>水质模型</w:t>
      </w:r>
      <w:r>
        <w:rPr>
          <w:rFonts w:hint="eastAsia" w:ascii="Times New Roman" w:hAnsi="Times New Roman"/>
          <w:color w:val="000000"/>
          <w:u w:val="single"/>
        </w:rPr>
        <w:t>范围为</w:t>
      </w:r>
      <w:r>
        <w:rPr>
          <w:rFonts w:hint="eastAsia" w:ascii="Times New Roman" w:hAnsi="Times New Roman"/>
          <w:color w:val="000000"/>
          <w:u w:val="single"/>
          <w:lang w:eastAsia="zh-CN"/>
        </w:rPr>
        <w:t>：</w:t>
      </w:r>
      <w:r>
        <w:rPr>
          <w:rFonts w:hint="eastAsia" w:ascii="Times New Roman" w:hAnsi="Times New Roman"/>
          <w:color w:val="000000"/>
          <w:kern w:val="0"/>
          <w:u w:val="single"/>
        </w:rPr>
        <w:t>排污口</w:t>
      </w:r>
      <w:r>
        <w:rPr>
          <w:rFonts w:hint="eastAsia" w:ascii="Times New Roman" w:hAnsi="Times New Roman"/>
          <w:color w:val="000000"/>
          <w:kern w:val="0"/>
          <w:u w:val="single"/>
          <w:lang w:val="en-US" w:eastAsia="zh-CN"/>
        </w:rPr>
        <w:t>猛洞河</w:t>
      </w:r>
      <w:r>
        <w:rPr>
          <w:rFonts w:hint="eastAsia" w:ascii="Times New Roman" w:hAnsi="Times New Roman"/>
          <w:color w:val="000000"/>
          <w:kern w:val="0"/>
          <w:u w:val="single"/>
        </w:rPr>
        <w:t>上游500m至排污口下游1</w:t>
      </w:r>
      <w:r>
        <w:rPr>
          <w:rFonts w:ascii="Times New Roman" w:hAnsi="Times New Roman"/>
          <w:color w:val="000000"/>
          <w:kern w:val="0"/>
          <w:u w:val="single"/>
        </w:rPr>
        <w:t>5</w:t>
      </w:r>
      <w:r>
        <w:rPr>
          <w:rFonts w:hint="eastAsia" w:ascii="Times New Roman" w:hAnsi="Times New Roman"/>
          <w:color w:val="000000"/>
          <w:kern w:val="0"/>
          <w:u w:val="single"/>
        </w:rPr>
        <w:t>00m（评价范围总长2</w:t>
      </w:r>
      <w:r>
        <w:rPr>
          <w:rFonts w:ascii="Times New Roman" w:hAnsi="Times New Roman"/>
          <w:color w:val="000000"/>
          <w:kern w:val="0"/>
          <w:u w:val="single"/>
        </w:rPr>
        <w:t>km</w:t>
      </w:r>
      <w:r>
        <w:rPr>
          <w:rFonts w:hint="eastAsia" w:ascii="Times New Roman" w:hAnsi="Times New Roman"/>
          <w:color w:val="000000"/>
          <w:kern w:val="0"/>
          <w:u w:val="single"/>
        </w:rPr>
        <w:t>）。</w:t>
      </w:r>
    </w:p>
    <w:p>
      <w:pPr>
        <w:pStyle w:val="6"/>
        <w:bidi w:val="0"/>
        <w:jc w:val="both"/>
        <w:rPr>
          <w:rFonts w:hint="eastAsia"/>
          <w:lang w:val="en-US" w:eastAsia="zh-CN"/>
        </w:rPr>
      </w:pPr>
      <w:r>
        <w:rPr>
          <w:rFonts w:hint="eastAsia"/>
          <w:lang w:val="en-US" w:eastAsia="zh-CN"/>
        </w:rPr>
        <w:t>8.1.4论证工作程序</w:t>
      </w:r>
    </w:p>
    <w:p>
      <w:pPr>
        <w:bidi w:val="0"/>
        <w:rPr>
          <w:rFonts w:hint="default"/>
          <w:lang w:val="en-US" w:eastAsia="zh-CN"/>
        </w:rPr>
      </w:pPr>
      <w:r>
        <w:rPr>
          <w:rFonts w:hint="default"/>
          <w:lang w:val="en-US" w:eastAsia="zh-CN"/>
        </w:rPr>
        <w:t>（1）现场查勘与资料收集</w:t>
      </w:r>
    </w:p>
    <w:p>
      <w:pPr>
        <w:bidi w:val="0"/>
        <w:jc w:val="both"/>
        <w:rPr>
          <w:rFonts w:hint="default"/>
          <w:lang w:val="en-US" w:eastAsia="zh-CN"/>
        </w:rPr>
      </w:pPr>
      <w:r>
        <w:rPr>
          <w:rFonts w:hint="default"/>
          <w:lang w:val="en-US" w:eastAsia="zh-CN"/>
        </w:rPr>
        <w:t>根据入河排放口设置的方案，组织技术人员对现场进行多次查勘，调查和收集该项目所在区域的自然环境和社会环境资料，排污口设置河段的水文、水质和水生态资料等，纳污水体现状监测，同时收集可能影响的其他取排水用户资料。</w:t>
      </w:r>
    </w:p>
    <w:p>
      <w:pPr>
        <w:bidi w:val="0"/>
        <w:jc w:val="both"/>
        <w:rPr>
          <w:rFonts w:hint="default"/>
          <w:lang w:val="en-US" w:eastAsia="zh-CN"/>
        </w:rPr>
      </w:pPr>
      <w:r>
        <w:rPr>
          <w:rFonts w:hint="default"/>
          <w:lang w:val="en-US" w:eastAsia="zh-CN"/>
        </w:rPr>
        <w:t>（2）资料整理</w:t>
      </w:r>
    </w:p>
    <w:p>
      <w:pPr>
        <w:bidi w:val="0"/>
        <w:jc w:val="both"/>
        <w:rPr>
          <w:rFonts w:hint="default"/>
          <w:lang w:val="en-US" w:eastAsia="zh-CN"/>
        </w:rPr>
      </w:pPr>
      <w:r>
        <w:rPr>
          <w:rFonts w:hint="default"/>
          <w:lang w:val="en-US" w:eastAsia="zh-CN"/>
        </w:rPr>
        <w:t>根据所收集的资料，进行整理分析，明确工程布局、工艺流程、入河排污口位置、主要污染物排放量及污染特性等基本情况；分析所属河段水资源保护管理要求，水环境现状和水生态现状等情况，以及其他取排水用户分布情况等。</w:t>
      </w:r>
    </w:p>
    <w:p>
      <w:pPr>
        <w:bidi w:val="0"/>
        <w:rPr>
          <w:rFonts w:hint="default"/>
          <w:lang w:val="en-US" w:eastAsia="zh-CN"/>
        </w:rPr>
      </w:pPr>
      <w:r>
        <w:rPr>
          <w:rFonts w:hint="default"/>
          <w:lang w:val="en-US" w:eastAsia="zh-CN"/>
        </w:rPr>
        <w:t>（3）建立数学模型，进行预测模拟</w:t>
      </w:r>
    </w:p>
    <w:p>
      <w:pPr>
        <w:bidi w:val="0"/>
        <w:rPr>
          <w:rFonts w:hint="default"/>
          <w:lang w:val="en-US" w:eastAsia="zh-CN"/>
        </w:rPr>
      </w:pPr>
      <w:r>
        <w:rPr>
          <w:rFonts w:hint="default"/>
          <w:lang w:val="en-US" w:eastAsia="zh-CN"/>
        </w:rPr>
        <w:t>根据水功能区水质和水生态保护要求，结合废污水处理排放情况，项目所处河段河道水文特性，按照《水域纳污能力计算规程》，选定合适的数学模型，拟定模型预测计算工况，进行污染物扩散浓度预测计算，统计分析不同条件下入河废污水的影响程度及范围。</w:t>
      </w:r>
    </w:p>
    <w:p>
      <w:pPr>
        <w:bidi w:val="0"/>
        <w:rPr>
          <w:rFonts w:hint="default"/>
          <w:lang w:val="en-US" w:eastAsia="zh-CN"/>
        </w:rPr>
      </w:pPr>
      <w:r>
        <w:rPr>
          <w:rFonts w:hint="default"/>
          <w:lang w:val="en-US" w:eastAsia="zh-CN"/>
        </w:rPr>
        <w:t>（4）影响分析</w:t>
      </w:r>
    </w:p>
    <w:p>
      <w:pPr>
        <w:bidi w:val="0"/>
        <w:jc w:val="both"/>
        <w:rPr>
          <w:rFonts w:hint="default"/>
          <w:lang w:val="en-US" w:eastAsia="zh-CN"/>
        </w:rPr>
      </w:pPr>
      <w:r>
        <w:rPr>
          <w:rFonts w:hint="default"/>
          <w:lang w:val="en-US" w:eastAsia="zh-CN"/>
        </w:rPr>
        <w:t>根据计算结果，得出的入河排污口污染物排放产生的影响范围，以及所处河段水生态现状，论证分析入河排污口对猛洞河的影响程度。</w:t>
      </w:r>
    </w:p>
    <w:p>
      <w:pPr>
        <w:bidi w:val="0"/>
        <w:jc w:val="both"/>
        <w:rPr>
          <w:rFonts w:hint="default"/>
          <w:lang w:val="en-US" w:eastAsia="zh-CN"/>
        </w:rPr>
      </w:pPr>
      <w:r>
        <w:rPr>
          <w:rFonts w:hint="default"/>
          <w:lang w:val="en-US" w:eastAsia="zh-CN"/>
        </w:rPr>
        <w:t>论证分析排污口对上下游水功能区内第三方取用水安全的影响，提出入河排污口设置的制约因素。</w:t>
      </w:r>
    </w:p>
    <w:p>
      <w:pPr>
        <w:bidi w:val="0"/>
        <w:jc w:val="both"/>
        <w:rPr>
          <w:rFonts w:hint="default"/>
          <w:lang w:val="en-US" w:eastAsia="zh-CN"/>
        </w:rPr>
      </w:pPr>
      <w:r>
        <w:rPr>
          <w:rFonts w:hint="default"/>
          <w:lang w:val="en-US" w:eastAsia="zh-CN"/>
        </w:rPr>
        <w:t>（5）排污口设置合理性分析</w:t>
      </w:r>
    </w:p>
    <w:p>
      <w:pPr>
        <w:bidi w:val="0"/>
        <w:jc w:val="both"/>
        <w:rPr>
          <w:rFonts w:hint="default"/>
          <w:lang w:val="en-US" w:eastAsia="zh-CN"/>
        </w:rPr>
      </w:pPr>
      <w:r>
        <w:rPr>
          <w:rFonts w:hint="default"/>
          <w:lang w:val="en-US" w:eastAsia="zh-CN"/>
        </w:rPr>
        <w:t>根据影响论证结果，综合考虑水功能区水质和水生态保护的要求、第三者权益等因素，分析入河排污口位置、排放浓度和总量是否符合有关要求。</w:t>
      </w:r>
    </w:p>
    <w:p>
      <w:pPr>
        <w:pStyle w:val="3"/>
        <w:rPr>
          <w:szCs w:val="28"/>
        </w:rPr>
      </w:pPr>
      <w:r>
        <w:rPr>
          <w:szCs w:val="28"/>
        </w:rPr>
        <w:drawing>
          <wp:inline distT="0" distB="0" distL="114300" distR="114300">
            <wp:extent cx="4991100" cy="7427595"/>
            <wp:effectExtent l="0" t="0" r="7620" b="9525"/>
            <wp:docPr id="49"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5"/>
                    <pic:cNvPicPr>
                      <a:picLocks noChangeAspect="1"/>
                    </pic:cNvPicPr>
                  </pic:nvPicPr>
                  <pic:blipFill>
                    <a:blip r:embed="rId77"/>
                    <a:stretch>
                      <a:fillRect/>
                    </a:stretch>
                  </pic:blipFill>
                  <pic:spPr>
                    <a:xfrm>
                      <a:off x="0" y="0"/>
                      <a:ext cx="4991100" cy="7427595"/>
                    </a:xfrm>
                    <a:prstGeom prst="rect">
                      <a:avLst/>
                    </a:prstGeom>
                    <a:noFill/>
                    <a:ln>
                      <a:noFill/>
                    </a:ln>
                  </pic:spPr>
                </pic:pic>
              </a:graphicData>
            </a:graphic>
          </wp:inline>
        </w:drawing>
      </w:r>
    </w:p>
    <w:p>
      <w:pPr>
        <w:ind w:firstLine="422"/>
        <w:jc w:val="center"/>
        <w:rPr>
          <w:rFonts w:hint="eastAsia" w:ascii="Times New Roman" w:hAnsi="Times New Roman" w:eastAsia="宋体" w:cs="Times New Roman"/>
          <w:b/>
          <w:kern w:val="0"/>
          <w:sz w:val="21"/>
          <w:szCs w:val="21"/>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eastAsia="宋体" w:cs="Times New Roman"/>
          <w:b/>
          <w:kern w:val="0"/>
          <w:sz w:val="21"/>
          <w:szCs w:val="21"/>
          <w:u w:val="none"/>
          <w:lang w:val="en-US" w:eastAsia="zh-CN"/>
        </w:rPr>
        <w:t>图8.1-1  永顺经济开发区猛洞河产业园污水处理厂入河排污口设置论证程序</w:t>
      </w:r>
    </w:p>
    <w:p>
      <w:pPr>
        <w:pStyle w:val="6"/>
        <w:bidi w:val="0"/>
        <w:jc w:val="both"/>
        <w:rPr>
          <w:rFonts w:hint="eastAsia"/>
          <w:lang w:val="en-US" w:eastAsia="zh-CN"/>
        </w:rPr>
      </w:pPr>
      <w:r>
        <w:rPr>
          <w:rFonts w:hint="eastAsia"/>
          <w:lang w:val="en-US" w:eastAsia="zh-CN"/>
        </w:rPr>
        <w:t>8.1.5论证的主要内容</w:t>
      </w:r>
    </w:p>
    <w:p>
      <w:pPr>
        <w:ind w:firstLine="560"/>
        <w:rPr>
          <w:rFonts w:hint="eastAsia"/>
        </w:rPr>
      </w:pPr>
      <w:r>
        <w:rPr>
          <w:rFonts w:hint="eastAsia"/>
        </w:rPr>
        <w:t>按照委托方意见和提供的材料，本报告按照</w:t>
      </w:r>
      <w:r>
        <w:rPr>
          <w:rFonts w:hint="eastAsia"/>
          <w:u w:val="none"/>
          <w:lang w:val="en-US" w:eastAsia="zh-CN"/>
        </w:rPr>
        <w:t>永顺</w:t>
      </w:r>
      <w:r>
        <w:rPr>
          <w:rFonts w:hint="eastAsia"/>
          <w:u w:val="none"/>
          <w:lang w:eastAsia="zh-CN"/>
        </w:rPr>
        <w:t>经济开发区猛洞河产业园</w:t>
      </w:r>
      <w:r>
        <w:rPr>
          <w:rFonts w:hint="eastAsia"/>
          <w:u w:val="none"/>
        </w:rPr>
        <w:t>污水处理厂</w:t>
      </w:r>
      <w:r>
        <w:rPr>
          <w:rFonts w:hint="eastAsia"/>
        </w:rPr>
        <w:t>计处理规模</w:t>
      </w:r>
      <w:r>
        <w:rPr>
          <w:rFonts w:hint="eastAsia"/>
          <w:lang w:val="en-US" w:eastAsia="zh-CN"/>
        </w:rPr>
        <w:t>1000</w:t>
      </w:r>
      <w:r>
        <w:rPr>
          <w:rFonts w:hint="eastAsia"/>
        </w:rPr>
        <w:t>m</w:t>
      </w:r>
      <w:r>
        <w:rPr>
          <w:rFonts w:hint="eastAsia"/>
          <w:vertAlign w:val="superscript"/>
        </w:rPr>
        <w:t>3</w:t>
      </w:r>
      <w:r>
        <w:rPr>
          <w:rFonts w:hint="eastAsia"/>
        </w:rPr>
        <w:t>/d 进行论证。主要内容如下：</w:t>
      </w:r>
    </w:p>
    <w:p>
      <w:pPr>
        <w:ind w:firstLine="560"/>
        <w:rPr>
          <w:rFonts w:hint="eastAsia"/>
        </w:rPr>
      </w:pPr>
      <w:r>
        <w:rPr>
          <w:rFonts w:hint="eastAsia"/>
        </w:rPr>
        <w:t>（1）建设项目基本情况。</w:t>
      </w:r>
    </w:p>
    <w:p>
      <w:pPr>
        <w:ind w:firstLine="560"/>
        <w:rPr>
          <w:rFonts w:hint="eastAsia"/>
        </w:rPr>
      </w:pPr>
      <w:r>
        <w:rPr>
          <w:rFonts w:hint="eastAsia"/>
        </w:rPr>
        <w:t>（2）入河排污口所在水功能区（水域）水质及纳污现状分析。</w:t>
      </w:r>
    </w:p>
    <w:p>
      <w:pPr>
        <w:ind w:firstLine="560"/>
        <w:rPr>
          <w:rFonts w:hint="eastAsia"/>
        </w:rPr>
      </w:pPr>
      <w:r>
        <w:rPr>
          <w:rFonts w:hint="eastAsia"/>
        </w:rPr>
        <w:t>（3）入河排污口设置可行性分析论证及入河排污口设置方案。</w:t>
      </w:r>
    </w:p>
    <w:p>
      <w:pPr>
        <w:ind w:firstLine="560"/>
        <w:rPr>
          <w:rFonts w:hint="eastAsia"/>
        </w:rPr>
      </w:pPr>
      <w:r>
        <w:rPr>
          <w:rFonts w:hint="eastAsia"/>
        </w:rPr>
        <w:t>（4）入河排污口设置对水功能区（水域）水质影响分析。</w:t>
      </w:r>
    </w:p>
    <w:p>
      <w:pPr>
        <w:ind w:firstLine="560"/>
        <w:rPr>
          <w:rFonts w:hint="eastAsia"/>
        </w:rPr>
      </w:pPr>
      <w:r>
        <w:rPr>
          <w:rFonts w:hint="eastAsia"/>
        </w:rPr>
        <w:t>（5）入河排污口设置对水功能区（水域）水生态影响分析。</w:t>
      </w:r>
    </w:p>
    <w:p>
      <w:pPr>
        <w:ind w:firstLine="560"/>
        <w:rPr>
          <w:rFonts w:hint="eastAsia"/>
        </w:rPr>
      </w:pPr>
      <w:r>
        <w:rPr>
          <w:rFonts w:hint="eastAsia"/>
        </w:rPr>
        <w:t>（6）入河排污口设置对地下水影响分析。</w:t>
      </w:r>
    </w:p>
    <w:p>
      <w:pPr>
        <w:ind w:firstLine="560"/>
        <w:rPr>
          <w:rFonts w:hint="eastAsia"/>
        </w:rPr>
      </w:pPr>
      <w:r>
        <w:rPr>
          <w:rFonts w:hint="eastAsia"/>
        </w:rPr>
        <w:t>（7）入河排污口设置对有利害关系的第三者权益的影响分析。</w:t>
      </w:r>
    </w:p>
    <w:p>
      <w:pPr>
        <w:ind w:firstLine="560"/>
      </w:pPr>
      <w:r>
        <w:rPr>
          <w:rFonts w:hint="eastAsia"/>
        </w:rPr>
        <w:t>（8）入河排污口设置合理性分析。</w:t>
      </w:r>
    </w:p>
    <w:p>
      <w:pPr>
        <w:pStyle w:val="76"/>
        <w:bidi w:val="0"/>
        <w:rPr>
          <w:u w:val="single"/>
        </w:rPr>
      </w:pPr>
      <w:bookmarkStart w:id="317" w:name="_Toc8127"/>
      <w:r>
        <w:rPr>
          <w:rFonts w:hint="eastAsia"/>
          <w:u w:val="single"/>
          <w:lang w:val="en-US" w:eastAsia="zh-CN"/>
        </w:rPr>
        <w:t>8.2</w:t>
      </w:r>
      <w:bookmarkEnd w:id="317"/>
      <w:r>
        <w:rPr>
          <w:rFonts w:hint="eastAsia" w:ascii="Times New Roman" w:hAnsi="Times New Roman" w:eastAsia="宋体" w:cs="Times New Roman"/>
          <w:b/>
          <w:u w:val="single"/>
          <w:lang w:val="en-US" w:eastAsia="zh-CN"/>
        </w:rPr>
        <w:t>论证范围内水功能区（水域）状况</w:t>
      </w:r>
    </w:p>
    <w:p>
      <w:pPr>
        <w:pStyle w:val="6"/>
        <w:bidi w:val="0"/>
        <w:jc w:val="both"/>
        <w:rPr>
          <w:rFonts w:hint="eastAsia"/>
          <w:u w:val="single"/>
          <w:lang w:val="en-US" w:eastAsia="zh-CN"/>
        </w:rPr>
      </w:pPr>
      <w:r>
        <w:rPr>
          <w:rFonts w:hint="eastAsia"/>
          <w:u w:val="single"/>
          <w:lang w:val="en-US" w:eastAsia="zh-CN"/>
        </w:rPr>
        <w:t>8.2.1水功能区（水域）保护水质管理目标与要求</w:t>
      </w:r>
    </w:p>
    <w:p>
      <w:pPr>
        <w:pStyle w:val="69"/>
        <w:bidi w:val="0"/>
        <w:rPr>
          <w:rFonts w:hint="eastAsia"/>
          <w:u w:val="single"/>
          <w:lang w:val="en-US" w:eastAsia="zh-CN"/>
        </w:rPr>
      </w:pPr>
      <w:r>
        <w:rPr>
          <w:rFonts w:hint="eastAsia"/>
          <w:u w:val="single"/>
          <w:lang w:val="en-US" w:eastAsia="zh-CN"/>
        </w:rPr>
        <w:t>8.2.1.1水环境功能区划</w:t>
      </w:r>
    </w:p>
    <w:p>
      <w:pPr>
        <w:ind w:firstLine="480"/>
        <w:jc w:val="both"/>
        <w:rPr>
          <w:rFonts w:ascii="Times New Roman" w:hAnsi="Times New Roman"/>
          <w:color w:val="000000"/>
          <w:u w:val="single"/>
        </w:rPr>
      </w:pPr>
      <w:r>
        <w:rPr>
          <w:rFonts w:hint="eastAsia" w:ascii="Times New Roman" w:hAnsi="Times New Roman" w:eastAsia="宋体" w:cs="Times New Roman"/>
          <w:color w:val="000000"/>
          <w:u w:val="single"/>
          <w:lang w:val="en-US" w:eastAsia="zh-CN"/>
        </w:rPr>
        <w:t>水功能区是指根据流域或区域的水资源状况，并考虑水资源开发利用现状和经济社会发展对</w:t>
      </w:r>
      <w:r>
        <w:rPr>
          <w:rFonts w:hint="eastAsia" w:ascii="Times New Roman" w:hAnsi="Times New Roman" w:eastAsia="宋体" w:cs="Times New Roman"/>
          <w:color w:val="000000"/>
          <w:u w:val="single"/>
        </w:rPr>
        <w:t>水</w:t>
      </w:r>
      <w:r>
        <w:rPr>
          <w:rFonts w:hint="eastAsia" w:ascii="Times New Roman" w:hAnsi="Times New Roman"/>
          <w:color w:val="000000"/>
          <w:u w:val="single"/>
        </w:rPr>
        <w:t>量和水质的需求，在相应水城划定的具有特定功能，有利于水资源的合理开发利用和保护，能够发挥最佳效益的区域。</w:t>
      </w:r>
    </w:p>
    <w:p>
      <w:pPr>
        <w:bidi w:val="0"/>
        <w:jc w:val="both"/>
        <w:rPr>
          <w:rFonts w:hint="eastAsia"/>
          <w:lang w:val="en-US" w:eastAsia="zh-CN"/>
        </w:rPr>
      </w:pPr>
      <w:r>
        <w:rPr>
          <w:rFonts w:hint="eastAsia" w:ascii="Times New Roman" w:hAnsi="Times New Roman"/>
          <w:color w:val="000000"/>
          <w:u w:val="single"/>
        </w:rPr>
        <w:t>根据《湖南省水功能区划》、《湘西土家族苗族自治州水功能区划》可知，</w:t>
      </w:r>
      <w:r>
        <w:rPr>
          <w:rFonts w:hint="eastAsia"/>
          <w:u w:val="single"/>
        </w:rPr>
        <w:t>纳污水体</w:t>
      </w:r>
      <w:r>
        <w:rPr>
          <w:rFonts w:hint="eastAsia"/>
          <w:u w:val="single"/>
          <w:lang w:val="en-US" w:eastAsia="zh-CN"/>
        </w:rPr>
        <w:t>猛洞河</w:t>
      </w:r>
      <w:r>
        <w:rPr>
          <w:rFonts w:hint="eastAsia"/>
          <w:u w:val="single"/>
        </w:rPr>
        <w:t>为《湖南省水功能区划》</w:t>
      </w:r>
      <w:r>
        <w:rPr>
          <w:rFonts w:hint="eastAsia"/>
          <w:u w:val="single"/>
          <w:lang w:val="en-US" w:eastAsia="zh-CN"/>
        </w:rPr>
        <w:t>中</w:t>
      </w:r>
      <w:r>
        <w:rPr>
          <w:rFonts w:hint="eastAsia"/>
          <w:u w:val="single"/>
        </w:rPr>
        <w:t>“</w:t>
      </w:r>
      <w:r>
        <w:rPr>
          <w:rFonts w:hint="eastAsia"/>
          <w:u w:val="single"/>
          <w:lang w:val="en-US" w:eastAsia="zh-CN"/>
        </w:rPr>
        <w:t>景观娱乐用水区</w:t>
      </w:r>
      <w:r>
        <w:rPr>
          <w:rFonts w:hint="eastAsia"/>
          <w:u w:val="single"/>
        </w:rPr>
        <w:t>”；《湘西土家族苗族自治州水功能区划》一级区划的“</w:t>
      </w:r>
      <w:r>
        <w:rPr>
          <w:rFonts w:hint="eastAsia"/>
          <w:u w:val="single"/>
          <w:lang w:val="en-US" w:eastAsia="zh-CN"/>
        </w:rPr>
        <w:t>猛洞河永顺开发利用区</w:t>
      </w:r>
      <w:r>
        <w:rPr>
          <w:rFonts w:hint="eastAsia"/>
          <w:u w:val="single"/>
        </w:rPr>
        <w:t>”、二级区划的“</w:t>
      </w:r>
      <w:r>
        <w:rPr>
          <w:rFonts w:hint="eastAsia"/>
          <w:u w:val="single"/>
          <w:lang w:val="en-US" w:eastAsia="zh-CN"/>
        </w:rPr>
        <w:t>猛洞河永顺景观娱乐用水区</w:t>
      </w:r>
      <w:r>
        <w:rPr>
          <w:rFonts w:hint="eastAsia"/>
          <w:u w:val="single"/>
        </w:rPr>
        <w:t>”，根据水功能区划，水功能区的水质管理目标为</w:t>
      </w:r>
      <w:r>
        <w:rPr>
          <w:rFonts w:hint="eastAsia"/>
          <w:u w:val="single"/>
          <w:lang w:eastAsia="zh-CN"/>
        </w:rPr>
        <w:t>Ⅲ</w:t>
      </w:r>
      <w:r>
        <w:rPr>
          <w:rFonts w:hint="eastAsia"/>
          <w:u w:val="single"/>
        </w:rPr>
        <w:t>类。</w:t>
      </w:r>
      <w:r>
        <w:rPr>
          <w:u w:val="single"/>
        </w:rPr>
        <w:t>按照湘西自治州水环境质量要求，该河段</w:t>
      </w:r>
      <w:r>
        <w:rPr>
          <w:rFonts w:hint="eastAsia"/>
          <w:u w:val="single"/>
        </w:rPr>
        <w:t>水质管理目标为</w:t>
      </w:r>
      <w:r>
        <w:rPr>
          <w:rFonts w:hint="eastAsia"/>
          <w:u w:val="single"/>
          <w:lang w:eastAsia="zh-CN"/>
        </w:rPr>
        <w:t>Ⅲ</w:t>
      </w:r>
      <w:r>
        <w:rPr>
          <w:rFonts w:hint="eastAsia"/>
          <w:u w:val="single"/>
        </w:rPr>
        <w:t>类，</w:t>
      </w:r>
      <w:r>
        <w:rPr>
          <w:u w:val="single"/>
        </w:rPr>
        <w:t>执行</w:t>
      </w:r>
      <w:r>
        <w:rPr>
          <w:rFonts w:hint="eastAsia"/>
          <w:u w:val="single"/>
          <w:lang w:eastAsia="zh-CN"/>
        </w:rPr>
        <w:t>Ⅲ</w:t>
      </w:r>
      <w:r>
        <w:rPr>
          <w:u w:val="single"/>
        </w:rPr>
        <w:t>类水标准。</w:t>
      </w:r>
    </w:p>
    <w:p>
      <w:pPr>
        <w:pStyle w:val="69"/>
        <w:bidi w:val="0"/>
        <w:rPr>
          <w:rFonts w:hint="eastAsia" w:ascii="Times New Roman" w:hAnsi="Times New Roman" w:eastAsia="宋体" w:cs="Times New Roman"/>
          <w:b/>
          <w:u w:val="single"/>
          <w:lang w:val="en-US" w:eastAsia="zh-CN"/>
        </w:rPr>
      </w:pPr>
      <w:r>
        <w:rPr>
          <w:rFonts w:hint="eastAsia" w:ascii="Times New Roman" w:hAnsi="Times New Roman" w:eastAsia="宋体" w:cs="Times New Roman"/>
          <w:b/>
          <w:u w:val="single"/>
          <w:lang w:val="en-US" w:eastAsia="zh-CN"/>
        </w:rPr>
        <w:t>8.2.1.2.管理目标与要求</w:t>
      </w:r>
    </w:p>
    <w:p>
      <w:pPr>
        <w:bidi w:val="0"/>
        <w:rPr>
          <w:rFonts w:hint="eastAsia"/>
          <w:lang w:val="en-US" w:eastAsia="zh-CN"/>
        </w:rPr>
      </w:pPr>
      <w:r>
        <w:rPr>
          <w:rFonts w:hint="eastAsia" w:ascii="Times New Roman" w:hAnsi="Times New Roman"/>
          <w:color w:val="000000"/>
          <w:u w:val="single"/>
        </w:rPr>
        <w:t>项目受纳水体为</w:t>
      </w:r>
      <w:r>
        <w:rPr>
          <w:rFonts w:hint="eastAsia" w:ascii="Times New Roman" w:hAnsi="Times New Roman"/>
          <w:color w:val="000000"/>
          <w:u w:val="single"/>
          <w:lang w:val="en-US" w:eastAsia="zh-CN"/>
        </w:rPr>
        <w:t>猛洞河</w:t>
      </w:r>
      <w:r>
        <w:rPr>
          <w:rFonts w:hint="eastAsia" w:ascii="Times New Roman" w:hAnsi="Times New Roman"/>
          <w:color w:val="000000"/>
          <w:u w:val="single"/>
        </w:rPr>
        <w:t>，水质管理目标均为Ⅲ类，地表水环境质量执行《地表水环境质量标准》（GB3838-2002）中的Ⅲ类标准。</w:t>
      </w:r>
    </w:p>
    <w:p>
      <w:pPr>
        <w:bidi w:val="0"/>
        <w:rPr>
          <w:rFonts w:hint="eastAsia"/>
          <w:lang w:val="en-US" w:eastAsia="zh-CN"/>
        </w:rPr>
      </w:pPr>
    </w:p>
    <w:p>
      <w:pPr>
        <w:pStyle w:val="6"/>
        <w:bidi w:val="0"/>
        <w:jc w:val="both"/>
        <w:rPr>
          <w:rFonts w:hint="eastAsia"/>
          <w:u w:val="single"/>
          <w:lang w:val="en-US" w:eastAsia="zh-CN"/>
        </w:rPr>
      </w:pPr>
      <w:r>
        <w:rPr>
          <w:rFonts w:hint="eastAsia"/>
          <w:lang w:val="en-US" w:eastAsia="zh-CN"/>
        </w:rPr>
        <w:t>8</w:t>
      </w:r>
      <w:r>
        <w:rPr>
          <w:rFonts w:hint="eastAsia"/>
          <w:u w:val="single"/>
          <w:lang w:val="en-US" w:eastAsia="zh-CN"/>
        </w:rPr>
        <w:t>.2.2水功能区现有取排水状况</w:t>
      </w:r>
    </w:p>
    <w:p>
      <w:pPr>
        <w:pStyle w:val="3"/>
        <w:numPr>
          <w:ilvl w:val="0"/>
          <w:numId w:val="7"/>
        </w:numPr>
        <w:rPr>
          <w:rFonts w:hint="eastAsia"/>
          <w:u w:val="single"/>
          <w:lang w:val="en-US" w:eastAsia="zh-CN"/>
        </w:rPr>
      </w:pPr>
      <w:r>
        <w:rPr>
          <w:rFonts w:hint="eastAsia"/>
          <w:u w:val="single"/>
          <w:lang w:val="en-US" w:eastAsia="zh-CN"/>
        </w:rPr>
        <w:t>取水状况</w:t>
      </w:r>
    </w:p>
    <w:p>
      <w:pPr>
        <w:snapToGrid/>
        <w:ind w:firstLine="560"/>
        <w:rPr>
          <w:u w:val="single"/>
        </w:rPr>
      </w:pPr>
      <w:r>
        <w:rPr>
          <w:rFonts w:hint="eastAsia"/>
          <w:u w:val="single"/>
        </w:rPr>
        <w:t>根据现状调查，</w:t>
      </w:r>
      <w:r>
        <w:rPr>
          <w:rFonts w:hint="eastAsia" w:hAnsi="宋体"/>
          <w:szCs w:val="28"/>
          <w:u w:val="single"/>
        </w:rPr>
        <w:t>纳污水域周边居民饮水由</w:t>
      </w:r>
      <w:r>
        <w:rPr>
          <w:rFonts w:hint="eastAsia" w:hAnsi="宋体"/>
          <w:szCs w:val="28"/>
          <w:u w:val="single"/>
          <w:lang w:val="en-US" w:eastAsia="zh-CN"/>
        </w:rPr>
        <w:t>永顺县</w:t>
      </w:r>
      <w:r>
        <w:rPr>
          <w:rFonts w:hint="eastAsia" w:hAnsi="宋体"/>
          <w:szCs w:val="28"/>
          <w:u w:val="single"/>
        </w:rPr>
        <w:t>自来水厂供应，项目排污口上</w:t>
      </w:r>
      <w:r>
        <w:rPr>
          <w:rFonts w:hint="eastAsia" w:hAnsi="宋体"/>
          <w:szCs w:val="28"/>
          <w:u w:val="single"/>
          <w:lang w:val="en-US" w:eastAsia="zh-CN"/>
        </w:rPr>
        <w:t>游自来水厂取水口距离本项目排污口约7000米，</w:t>
      </w:r>
      <w:r>
        <w:rPr>
          <w:rFonts w:hint="eastAsia" w:hAnsi="宋体"/>
          <w:szCs w:val="28"/>
          <w:u w:val="single"/>
        </w:rPr>
        <w:t>下游论证范围内未设置生产及生活用水取水口，论证范围水功能区无集中式取水口存在。</w:t>
      </w:r>
    </w:p>
    <w:p>
      <w:pPr>
        <w:pStyle w:val="3"/>
        <w:numPr>
          <w:ilvl w:val="0"/>
          <w:numId w:val="7"/>
        </w:numPr>
        <w:rPr>
          <w:rFonts w:hint="eastAsia"/>
          <w:u w:val="single"/>
          <w:lang w:val="en-US" w:eastAsia="zh-CN"/>
        </w:rPr>
      </w:pPr>
      <w:r>
        <w:rPr>
          <w:rFonts w:hint="eastAsia"/>
          <w:u w:val="single"/>
          <w:lang w:val="en-US" w:eastAsia="zh-CN"/>
        </w:rPr>
        <w:t>排水状况</w:t>
      </w:r>
    </w:p>
    <w:p>
      <w:pPr>
        <w:bidi w:val="0"/>
        <w:rPr>
          <w:rFonts w:hint="eastAsia"/>
          <w:u w:val="single"/>
          <w:lang w:val="en-US" w:eastAsia="zh-CN"/>
        </w:rPr>
      </w:pPr>
      <w:r>
        <w:rPr>
          <w:rFonts w:hint="eastAsia"/>
          <w:u w:val="single"/>
          <w:lang w:val="en-US" w:eastAsia="zh-CN"/>
        </w:rPr>
        <w:t>目前本项目为混合污水处理厂，排水规模为1000m</w:t>
      </w:r>
      <w:r>
        <w:rPr>
          <w:rFonts w:hint="eastAsia"/>
          <w:u w:val="single"/>
          <w:vertAlign w:val="superscript"/>
          <w:lang w:val="en-US" w:eastAsia="zh-CN"/>
        </w:rPr>
        <w:t>3</w:t>
      </w:r>
      <w:r>
        <w:rPr>
          <w:rFonts w:hint="eastAsia"/>
          <w:u w:val="single"/>
          <w:lang w:val="en-US" w:eastAsia="zh-CN"/>
        </w:rPr>
        <w:t>/d，上游2340m处有永顺县污水处理厂排污口，工程处理规模为20000m</w:t>
      </w:r>
      <w:r>
        <w:rPr>
          <w:rFonts w:hint="eastAsia"/>
          <w:u w:val="single"/>
          <w:vertAlign w:val="superscript"/>
          <w:lang w:val="en-US" w:eastAsia="zh-CN"/>
        </w:rPr>
        <w:t>3</w:t>
      </w:r>
      <w:r>
        <w:rPr>
          <w:rFonts w:hint="eastAsia"/>
          <w:u w:val="single"/>
          <w:lang w:val="en-US" w:eastAsia="zh-CN"/>
        </w:rPr>
        <w:t>/d，污水处理厂尾水执行《城镇污水处理厂污染物排放标准》（GB18918-2002）中一级B标准限值要求，排污口下游无其他排污口。</w:t>
      </w:r>
    </w:p>
    <w:p>
      <w:pPr>
        <w:pStyle w:val="6"/>
        <w:bidi w:val="0"/>
        <w:jc w:val="both"/>
        <w:rPr>
          <w:rFonts w:hint="eastAsia"/>
          <w:lang w:val="en-US" w:eastAsia="zh-CN"/>
        </w:rPr>
      </w:pPr>
      <w:r>
        <w:rPr>
          <w:rFonts w:hint="eastAsia"/>
          <w:lang w:val="en-US" w:eastAsia="zh-CN"/>
        </w:rPr>
        <w:t>8.2.3区域地表水环境质量达标情况</w:t>
      </w:r>
    </w:p>
    <w:p>
      <w:pPr>
        <w:bidi w:val="0"/>
        <w:rPr>
          <w:rFonts w:hint="default"/>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26" w:charSpace="0"/>
        </w:sectPr>
      </w:pPr>
      <w:r>
        <w:rPr>
          <w:rFonts w:hint="default"/>
          <w:lang w:val="en-US" w:eastAsia="zh-CN"/>
        </w:rPr>
        <w:t>本项目污水处理厂纳污水体为猛洞河，湘西州生态环境检测中心在猛洞河设置了2个常规监测断面，均位于本项目排污口上游，距离本项目最近的为永顺县污水处理厂下游断面（位于本项目上游河段约</w:t>
      </w:r>
      <w:r>
        <w:rPr>
          <w:rFonts w:hint="eastAsia"/>
          <w:lang w:val="en-US" w:eastAsia="zh-CN"/>
        </w:rPr>
        <w:t>2.3</w:t>
      </w:r>
      <w:r>
        <w:rPr>
          <w:rFonts w:hint="default"/>
          <w:lang w:val="en-US" w:eastAsia="zh-CN"/>
        </w:rPr>
        <w:t>km处），本评价收集了猛洞河常规监测断面近3年的常规监测数据，并且对其统计与评价，监测数据及达标情况详见表</w:t>
      </w:r>
      <w:r>
        <w:rPr>
          <w:rFonts w:hint="eastAsia"/>
          <w:lang w:val="en-US" w:eastAsia="zh-CN"/>
        </w:rPr>
        <w:t>8</w:t>
      </w:r>
      <w:r>
        <w:rPr>
          <w:rFonts w:hint="default"/>
          <w:lang w:val="en-US" w:eastAsia="zh-CN"/>
        </w:rPr>
        <w:t>.</w:t>
      </w:r>
      <w:r>
        <w:rPr>
          <w:rFonts w:hint="eastAsia"/>
          <w:lang w:val="en-US" w:eastAsia="zh-CN"/>
        </w:rPr>
        <w:t>2</w:t>
      </w:r>
      <w:r>
        <w:rPr>
          <w:rFonts w:hint="default"/>
          <w:lang w:val="en-US" w:eastAsia="zh-CN"/>
        </w:rPr>
        <w:t>-</w:t>
      </w:r>
      <w:r>
        <w:rPr>
          <w:rFonts w:hint="eastAsia"/>
          <w:lang w:val="en-US" w:eastAsia="zh-CN"/>
        </w:rPr>
        <w:t>3</w:t>
      </w:r>
      <w:r>
        <w:rPr>
          <w:rFonts w:hint="default"/>
          <w:lang w:val="en-US" w:eastAsia="zh-CN"/>
        </w:rPr>
        <w:t>。本评价收集了猛洞河常规监测断面2021年01月～2021年12月断面浓度，并且对其统计与评价，监测数据及达标情况详见表</w:t>
      </w:r>
      <w:r>
        <w:rPr>
          <w:rFonts w:hint="eastAsia"/>
          <w:lang w:val="en-US" w:eastAsia="zh-CN"/>
        </w:rPr>
        <w:t>8</w:t>
      </w:r>
      <w:r>
        <w:rPr>
          <w:rFonts w:hint="default"/>
          <w:lang w:val="en-US" w:eastAsia="zh-CN"/>
        </w:rPr>
        <w:t>.</w:t>
      </w:r>
      <w:r>
        <w:rPr>
          <w:rFonts w:hint="eastAsia"/>
          <w:lang w:val="en-US" w:eastAsia="zh-CN"/>
        </w:rPr>
        <w:t>2</w:t>
      </w:r>
      <w:r>
        <w:rPr>
          <w:rFonts w:hint="default"/>
          <w:lang w:val="en-US" w:eastAsia="zh-CN"/>
        </w:rPr>
        <w:t>-</w:t>
      </w:r>
      <w:r>
        <w:rPr>
          <w:rFonts w:hint="eastAsia"/>
          <w:lang w:val="en-US" w:eastAsia="zh-CN"/>
        </w:rPr>
        <w:t>4</w:t>
      </w:r>
      <w:r>
        <w:rPr>
          <w:rFonts w:hint="default"/>
          <w:lang w:val="en-US" w:eastAsia="zh-CN"/>
        </w:rPr>
        <w:t>。</w:t>
      </w:r>
    </w:p>
    <w:p>
      <w:pPr>
        <w:ind w:firstLine="0" w:firstLineChars="0"/>
        <w:jc w:val="center"/>
        <w:rPr>
          <w:b/>
          <w:color w:val="000000"/>
          <w:sz w:val="21"/>
          <w:szCs w:val="21"/>
          <w:u w:val="none"/>
        </w:rPr>
      </w:pPr>
      <w:r>
        <w:rPr>
          <w:b/>
          <w:color w:val="000000"/>
          <w:sz w:val="21"/>
          <w:szCs w:val="21"/>
          <w:u w:val="none"/>
        </w:rPr>
        <w:t>表</w:t>
      </w:r>
      <w:r>
        <w:rPr>
          <w:rFonts w:hint="eastAsia"/>
          <w:b/>
          <w:color w:val="000000"/>
          <w:sz w:val="21"/>
          <w:szCs w:val="21"/>
          <w:u w:val="none"/>
          <w:lang w:val="en-US" w:eastAsia="zh-CN"/>
        </w:rPr>
        <w:t>8.2-1</w:t>
      </w:r>
      <w:r>
        <w:rPr>
          <w:rFonts w:hint="eastAsia"/>
          <w:b/>
          <w:color w:val="000000"/>
          <w:sz w:val="21"/>
          <w:szCs w:val="21"/>
          <w:u w:val="none"/>
        </w:rPr>
        <w:t xml:space="preserve"> </w:t>
      </w:r>
      <w:r>
        <w:rPr>
          <w:rFonts w:hint="eastAsia"/>
          <w:b/>
          <w:color w:val="000000"/>
          <w:sz w:val="21"/>
          <w:szCs w:val="21"/>
          <w:u w:val="none"/>
          <w:lang w:val="en-US" w:eastAsia="zh-CN"/>
        </w:rPr>
        <w:t>猛洞河</w:t>
      </w:r>
      <w:r>
        <w:rPr>
          <w:b/>
          <w:color w:val="000000"/>
          <w:sz w:val="21"/>
          <w:szCs w:val="21"/>
          <w:u w:val="none"/>
        </w:rPr>
        <w:t>地表水断面均值结果及达标情况</w:t>
      </w:r>
      <w:r>
        <w:rPr>
          <w:rFonts w:hint="eastAsia"/>
          <w:b/>
          <w:color w:val="000000"/>
          <w:sz w:val="21"/>
          <w:szCs w:val="21"/>
          <w:u w:val="none"/>
        </w:rPr>
        <w:t xml:space="preserve"> 浓度单位mg/L（PH除外）</w:t>
      </w:r>
    </w:p>
    <w:tbl>
      <w:tblPr>
        <w:tblStyle w:val="36"/>
        <w:tblW w:w="14766" w:type="dxa"/>
        <w:tblInd w:w="-79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6"/>
        <w:gridCol w:w="538"/>
        <w:gridCol w:w="538"/>
        <w:gridCol w:w="673"/>
        <w:gridCol w:w="538"/>
        <w:gridCol w:w="538"/>
        <w:gridCol w:w="538"/>
        <w:gridCol w:w="673"/>
        <w:gridCol w:w="673"/>
        <w:gridCol w:w="807"/>
        <w:gridCol w:w="538"/>
        <w:gridCol w:w="538"/>
        <w:gridCol w:w="808"/>
        <w:gridCol w:w="538"/>
        <w:gridCol w:w="942"/>
        <w:gridCol w:w="538"/>
        <w:gridCol w:w="942"/>
        <w:gridCol w:w="942"/>
        <w:gridCol w:w="538"/>
        <w:gridCol w:w="538"/>
        <w:gridCol w:w="538"/>
        <w:gridCol w:w="538"/>
        <w:gridCol w:w="538"/>
        <w:gridCol w:w="5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atLeast"/>
          <w:tblHeader/>
        </w:trPr>
        <w:tc>
          <w:tcPr>
            <w:tcW w:w="236" w:type="dxa"/>
            <w:tcBorders>
              <w:right w:val="single" w:color="auto" w:sz="4" w:space="0"/>
            </w:tcBorders>
            <w:noWrap w:val="0"/>
            <w:tcMar>
              <w:top w:w="15" w:type="dxa"/>
              <w:left w:w="15" w:type="dxa"/>
              <w:bottom w:w="15" w:type="dxa"/>
              <w:right w:w="15" w:type="dxa"/>
            </w:tcMar>
            <w:vAlign w:val="center"/>
          </w:tcPr>
          <w:p>
            <w:pPr>
              <w:spacing w:line="240" w:lineRule="auto"/>
              <w:ind w:firstLine="0" w:firstLineChars="0"/>
              <w:jc w:val="center"/>
              <w:rPr>
                <w:b/>
                <w:bCs/>
                <w:color w:val="000000"/>
                <w:sz w:val="21"/>
                <w:szCs w:val="21"/>
                <w:u w:val="none"/>
              </w:rPr>
            </w:pPr>
            <w:r>
              <w:rPr>
                <w:rFonts w:hint="eastAsia"/>
                <w:b/>
                <w:bCs/>
                <w:color w:val="000000"/>
                <w:sz w:val="21"/>
                <w:szCs w:val="21"/>
                <w:u w:val="none"/>
              </w:rPr>
              <w:t>断面</w:t>
            </w:r>
          </w:p>
        </w:tc>
        <w:tc>
          <w:tcPr>
            <w:tcW w:w="538" w:type="dxa"/>
            <w:tcBorders>
              <w:left w:val="single" w:color="auto" w:sz="4" w:space="0"/>
            </w:tcBorders>
            <w:noWrap w:val="0"/>
            <w:vAlign w:val="center"/>
          </w:tcPr>
          <w:p>
            <w:pPr>
              <w:spacing w:line="240" w:lineRule="auto"/>
              <w:ind w:firstLine="0" w:firstLineChars="0"/>
              <w:jc w:val="center"/>
              <w:rPr>
                <w:b/>
                <w:bCs/>
                <w:color w:val="000000"/>
                <w:sz w:val="21"/>
                <w:szCs w:val="21"/>
                <w:u w:val="none"/>
              </w:rPr>
            </w:pPr>
            <w:r>
              <w:rPr>
                <w:rFonts w:hint="eastAsia"/>
                <w:b/>
                <w:bCs/>
                <w:color w:val="000000"/>
                <w:sz w:val="21"/>
                <w:szCs w:val="21"/>
                <w:u w:val="none"/>
              </w:rPr>
              <w:t>年份</w:t>
            </w:r>
          </w:p>
        </w:tc>
        <w:tc>
          <w:tcPr>
            <w:tcW w:w="538" w:type="dxa"/>
            <w:noWrap w:val="0"/>
            <w:tcMar>
              <w:top w:w="15" w:type="dxa"/>
              <w:left w:w="15" w:type="dxa"/>
              <w:bottom w:w="15" w:type="dxa"/>
              <w:right w:w="15" w:type="dxa"/>
            </w:tcMar>
            <w:vAlign w:val="center"/>
          </w:tcPr>
          <w:p>
            <w:pPr>
              <w:spacing w:line="240" w:lineRule="auto"/>
              <w:ind w:firstLine="0" w:firstLineChars="0"/>
              <w:jc w:val="center"/>
              <w:rPr>
                <w:b/>
                <w:bCs/>
                <w:color w:val="000000"/>
                <w:sz w:val="21"/>
                <w:szCs w:val="21"/>
                <w:u w:val="none"/>
              </w:rPr>
            </w:pPr>
            <w:r>
              <w:rPr>
                <w:rFonts w:hint="eastAsia"/>
                <w:b/>
                <w:bCs/>
                <w:color w:val="000000"/>
                <w:sz w:val="21"/>
                <w:szCs w:val="21"/>
                <w:u w:val="none"/>
              </w:rPr>
              <w:t>项目</w:t>
            </w:r>
          </w:p>
        </w:tc>
        <w:tc>
          <w:tcPr>
            <w:tcW w:w="673"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b/>
                <w:bCs/>
                <w:color w:val="000000"/>
                <w:kern w:val="0"/>
                <w:sz w:val="21"/>
                <w:szCs w:val="21"/>
                <w:u w:val="none"/>
                <w:lang w:bidi="ar"/>
              </w:rPr>
              <w:t>pH</w:t>
            </w:r>
            <w:r>
              <w:rPr>
                <w:rFonts w:cs="宋体"/>
                <w:b/>
                <w:bCs/>
                <w:color w:val="000000"/>
                <w:sz w:val="21"/>
                <w:szCs w:val="21"/>
                <w:u w:val="none"/>
                <w:lang w:bidi="ar"/>
              </w:rPr>
              <w:t>值</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溶解氧</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sz w:val="21"/>
                <w:szCs w:val="21"/>
                <w:u w:val="none"/>
              </w:rPr>
              <w:t>高锰酯盐指数</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化学</w:t>
            </w:r>
            <w:r>
              <w:rPr>
                <w:rFonts w:cs="宋体"/>
                <w:b/>
                <w:bCs/>
                <w:color w:val="000000"/>
                <w:sz w:val="21"/>
                <w:szCs w:val="21"/>
                <w:u w:val="none"/>
                <w:lang w:bidi="ar"/>
              </w:rPr>
              <w:t xml:space="preserve">     </w:t>
            </w:r>
            <w:r>
              <w:rPr>
                <w:rFonts w:hint="eastAsia"/>
                <w:b/>
                <w:bCs/>
                <w:color w:val="000000"/>
                <w:kern w:val="0"/>
                <w:sz w:val="21"/>
                <w:szCs w:val="21"/>
                <w:u w:val="none"/>
                <w:lang w:bidi="ar"/>
              </w:rPr>
              <w:t>需氧量</w:t>
            </w:r>
          </w:p>
        </w:tc>
        <w:tc>
          <w:tcPr>
            <w:tcW w:w="673"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五日生化需氧量</w:t>
            </w:r>
          </w:p>
        </w:tc>
        <w:tc>
          <w:tcPr>
            <w:tcW w:w="673"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氨氮</w:t>
            </w:r>
          </w:p>
        </w:tc>
        <w:tc>
          <w:tcPr>
            <w:tcW w:w="807"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总磷</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铜</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锌</w:t>
            </w:r>
          </w:p>
        </w:tc>
        <w:tc>
          <w:tcPr>
            <w:tcW w:w="80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sz w:val="21"/>
                <w:szCs w:val="21"/>
                <w:u w:val="none"/>
              </w:rPr>
              <w:t>氟化物</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sz w:val="21"/>
                <w:szCs w:val="21"/>
                <w:u w:val="none"/>
              </w:rPr>
              <w:t>硒</w:t>
            </w:r>
          </w:p>
        </w:tc>
        <w:tc>
          <w:tcPr>
            <w:tcW w:w="942"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砷</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汞</w:t>
            </w:r>
          </w:p>
        </w:tc>
        <w:tc>
          <w:tcPr>
            <w:tcW w:w="942"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镉</w:t>
            </w:r>
          </w:p>
        </w:tc>
        <w:tc>
          <w:tcPr>
            <w:tcW w:w="942"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六价铬</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铅</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氰化物</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sz w:val="21"/>
                <w:szCs w:val="21"/>
                <w:u w:val="none"/>
              </w:rPr>
              <w:t>挥发酚</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石油类</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阴离子表面活性剂</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b/>
                <w:bCs/>
                <w:color w:val="000000"/>
                <w:sz w:val="21"/>
                <w:szCs w:val="21"/>
                <w:u w:val="none"/>
              </w:rPr>
            </w:pPr>
            <w:r>
              <w:rPr>
                <w:rFonts w:hint="eastAsia"/>
                <w:b/>
                <w:bCs/>
                <w:color w:val="000000"/>
                <w:kern w:val="0"/>
                <w:sz w:val="21"/>
                <w:szCs w:val="21"/>
                <w:u w:val="none"/>
                <w:lang w:bidi="ar"/>
              </w:rPr>
              <w:t>硫化物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236" w:type="dxa"/>
            <w:vMerge w:val="restart"/>
            <w:tcBorders>
              <w:right w:val="single" w:color="auto" w:sz="4" w:space="0"/>
            </w:tcBorders>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r>
              <w:rPr>
                <w:rFonts w:hint="eastAsia"/>
                <w:color w:val="000000"/>
                <w:sz w:val="21"/>
                <w:szCs w:val="21"/>
                <w:u w:val="none"/>
              </w:rPr>
              <w:t>永顺县污水处理厂下游</w:t>
            </w:r>
          </w:p>
        </w:tc>
        <w:tc>
          <w:tcPr>
            <w:tcW w:w="538" w:type="dxa"/>
            <w:vMerge w:val="restart"/>
            <w:tcBorders>
              <w:left w:val="single" w:color="auto" w:sz="4" w:space="0"/>
            </w:tcBorders>
            <w:noWrap w:val="0"/>
            <w:vAlign w:val="center"/>
          </w:tcPr>
          <w:p>
            <w:pPr>
              <w:spacing w:line="240" w:lineRule="auto"/>
              <w:ind w:firstLine="0" w:firstLineChars="0"/>
              <w:jc w:val="center"/>
              <w:textAlignment w:val="center"/>
              <w:rPr>
                <w:rFonts w:hint="default" w:eastAsia="宋体"/>
                <w:color w:val="000000"/>
                <w:sz w:val="21"/>
                <w:szCs w:val="21"/>
                <w:u w:val="none"/>
                <w:lang w:val="en-US" w:eastAsia="zh-CN"/>
              </w:rPr>
            </w:pPr>
            <w:r>
              <w:rPr>
                <w:rFonts w:hint="eastAsia"/>
                <w:color w:val="000000"/>
                <w:sz w:val="21"/>
                <w:szCs w:val="21"/>
                <w:u w:val="none"/>
                <w:lang w:val="en-US" w:eastAsia="zh-CN"/>
              </w:rPr>
              <w:t>2019</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r>
              <w:rPr>
                <w:rFonts w:hint="eastAsia"/>
                <w:color w:val="000000"/>
                <w:kern w:val="0"/>
                <w:sz w:val="21"/>
                <w:szCs w:val="21"/>
                <w:u w:val="none"/>
                <w:lang w:bidi="ar"/>
              </w:rPr>
              <w:t>年均值</w:t>
            </w:r>
          </w:p>
        </w:tc>
        <w:tc>
          <w:tcPr>
            <w:tcW w:w="67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7.8</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7.9</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1.2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7.0</w:t>
            </w:r>
          </w:p>
        </w:tc>
        <w:tc>
          <w:tcPr>
            <w:tcW w:w="67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1.0</w:t>
            </w:r>
          </w:p>
        </w:tc>
        <w:tc>
          <w:tcPr>
            <w:tcW w:w="67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0.24</w:t>
            </w:r>
          </w:p>
        </w:tc>
        <w:tc>
          <w:tcPr>
            <w:tcW w:w="80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0.062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0.0005</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0.02</w:t>
            </w:r>
          </w:p>
        </w:tc>
        <w:tc>
          <w:tcPr>
            <w:tcW w:w="80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0.18</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0.0002</w:t>
            </w:r>
          </w:p>
        </w:tc>
        <w:tc>
          <w:tcPr>
            <w:tcW w:w="9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0.00002</w:t>
            </w:r>
          </w:p>
        </w:tc>
        <w:tc>
          <w:tcPr>
            <w:tcW w:w="9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0.00005</w:t>
            </w:r>
          </w:p>
        </w:tc>
        <w:tc>
          <w:tcPr>
            <w:tcW w:w="9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0.001</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0.01</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236" w:type="dxa"/>
            <w:vMerge w:val="continue"/>
            <w:tcBorders>
              <w:righ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vMerge w:val="continue"/>
            <w:tcBorders>
              <w:lef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r>
              <w:rPr>
                <w:rFonts w:hint="eastAsia"/>
                <w:color w:val="000000"/>
                <w:kern w:val="0"/>
                <w:sz w:val="21"/>
                <w:szCs w:val="21"/>
                <w:u w:val="none"/>
                <w:lang w:bidi="ar"/>
              </w:rPr>
              <w:t>超标率%</w:t>
            </w:r>
          </w:p>
        </w:tc>
        <w:tc>
          <w:tcPr>
            <w:tcW w:w="673"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673"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673"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807"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80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942"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942"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942"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outlineLvl w:val="9"/>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236" w:type="dxa"/>
            <w:vMerge w:val="continue"/>
            <w:tcBorders>
              <w:righ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vMerge w:val="continue"/>
            <w:tcBorders>
              <w:lef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r>
              <w:rPr>
                <w:rFonts w:hint="eastAsia"/>
                <w:color w:val="000000"/>
                <w:kern w:val="0"/>
                <w:sz w:val="21"/>
                <w:szCs w:val="21"/>
                <w:u w:val="none"/>
                <w:lang w:bidi="ar"/>
              </w:rPr>
              <w:t>超标倍数</w:t>
            </w:r>
          </w:p>
        </w:tc>
        <w:tc>
          <w:tcPr>
            <w:tcW w:w="673"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673"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673"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807"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80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942"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942"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942"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rPr>
                <w:sz w:val="21"/>
                <w:szCs w:val="21"/>
                <w:u w:val="none"/>
              </w:rPr>
            </w:pPr>
            <w:r>
              <w:rPr>
                <w:sz w:val="21"/>
                <w:szCs w:val="21"/>
                <w:u w:val="none"/>
              </w:rPr>
              <w:t>/</w:t>
            </w:r>
          </w:p>
        </w:tc>
        <w:tc>
          <w:tcPr>
            <w:tcW w:w="538" w:type="dxa"/>
            <w:noWrap w:val="0"/>
            <w:tcMar>
              <w:top w:w="15" w:type="dxa"/>
              <w:left w:w="15" w:type="dxa"/>
              <w:bottom w:w="15" w:type="dxa"/>
              <w:right w:w="15" w:type="dxa"/>
            </w:tcMar>
            <w:vAlign w:val="center"/>
          </w:tcPr>
          <w:p>
            <w:pPr>
              <w:pStyle w:val="97"/>
              <w:outlineLvl w:val="9"/>
              <w:rPr>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236" w:type="dxa"/>
            <w:vMerge w:val="continue"/>
            <w:tcBorders>
              <w:right w:val="single" w:color="auto" w:sz="4" w:space="0"/>
            </w:tcBorders>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p>
        </w:tc>
        <w:tc>
          <w:tcPr>
            <w:tcW w:w="538" w:type="dxa"/>
            <w:vMerge w:val="restart"/>
            <w:tcBorders>
              <w:left w:val="single" w:color="auto" w:sz="4" w:space="0"/>
            </w:tcBorders>
            <w:noWrap w:val="0"/>
            <w:vAlign w:val="center"/>
          </w:tcPr>
          <w:p>
            <w:pPr>
              <w:spacing w:line="240" w:lineRule="auto"/>
              <w:ind w:firstLine="0" w:firstLineChars="0"/>
              <w:jc w:val="center"/>
              <w:textAlignment w:val="center"/>
              <w:rPr>
                <w:rFonts w:hint="default" w:eastAsia="宋体"/>
                <w:color w:val="000000"/>
                <w:sz w:val="21"/>
                <w:szCs w:val="21"/>
                <w:u w:val="none"/>
                <w:lang w:val="en-US" w:eastAsia="zh-CN"/>
              </w:rPr>
            </w:pPr>
            <w:r>
              <w:rPr>
                <w:rFonts w:hint="eastAsia"/>
                <w:color w:val="000000"/>
                <w:sz w:val="21"/>
                <w:szCs w:val="21"/>
                <w:u w:val="none"/>
              </w:rPr>
              <w:t>20</w:t>
            </w:r>
            <w:r>
              <w:rPr>
                <w:rFonts w:hint="eastAsia"/>
                <w:color w:val="000000"/>
                <w:sz w:val="21"/>
                <w:szCs w:val="21"/>
                <w:u w:val="none"/>
                <w:lang w:val="en-US" w:eastAsia="zh-CN"/>
              </w:rPr>
              <w:t>20</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r>
              <w:rPr>
                <w:rFonts w:hint="eastAsia"/>
                <w:color w:val="000000"/>
                <w:kern w:val="0"/>
                <w:sz w:val="21"/>
                <w:szCs w:val="21"/>
                <w:u w:val="none"/>
                <w:lang w:bidi="ar"/>
              </w:rPr>
              <w:t>年均值</w:t>
            </w:r>
          </w:p>
        </w:tc>
        <w:tc>
          <w:tcPr>
            <w:tcW w:w="67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kern w:val="2"/>
                <w:sz w:val="21"/>
                <w:szCs w:val="21"/>
                <w:u w:val="none"/>
              </w:rPr>
            </w:pPr>
            <w:r>
              <w:rPr>
                <w:rFonts w:hint="eastAsia" w:ascii="Times New Roman" w:hAnsi="Times New Roman" w:eastAsia="宋体" w:cs="宋体"/>
                <w:i w:val="0"/>
                <w:iCs w:val="0"/>
                <w:color w:val="000000"/>
                <w:kern w:val="0"/>
                <w:sz w:val="21"/>
                <w:szCs w:val="21"/>
                <w:u w:val="none"/>
                <w:lang w:val="en-US" w:eastAsia="zh-CN" w:bidi="ar"/>
              </w:rPr>
              <w:t>7</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8.1</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1.4</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6.5</w:t>
            </w:r>
          </w:p>
        </w:tc>
        <w:tc>
          <w:tcPr>
            <w:tcW w:w="67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1.2</w:t>
            </w:r>
          </w:p>
        </w:tc>
        <w:tc>
          <w:tcPr>
            <w:tcW w:w="67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0.22</w:t>
            </w:r>
          </w:p>
        </w:tc>
        <w:tc>
          <w:tcPr>
            <w:tcW w:w="80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0.026</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0.003</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0.014</w:t>
            </w:r>
          </w:p>
        </w:tc>
        <w:tc>
          <w:tcPr>
            <w:tcW w:w="80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0.158</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0.0002</w:t>
            </w:r>
          </w:p>
        </w:tc>
        <w:tc>
          <w:tcPr>
            <w:tcW w:w="9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0.00002</w:t>
            </w:r>
          </w:p>
        </w:tc>
        <w:tc>
          <w:tcPr>
            <w:tcW w:w="9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0.00003</w:t>
            </w:r>
          </w:p>
        </w:tc>
        <w:tc>
          <w:tcPr>
            <w:tcW w:w="9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0.0004</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0.01</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0.02</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236" w:type="dxa"/>
            <w:vMerge w:val="continue"/>
            <w:tcBorders>
              <w:righ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vMerge w:val="continue"/>
            <w:tcBorders>
              <w:lef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r>
              <w:rPr>
                <w:rFonts w:hint="eastAsia"/>
                <w:color w:val="000000"/>
                <w:kern w:val="0"/>
                <w:sz w:val="21"/>
                <w:szCs w:val="21"/>
                <w:u w:val="none"/>
                <w:lang w:bidi="ar"/>
              </w:rPr>
              <w:t>超标率%</w:t>
            </w:r>
          </w:p>
        </w:tc>
        <w:tc>
          <w:tcPr>
            <w:tcW w:w="673"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673"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673"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807"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80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942"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942"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942"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outlineLvl w:val="9"/>
              <w:rPr>
                <w:rFonts w:ascii="Times New Roman" w:hAnsi="Times New Roman"/>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236" w:type="dxa"/>
            <w:vMerge w:val="continue"/>
            <w:tcBorders>
              <w:righ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vMerge w:val="continue"/>
            <w:tcBorders>
              <w:lef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r>
              <w:rPr>
                <w:rFonts w:hint="eastAsia"/>
                <w:color w:val="000000"/>
                <w:kern w:val="0"/>
                <w:sz w:val="21"/>
                <w:szCs w:val="21"/>
                <w:u w:val="none"/>
                <w:lang w:bidi="ar"/>
              </w:rPr>
              <w:t>超标倍数</w:t>
            </w:r>
          </w:p>
        </w:tc>
        <w:tc>
          <w:tcPr>
            <w:tcW w:w="673"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673"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673"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807"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80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942"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942"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942"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rPr>
                <w:rFonts w:ascii="Times New Roman" w:hAnsi="Times New Roman"/>
                <w:sz w:val="21"/>
                <w:szCs w:val="21"/>
                <w:u w:val="none"/>
              </w:rPr>
            </w:pPr>
            <w:r>
              <w:rPr>
                <w:rFonts w:ascii="Times New Roman" w:hAnsi="Times New Roman"/>
                <w:sz w:val="21"/>
                <w:szCs w:val="21"/>
                <w:u w:val="none"/>
              </w:rPr>
              <w:t>/</w:t>
            </w:r>
          </w:p>
        </w:tc>
        <w:tc>
          <w:tcPr>
            <w:tcW w:w="538" w:type="dxa"/>
            <w:noWrap w:val="0"/>
            <w:tcMar>
              <w:top w:w="15" w:type="dxa"/>
              <w:left w:w="15" w:type="dxa"/>
              <w:bottom w:w="15" w:type="dxa"/>
              <w:right w:w="15" w:type="dxa"/>
            </w:tcMar>
            <w:vAlign w:val="center"/>
          </w:tcPr>
          <w:p>
            <w:pPr>
              <w:pStyle w:val="97"/>
              <w:outlineLvl w:val="9"/>
              <w:rPr>
                <w:rFonts w:ascii="Times New Roman" w:hAnsi="Times New Roman"/>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236" w:type="dxa"/>
            <w:vMerge w:val="continue"/>
            <w:tcBorders>
              <w:right w:val="single" w:color="auto" w:sz="4" w:space="0"/>
            </w:tcBorders>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p>
        </w:tc>
        <w:tc>
          <w:tcPr>
            <w:tcW w:w="538" w:type="dxa"/>
            <w:vMerge w:val="restart"/>
            <w:tcBorders>
              <w:left w:val="single" w:color="auto" w:sz="4" w:space="0"/>
            </w:tcBorders>
            <w:noWrap w:val="0"/>
            <w:vAlign w:val="center"/>
          </w:tcPr>
          <w:p>
            <w:pPr>
              <w:spacing w:line="240" w:lineRule="auto"/>
              <w:ind w:firstLine="0" w:firstLineChars="0"/>
              <w:jc w:val="center"/>
              <w:textAlignment w:val="center"/>
              <w:rPr>
                <w:rFonts w:hint="eastAsia" w:eastAsia="宋体"/>
                <w:color w:val="000000"/>
                <w:sz w:val="21"/>
                <w:szCs w:val="21"/>
                <w:u w:val="none"/>
                <w:lang w:eastAsia="zh-CN"/>
              </w:rPr>
            </w:pPr>
            <w:r>
              <w:rPr>
                <w:rFonts w:hint="eastAsia"/>
                <w:color w:val="000000"/>
                <w:sz w:val="21"/>
                <w:szCs w:val="21"/>
                <w:u w:val="none"/>
              </w:rPr>
              <w:t>20</w:t>
            </w:r>
            <w:r>
              <w:rPr>
                <w:color w:val="000000"/>
                <w:sz w:val="21"/>
                <w:szCs w:val="21"/>
                <w:u w:val="none"/>
              </w:rPr>
              <w:t>2</w:t>
            </w:r>
            <w:r>
              <w:rPr>
                <w:rFonts w:hint="eastAsia"/>
                <w:color w:val="000000"/>
                <w:sz w:val="21"/>
                <w:szCs w:val="21"/>
                <w:u w:val="none"/>
                <w:lang w:val="en-US" w:eastAsia="zh-CN"/>
              </w:rPr>
              <w:t>1</w:t>
            </w: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r>
              <w:rPr>
                <w:rFonts w:hint="eastAsia"/>
                <w:color w:val="000000"/>
                <w:kern w:val="0"/>
                <w:sz w:val="21"/>
                <w:szCs w:val="21"/>
                <w:u w:val="none"/>
                <w:lang w:bidi="ar"/>
              </w:rPr>
              <w:t>年均值</w:t>
            </w:r>
          </w:p>
        </w:tc>
        <w:tc>
          <w:tcPr>
            <w:tcW w:w="67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ascii="Times New Roman" w:hAnsi="Times New Roman"/>
                <w:kern w:val="2"/>
                <w:sz w:val="21"/>
                <w:szCs w:val="21"/>
                <w:u w:val="none"/>
              </w:rPr>
            </w:pPr>
            <w:r>
              <w:rPr>
                <w:rFonts w:hint="eastAsia" w:ascii="Times New Roman" w:hAnsi="Times New Roman" w:eastAsia="宋体" w:cs="宋体"/>
                <w:i w:val="0"/>
                <w:iCs w:val="0"/>
                <w:color w:val="000000"/>
                <w:kern w:val="0"/>
                <w:sz w:val="21"/>
                <w:szCs w:val="21"/>
                <w:u w:val="none"/>
                <w:lang w:val="en-US" w:eastAsia="zh-CN" w:bidi="ar"/>
              </w:rPr>
              <w:t>7.8</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7.3</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1.8</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10.0</w:t>
            </w:r>
          </w:p>
        </w:tc>
        <w:tc>
          <w:tcPr>
            <w:tcW w:w="67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1.5</w:t>
            </w:r>
          </w:p>
        </w:tc>
        <w:tc>
          <w:tcPr>
            <w:tcW w:w="67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0.23</w:t>
            </w:r>
          </w:p>
        </w:tc>
        <w:tc>
          <w:tcPr>
            <w:tcW w:w="80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0.050</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0.001</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0.004L</w:t>
            </w:r>
          </w:p>
        </w:tc>
        <w:tc>
          <w:tcPr>
            <w:tcW w:w="80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0.13</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0.00041L</w:t>
            </w:r>
          </w:p>
        </w:tc>
        <w:tc>
          <w:tcPr>
            <w:tcW w:w="9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0.001</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0.00004L</w:t>
            </w:r>
          </w:p>
        </w:tc>
        <w:tc>
          <w:tcPr>
            <w:tcW w:w="9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0.00005L</w:t>
            </w:r>
          </w:p>
        </w:tc>
        <w:tc>
          <w:tcPr>
            <w:tcW w:w="9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0.004L</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0.001</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0.001L</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0.0003L</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0.01L</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0.05L</w:t>
            </w:r>
          </w:p>
        </w:tc>
        <w:tc>
          <w:tcPr>
            <w:tcW w:w="538"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sz w:val="21"/>
                <w:szCs w:val="21"/>
                <w:u w:val="none"/>
              </w:rPr>
            </w:pPr>
            <w:r>
              <w:rPr>
                <w:rFonts w:hint="eastAsia" w:ascii="Times New Roman" w:hAnsi="Times New Roman" w:eastAsia="宋体" w:cs="宋体"/>
                <w:i w:val="0"/>
                <w:iCs w:val="0"/>
                <w:color w:val="000000"/>
                <w:kern w:val="0"/>
                <w:sz w:val="21"/>
                <w:szCs w:val="21"/>
                <w:u w:val="none"/>
                <w:lang w:val="en-US" w:eastAsia="zh-CN" w:bidi="ar"/>
              </w:rPr>
              <w:t>0.005L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236" w:type="dxa"/>
            <w:vMerge w:val="continue"/>
            <w:tcBorders>
              <w:righ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vMerge w:val="continue"/>
            <w:tcBorders>
              <w:lef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r>
              <w:rPr>
                <w:rFonts w:hint="eastAsia"/>
                <w:color w:val="000000"/>
                <w:kern w:val="0"/>
                <w:sz w:val="21"/>
                <w:szCs w:val="21"/>
                <w:u w:val="none"/>
                <w:lang w:bidi="ar"/>
              </w:rPr>
              <w:t>超标率%</w:t>
            </w:r>
          </w:p>
        </w:tc>
        <w:tc>
          <w:tcPr>
            <w:tcW w:w="673"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673"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673"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807"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80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942"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942"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942"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r>
              <w:rPr>
                <w:rFonts w:ascii="Times New Roman" w:hAnsi="Times New Roman"/>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rFonts w:ascii="Times New Roman" w:hAnsi="Times New Roman"/>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trPr>
        <w:tc>
          <w:tcPr>
            <w:tcW w:w="236" w:type="dxa"/>
            <w:vMerge w:val="continue"/>
            <w:tcBorders>
              <w:righ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vMerge w:val="continue"/>
            <w:tcBorders>
              <w:left w:val="single" w:color="auto" w:sz="4" w:space="0"/>
            </w:tcBorders>
            <w:noWrap w:val="0"/>
            <w:vAlign w:val="center"/>
          </w:tcPr>
          <w:p>
            <w:pPr>
              <w:spacing w:line="240" w:lineRule="auto"/>
              <w:ind w:firstLine="0" w:firstLineChars="0"/>
              <w:jc w:val="center"/>
              <w:rPr>
                <w:color w:val="000000"/>
                <w:sz w:val="21"/>
                <w:szCs w:val="21"/>
                <w:u w:val="none"/>
              </w:rPr>
            </w:pPr>
          </w:p>
        </w:tc>
        <w:tc>
          <w:tcPr>
            <w:tcW w:w="538" w:type="dxa"/>
            <w:noWrap w:val="0"/>
            <w:tcMar>
              <w:top w:w="15" w:type="dxa"/>
              <w:left w:w="15" w:type="dxa"/>
              <w:bottom w:w="15" w:type="dxa"/>
              <w:right w:w="15" w:type="dxa"/>
            </w:tcMar>
            <w:vAlign w:val="center"/>
          </w:tcPr>
          <w:p>
            <w:pPr>
              <w:spacing w:line="240" w:lineRule="auto"/>
              <w:ind w:firstLine="0" w:firstLineChars="0"/>
              <w:jc w:val="center"/>
              <w:textAlignment w:val="center"/>
              <w:rPr>
                <w:color w:val="000000"/>
                <w:sz w:val="21"/>
                <w:szCs w:val="21"/>
                <w:u w:val="none"/>
              </w:rPr>
            </w:pPr>
            <w:r>
              <w:rPr>
                <w:rFonts w:hint="eastAsia"/>
                <w:color w:val="000000"/>
                <w:kern w:val="0"/>
                <w:sz w:val="21"/>
                <w:szCs w:val="21"/>
                <w:u w:val="none"/>
                <w:lang w:bidi="ar"/>
              </w:rPr>
              <w:t>超标倍数</w:t>
            </w:r>
          </w:p>
        </w:tc>
        <w:tc>
          <w:tcPr>
            <w:tcW w:w="673"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673"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673"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807"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80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942"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942"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942"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r>
              <w:rPr>
                <w:color w:val="000000"/>
                <w:sz w:val="21"/>
                <w:szCs w:val="21"/>
                <w:u w:val="none"/>
              </w:rPr>
              <w:t>/</w:t>
            </w:r>
          </w:p>
        </w:tc>
        <w:tc>
          <w:tcPr>
            <w:tcW w:w="538" w:type="dxa"/>
            <w:noWrap w:val="0"/>
            <w:tcMar>
              <w:top w:w="15" w:type="dxa"/>
              <w:left w:w="15" w:type="dxa"/>
              <w:bottom w:w="15" w:type="dxa"/>
              <w:right w:w="15" w:type="dxa"/>
            </w:tcMar>
            <w:vAlign w:val="center"/>
          </w:tcPr>
          <w:p>
            <w:pPr>
              <w:spacing w:line="240" w:lineRule="auto"/>
              <w:ind w:firstLine="0" w:firstLineChars="0"/>
              <w:jc w:val="center"/>
              <w:rPr>
                <w:color w:val="000000"/>
                <w:sz w:val="21"/>
                <w:szCs w:val="21"/>
                <w:u w:val="none"/>
              </w:rPr>
            </w:pPr>
          </w:p>
        </w:tc>
      </w:tr>
    </w:tbl>
    <w:p>
      <w:pPr>
        <w:ind w:firstLine="560"/>
        <w:jc w:val="both"/>
        <w:rPr>
          <w:rFonts w:hint="eastAsia"/>
          <w:u w:val="none"/>
        </w:rPr>
      </w:pPr>
      <w:r>
        <w:rPr>
          <w:u w:val="none"/>
        </w:rPr>
        <w:t>由</w:t>
      </w:r>
      <w:r>
        <w:rPr>
          <w:rFonts w:hint="eastAsia"/>
          <w:u w:val="none"/>
        </w:rPr>
        <w:t>上表</w:t>
      </w:r>
      <w:r>
        <w:rPr>
          <w:u w:val="none"/>
        </w:rPr>
        <w:t>可知，</w:t>
      </w:r>
      <w:r>
        <w:rPr>
          <w:rFonts w:hint="eastAsia"/>
          <w:szCs w:val="20"/>
          <w:u w:val="none"/>
        </w:rPr>
        <w:t>近三年永顺县污水处理厂下游断面水质各监测因子均满足</w:t>
      </w:r>
      <w:r>
        <w:rPr>
          <w:rFonts w:hint="eastAsia"/>
          <w:u w:val="none"/>
        </w:rPr>
        <w:t>《地表水环境质量标准》</w:t>
      </w:r>
      <w:r>
        <w:rPr>
          <w:u w:val="none"/>
        </w:rPr>
        <w:t>(GB3838-2002)</w:t>
      </w:r>
      <w:r>
        <w:rPr>
          <w:rFonts w:hint="eastAsia"/>
          <w:u w:val="none"/>
        </w:rPr>
        <w:t>的</w:t>
      </w:r>
      <w:r>
        <w:rPr>
          <w:u w:val="none"/>
        </w:rPr>
        <w:t>III</w:t>
      </w:r>
      <w:r>
        <w:rPr>
          <w:rFonts w:hint="eastAsia"/>
          <w:u w:val="none"/>
        </w:rPr>
        <w:t>类标准要求</w:t>
      </w:r>
      <w:r>
        <w:rPr>
          <w:rFonts w:hint="eastAsia"/>
          <w:u w:val="none"/>
          <w:lang w:eastAsia="zh-CN"/>
        </w:rPr>
        <w:t>。</w:t>
      </w:r>
      <w:r>
        <w:rPr>
          <w:rFonts w:hint="eastAsia"/>
          <w:u w:val="none"/>
        </w:rPr>
        <w:t>就水质变化趋势看，近三年</w:t>
      </w:r>
      <w:r>
        <w:rPr>
          <w:rFonts w:hint="eastAsia"/>
          <w:u w:val="none"/>
          <w:lang w:val="en-US" w:eastAsia="zh-CN"/>
        </w:rPr>
        <w:t>猛洞河</w:t>
      </w:r>
      <w:r>
        <w:rPr>
          <w:rFonts w:hint="eastAsia"/>
          <w:u w:val="none"/>
        </w:rPr>
        <w:t>水质监测的重金属因子浓度基本无变化，COD、BOD</w:t>
      </w:r>
      <w:r>
        <w:rPr>
          <w:rFonts w:hint="eastAsia"/>
          <w:u w:val="none"/>
          <w:vertAlign w:val="subscript"/>
        </w:rPr>
        <w:t>5</w:t>
      </w:r>
      <w:r>
        <w:rPr>
          <w:rFonts w:hint="eastAsia"/>
          <w:u w:val="none"/>
        </w:rPr>
        <w:t>、氨氮浓度稍有</w:t>
      </w:r>
      <w:r>
        <w:rPr>
          <w:rFonts w:hint="eastAsia"/>
          <w:u w:val="none"/>
          <w:lang w:val="en-US" w:eastAsia="zh-CN"/>
        </w:rPr>
        <w:t>升高</w:t>
      </w:r>
      <w:r>
        <w:rPr>
          <w:rFonts w:hint="eastAsia"/>
          <w:u w:val="none"/>
        </w:rPr>
        <w:t>，属于环境</w:t>
      </w:r>
      <w:r>
        <w:rPr>
          <w:rFonts w:hint="eastAsia"/>
          <w:u w:val="none"/>
          <w:lang w:val="en-US" w:eastAsia="zh-CN"/>
        </w:rPr>
        <w:t>恶化</w:t>
      </w:r>
      <w:r>
        <w:rPr>
          <w:rFonts w:hint="eastAsia"/>
          <w:u w:val="none"/>
        </w:rPr>
        <w:t>方向，总体上，近三年来</w:t>
      </w:r>
      <w:r>
        <w:rPr>
          <w:rFonts w:hint="eastAsia"/>
          <w:u w:val="none"/>
          <w:lang w:val="en-US" w:eastAsia="zh-CN"/>
        </w:rPr>
        <w:t>猛洞河</w:t>
      </w:r>
      <w:r>
        <w:rPr>
          <w:rFonts w:hint="eastAsia"/>
          <w:u w:val="none"/>
        </w:rPr>
        <w:t>水质变化不大，水质类分别处于</w:t>
      </w:r>
      <w:r>
        <w:rPr>
          <w:rFonts w:hint="eastAsia" w:ascii="宋体" w:hAnsi="宋体"/>
          <w:u w:val="none"/>
        </w:rPr>
        <w:t>Ⅰ</w:t>
      </w:r>
      <w:r>
        <w:rPr>
          <w:rFonts w:hint="eastAsia" w:ascii="Arial Unicode MS" w:hAnsi="Arial Unicode MS" w:eastAsia="Arial Unicode MS" w:cs="Arial Unicode MS"/>
          <w:u w:val="none"/>
        </w:rPr>
        <w:t>~</w:t>
      </w:r>
      <w:r>
        <w:rPr>
          <w:rFonts w:hint="eastAsia" w:ascii="宋体" w:hAnsi="宋体"/>
          <w:u w:val="none"/>
        </w:rPr>
        <w:t>Ⅲ类水平，年均为Ⅲ类水平，</w:t>
      </w:r>
      <w:r>
        <w:rPr>
          <w:rFonts w:hint="eastAsia"/>
          <w:u w:val="none"/>
        </w:rPr>
        <w:t>水质良好。</w:t>
      </w:r>
    </w:p>
    <w:p>
      <w:pPr>
        <w:ind w:firstLine="560"/>
        <w:jc w:val="center"/>
        <w:rPr>
          <w:b/>
          <w:color w:val="000000"/>
          <w:sz w:val="21"/>
          <w:szCs w:val="21"/>
          <w:u w:val="none"/>
        </w:rPr>
      </w:pPr>
      <w:r>
        <w:rPr>
          <w:b/>
          <w:color w:val="000000"/>
          <w:sz w:val="21"/>
          <w:szCs w:val="21"/>
          <w:u w:val="none"/>
        </w:rPr>
        <w:t>表</w:t>
      </w:r>
      <w:r>
        <w:rPr>
          <w:rFonts w:hint="eastAsia"/>
          <w:b/>
          <w:color w:val="000000"/>
          <w:sz w:val="21"/>
          <w:szCs w:val="21"/>
          <w:u w:val="none"/>
          <w:lang w:val="en-US" w:eastAsia="zh-CN"/>
        </w:rPr>
        <w:t>8.2-2</w:t>
      </w:r>
      <w:r>
        <w:rPr>
          <w:b/>
          <w:color w:val="000000"/>
          <w:sz w:val="21"/>
          <w:szCs w:val="21"/>
          <w:u w:val="none"/>
        </w:rPr>
        <w:t xml:space="preserve"> </w:t>
      </w:r>
      <w:r>
        <w:rPr>
          <w:rFonts w:hint="eastAsia"/>
          <w:b/>
          <w:color w:val="000000"/>
          <w:sz w:val="21"/>
          <w:szCs w:val="21"/>
          <w:u w:val="none"/>
          <w:lang w:val="en-US" w:eastAsia="zh-CN"/>
        </w:rPr>
        <w:t>猛洞河</w:t>
      </w:r>
      <w:r>
        <w:rPr>
          <w:rFonts w:hint="eastAsia"/>
          <w:b/>
          <w:color w:val="000000"/>
          <w:sz w:val="21"/>
          <w:szCs w:val="21"/>
          <w:u w:val="none"/>
        </w:rPr>
        <w:t>常规监测断面202</w:t>
      </w:r>
      <w:r>
        <w:rPr>
          <w:rFonts w:hint="eastAsia"/>
          <w:b/>
          <w:color w:val="000000"/>
          <w:sz w:val="21"/>
          <w:szCs w:val="21"/>
          <w:u w:val="none"/>
          <w:lang w:val="en-US" w:eastAsia="zh-CN"/>
        </w:rPr>
        <w:t>1</w:t>
      </w:r>
      <w:r>
        <w:rPr>
          <w:rFonts w:hint="eastAsia"/>
          <w:b/>
          <w:color w:val="000000"/>
          <w:sz w:val="21"/>
          <w:szCs w:val="21"/>
          <w:u w:val="none"/>
        </w:rPr>
        <w:t>年01月～2021年1</w:t>
      </w:r>
      <w:r>
        <w:rPr>
          <w:rFonts w:hint="eastAsia"/>
          <w:b/>
          <w:color w:val="000000"/>
          <w:sz w:val="21"/>
          <w:szCs w:val="21"/>
          <w:u w:val="none"/>
          <w:lang w:val="en-US" w:eastAsia="zh-CN"/>
        </w:rPr>
        <w:t>2</w:t>
      </w:r>
      <w:r>
        <w:rPr>
          <w:rFonts w:hint="eastAsia"/>
          <w:b/>
          <w:color w:val="000000"/>
          <w:sz w:val="21"/>
          <w:szCs w:val="21"/>
          <w:u w:val="none"/>
        </w:rPr>
        <w:t>月断面浓度</w:t>
      </w:r>
      <w:r>
        <w:rPr>
          <w:b/>
          <w:color w:val="000000"/>
          <w:sz w:val="21"/>
          <w:szCs w:val="21"/>
          <w:u w:val="none"/>
        </w:rPr>
        <w:t>情况</w:t>
      </w:r>
      <w:r>
        <w:rPr>
          <w:rFonts w:hint="eastAsia"/>
          <w:b/>
          <w:color w:val="000000"/>
          <w:sz w:val="21"/>
          <w:szCs w:val="21"/>
          <w:u w:val="none"/>
        </w:rPr>
        <w:t xml:space="preserve"> 浓度单位mg/L（PH除外）</w:t>
      </w:r>
    </w:p>
    <w:tbl>
      <w:tblPr>
        <w:tblStyle w:val="36"/>
        <w:tblW w:w="14685" w:type="dxa"/>
        <w:tblInd w:w="-74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0"/>
        <w:gridCol w:w="446"/>
        <w:gridCol w:w="481"/>
        <w:gridCol w:w="572"/>
        <w:gridCol w:w="677"/>
        <w:gridCol w:w="642"/>
        <w:gridCol w:w="653"/>
        <w:gridCol w:w="723"/>
        <w:gridCol w:w="560"/>
        <w:gridCol w:w="584"/>
        <w:gridCol w:w="629"/>
        <w:gridCol w:w="549"/>
        <w:gridCol w:w="780"/>
        <w:gridCol w:w="520"/>
        <w:gridCol w:w="650"/>
        <w:gridCol w:w="650"/>
        <w:gridCol w:w="650"/>
        <w:gridCol w:w="650"/>
        <w:gridCol w:w="650"/>
        <w:gridCol w:w="520"/>
        <w:gridCol w:w="520"/>
        <w:gridCol w:w="520"/>
        <w:gridCol w:w="546"/>
        <w:gridCol w:w="6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tblHeader/>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月份</w:t>
            </w:r>
          </w:p>
        </w:tc>
        <w:tc>
          <w:tcPr>
            <w:tcW w:w="446"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pH</w:t>
            </w:r>
            <w:r>
              <w:rPr>
                <w:rFonts w:hint="default" w:ascii="Times New Roman" w:hAnsi="Times New Roman" w:cs="Times New Roman"/>
                <w:b/>
                <w:bCs/>
                <w:color w:val="000000"/>
                <w:sz w:val="21"/>
                <w:szCs w:val="21"/>
                <w:u w:val="none"/>
                <w:lang w:bidi="ar"/>
              </w:rPr>
              <w:t>值</w:t>
            </w:r>
          </w:p>
        </w:tc>
        <w:tc>
          <w:tcPr>
            <w:tcW w:w="481"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溶解氧</w:t>
            </w:r>
          </w:p>
        </w:tc>
        <w:tc>
          <w:tcPr>
            <w:tcW w:w="572"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高锰酯盐指数</w:t>
            </w:r>
          </w:p>
        </w:tc>
        <w:tc>
          <w:tcPr>
            <w:tcW w:w="677"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kern w:val="0"/>
                <w:sz w:val="21"/>
                <w:szCs w:val="21"/>
                <w:u w:val="none"/>
                <w:lang w:bidi="ar"/>
              </w:rPr>
            </w:pPr>
            <w:r>
              <w:rPr>
                <w:rFonts w:hint="default" w:ascii="Times New Roman" w:hAnsi="Times New Roman" w:cs="Times New Roman"/>
                <w:b/>
                <w:bCs/>
                <w:color w:val="000000"/>
                <w:kern w:val="0"/>
                <w:sz w:val="21"/>
                <w:szCs w:val="21"/>
                <w:u w:val="none"/>
                <w:lang w:bidi="ar"/>
              </w:rPr>
              <w:t>化学需氧量</w:t>
            </w:r>
          </w:p>
        </w:tc>
        <w:tc>
          <w:tcPr>
            <w:tcW w:w="642"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五日生化需氧量</w:t>
            </w:r>
          </w:p>
        </w:tc>
        <w:tc>
          <w:tcPr>
            <w:tcW w:w="653"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氨氮</w:t>
            </w:r>
          </w:p>
        </w:tc>
        <w:tc>
          <w:tcPr>
            <w:tcW w:w="723"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总磷</w:t>
            </w:r>
          </w:p>
        </w:tc>
        <w:tc>
          <w:tcPr>
            <w:tcW w:w="56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铜</w:t>
            </w:r>
          </w:p>
        </w:tc>
        <w:tc>
          <w:tcPr>
            <w:tcW w:w="584"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锌</w:t>
            </w:r>
          </w:p>
        </w:tc>
        <w:tc>
          <w:tcPr>
            <w:tcW w:w="629"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氟化物</w:t>
            </w:r>
          </w:p>
        </w:tc>
        <w:tc>
          <w:tcPr>
            <w:tcW w:w="549"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硒</w:t>
            </w:r>
          </w:p>
        </w:tc>
        <w:tc>
          <w:tcPr>
            <w:tcW w:w="78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砷</w:t>
            </w:r>
          </w:p>
        </w:tc>
        <w:tc>
          <w:tcPr>
            <w:tcW w:w="52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汞</w:t>
            </w:r>
          </w:p>
        </w:tc>
        <w:tc>
          <w:tcPr>
            <w:tcW w:w="65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镉</w:t>
            </w:r>
          </w:p>
        </w:tc>
        <w:tc>
          <w:tcPr>
            <w:tcW w:w="65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六价铬</w:t>
            </w:r>
          </w:p>
        </w:tc>
        <w:tc>
          <w:tcPr>
            <w:tcW w:w="65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铅</w:t>
            </w:r>
          </w:p>
        </w:tc>
        <w:tc>
          <w:tcPr>
            <w:tcW w:w="65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氰化物</w:t>
            </w:r>
          </w:p>
        </w:tc>
        <w:tc>
          <w:tcPr>
            <w:tcW w:w="65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挥发酚</w:t>
            </w:r>
          </w:p>
        </w:tc>
        <w:tc>
          <w:tcPr>
            <w:tcW w:w="52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石油类</w:t>
            </w:r>
          </w:p>
        </w:tc>
        <w:tc>
          <w:tcPr>
            <w:tcW w:w="52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阴离子表面活性剂</w:t>
            </w:r>
          </w:p>
        </w:tc>
        <w:tc>
          <w:tcPr>
            <w:tcW w:w="520" w:type="dxa"/>
            <w:noWrap w:val="0"/>
            <w:tcMar>
              <w:top w:w="15" w:type="dxa"/>
              <w:left w:w="15" w:type="dxa"/>
              <w:bottom w:w="15" w:type="dxa"/>
              <w:right w:w="15" w:type="dxa"/>
            </w:tcMar>
            <w:vAlign w:val="center"/>
          </w:tcPr>
          <w:p>
            <w:pPr>
              <w:spacing w:line="240" w:lineRule="auto"/>
              <w:ind w:firstLine="0" w:firstLineChars="0"/>
              <w:jc w:val="center"/>
              <w:textAlignment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kern w:val="0"/>
                <w:sz w:val="21"/>
                <w:szCs w:val="21"/>
                <w:u w:val="none"/>
                <w:lang w:bidi="ar"/>
              </w:rPr>
              <w:t>硫化物</w:t>
            </w:r>
          </w:p>
        </w:tc>
        <w:tc>
          <w:tcPr>
            <w:tcW w:w="546" w:type="dxa"/>
            <w:noWrap w:val="0"/>
            <w:vAlign w:val="center"/>
          </w:tcPr>
          <w:p>
            <w:pPr>
              <w:spacing w:line="240" w:lineRule="auto"/>
              <w:ind w:firstLine="0" w:firstLineChars="0"/>
              <w:jc w:val="center"/>
              <w:textAlignment w:val="center"/>
              <w:rPr>
                <w:rFonts w:hint="default" w:ascii="Times New Roman" w:hAnsi="Times New Roman" w:cs="Times New Roman"/>
                <w:b/>
                <w:bCs/>
                <w:color w:val="000000"/>
                <w:kern w:val="0"/>
                <w:sz w:val="21"/>
                <w:szCs w:val="21"/>
                <w:u w:val="none"/>
                <w:lang w:bidi="ar"/>
              </w:rPr>
            </w:pPr>
            <w:r>
              <w:rPr>
                <w:rFonts w:hint="default" w:ascii="Times New Roman" w:hAnsi="Times New Roman" w:cs="Times New Roman"/>
                <w:b/>
                <w:bCs/>
                <w:color w:val="000000"/>
                <w:kern w:val="0"/>
                <w:sz w:val="21"/>
                <w:szCs w:val="21"/>
                <w:u w:val="none"/>
                <w:lang w:bidi="ar"/>
              </w:rPr>
              <w:t>水质类别</w:t>
            </w:r>
          </w:p>
        </w:tc>
        <w:tc>
          <w:tcPr>
            <w:tcW w:w="623" w:type="dxa"/>
            <w:noWrap w:val="0"/>
            <w:vAlign w:val="center"/>
          </w:tcPr>
          <w:p>
            <w:pPr>
              <w:spacing w:line="240" w:lineRule="auto"/>
              <w:ind w:firstLine="0" w:firstLineChars="0"/>
              <w:jc w:val="center"/>
              <w:textAlignment w:val="center"/>
              <w:rPr>
                <w:rFonts w:hint="default" w:ascii="Times New Roman" w:hAnsi="Times New Roman" w:cs="Times New Roman"/>
                <w:b/>
                <w:bCs/>
                <w:color w:val="000000"/>
                <w:kern w:val="0"/>
                <w:sz w:val="21"/>
                <w:szCs w:val="21"/>
                <w:u w:val="none"/>
                <w:lang w:bidi="ar"/>
              </w:rPr>
            </w:pPr>
            <w:r>
              <w:rPr>
                <w:rFonts w:hint="default" w:ascii="Times New Roman" w:hAnsi="Times New Roman" w:cs="Times New Roman"/>
                <w:b/>
                <w:bCs/>
                <w:color w:val="000000"/>
                <w:kern w:val="0"/>
                <w:sz w:val="21"/>
                <w:szCs w:val="21"/>
                <w:u w:val="none"/>
                <w:lang w:bidi="ar"/>
              </w:rPr>
              <w:t>超标污染物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2021年01月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0.60</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0.130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0.0007L</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0.149</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0.0006</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0.00005L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0.00009L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2021年02月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0.020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0.0007L</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0.081</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0.00005L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0.00009L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2021年03月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0.020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0.071</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0.0016</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0.00009</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2021年04月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0.040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0.056</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0.0020</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0.00005L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2021年05月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0.030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0.0013</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0.00005L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2021年06月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0.9</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0.31</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0.040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0.0002</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0.043</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0.00041L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0.00005L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0.00009L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2021年07月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0.40</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0.070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0.080</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0.00041L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0.00005L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2021年08月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0.040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0.110</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0.00041L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0.00005L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2021年09月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0.28</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0.040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0.00008L</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0.150</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0.00041L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0.00005L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0.00009L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2021年10月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0.27</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0.00008L</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0.154</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0.00041L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0.0009</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0.00022</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0.00009L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2021年11月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0.9</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0.29</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0.060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0.00008L</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0.283</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0.00041L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0.0011</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0.00005L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0.00009L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90" w:type="dxa"/>
            <w:tcBorders>
              <w:left w:val="single" w:color="auto" w:sz="4" w:space="0"/>
            </w:tcBorders>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val="en-US" w:eastAsia="zh-CN" w:bidi="ar"/>
              </w:rPr>
              <w:t>2021年12月</w:t>
            </w:r>
          </w:p>
        </w:tc>
        <w:tc>
          <w:tcPr>
            <w:tcW w:w="446"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81"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57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77"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642"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5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0.30</w:t>
            </w:r>
          </w:p>
        </w:tc>
        <w:tc>
          <w:tcPr>
            <w:tcW w:w="723"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0.060</w:t>
            </w:r>
          </w:p>
        </w:tc>
        <w:tc>
          <w:tcPr>
            <w:tcW w:w="56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0.0002</w:t>
            </w:r>
          </w:p>
        </w:tc>
        <w:tc>
          <w:tcPr>
            <w:tcW w:w="584"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2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0.304</w:t>
            </w:r>
          </w:p>
        </w:tc>
        <w:tc>
          <w:tcPr>
            <w:tcW w:w="549"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0.00041L</w:t>
            </w:r>
          </w:p>
        </w:tc>
        <w:tc>
          <w:tcPr>
            <w:tcW w:w="78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0.0011</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0.00010</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0.004L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0.00009L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0.001L</w:t>
            </w:r>
          </w:p>
        </w:tc>
        <w:tc>
          <w:tcPr>
            <w:tcW w:w="65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0.0003L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0.01L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0.05L</w:t>
            </w:r>
          </w:p>
        </w:tc>
        <w:tc>
          <w:tcPr>
            <w:tcW w:w="520" w:type="dxa"/>
            <w:noWrap w:val="0"/>
            <w:tcMar>
              <w:top w:w="15" w:type="dxa"/>
              <w:left w:w="15" w:type="dxa"/>
              <w:bottom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cs="Times New Roman"/>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0.005L</w:t>
            </w:r>
          </w:p>
        </w:tc>
        <w:tc>
          <w:tcPr>
            <w:tcW w:w="546"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Ⅱ</w:t>
            </w:r>
          </w:p>
        </w:tc>
        <w:tc>
          <w:tcPr>
            <w:tcW w:w="623" w:type="dxa"/>
            <w:noWrap w:val="0"/>
            <w:vAlign w:val="center"/>
          </w:tcPr>
          <w:p>
            <w:pPr>
              <w:spacing w:line="240" w:lineRule="auto"/>
              <w:ind w:firstLine="0" w:firstLineChars="0"/>
              <w:jc w:val="center"/>
              <w:rPr>
                <w:rFonts w:hint="default" w:ascii="Times New Roman" w:hAnsi="Times New Roman" w:cs="Times New Roman"/>
                <w:color w:val="000000"/>
                <w:kern w:val="0"/>
                <w:sz w:val="21"/>
                <w:szCs w:val="21"/>
                <w:u w:val="none"/>
                <w:lang w:bidi="ar"/>
              </w:rPr>
            </w:pPr>
            <w:r>
              <w:rPr>
                <w:rFonts w:hint="default" w:ascii="Times New Roman" w:hAnsi="Times New Roman" w:cs="Times New Roman"/>
                <w:color w:val="000000"/>
                <w:kern w:val="0"/>
                <w:sz w:val="21"/>
                <w:szCs w:val="21"/>
                <w:u w:val="none"/>
                <w:lang w:bidi="ar"/>
              </w:rPr>
              <w:t>/</w:t>
            </w:r>
          </w:p>
        </w:tc>
      </w:tr>
    </w:tbl>
    <w:p>
      <w:pPr>
        <w:bidi w:val="0"/>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t>由</w:t>
      </w:r>
      <w:r>
        <w:rPr>
          <w:rFonts w:hint="eastAsia"/>
        </w:rPr>
        <w:t>上表</w:t>
      </w:r>
      <w:r>
        <w:t>可知，</w:t>
      </w:r>
      <w:r>
        <w:rPr>
          <w:rFonts w:hint="eastAsia"/>
        </w:rPr>
        <w:t>永顺县污水处理厂下游断面因子均满足《地表水环境质量标准》</w:t>
      </w:r>
      <w:r>
        <w:t>GB3838-2002</w:t>
      </w:r>
      <w:r>
        <w:rPr>
          <w:rFonts w:hint="eastAsia"/>
        </w:rPr>
        <w:t>的</w:t>
      </w:r>
      <w:r>
        <w:t>III</w:t>
      </w:r>
      <w:r>
        <w:rPr>
          <w:rFonts w:hint="eastAsia"/>
        </w:rPr>
        <w:t>类标准要求</w:t>
      </w:r>
      <w:r>
        <w:rPr>
          <w:rFonts w:hint="eastAsia"/>
          <w:lang w:eastAsia="zh-CN"/>
        </w:rPr>
        <w:t>，</w:t>
      </w:r>
      <w:r>
        <w:t>总体而言，</w:t>
      </w:r>
      <w:r>
        <w:rPr>
          <w:rFonts w:hint="eastAsia"/>
          <w:lang w:eastAsia="zh-CN"/>
        </w:rPr>
        <w:t>项目区域内</w:t>
      </w:r>
      <w:r>
        <w:t>水质现状较好</w:t>
      </w:r>
      <w:r>
        <w:rPr>
          <w:rFonts w:hint="eastAsia"/>
          <w:lang w:eastAsia="zh-CN"/>
        </w:rPr>
        <w:t>。</w:t>
      </w:r>
    </w:p>
    <w:p>
      <w:pPr>
        <w:pStyle w:val="6"/>
        <w:bidi w:val="0"/>
        <w:rPr>
          <w:rFonts w:hint="default"/>
          <w:lang w:val="en-US" w:eastAsia="zh-CN"/>
        </w:rPr>
      </w:pPr>
      <w:r>
        <w:rPr>
          <w:rFonts w:hint="eastAsia"/>
          <w:lang w:val="en-US" w:eastAsia="zh-CN"/>
        </w:rPr>
        <w:t>8.2.4地表水质量现状调查</w:t>
      </w:r>
    </w:p>
    <w:p>
      <w:pPr>
        <w:bidi w:val="0"/>
        <w:jc w:val="both"/>
      </w:pPr>
      <w:r>
        <w:t>本评价地表水环境质量</w:t>
      </w:r>
      <w:r>
        <w:rPr>
          <w:rFonts w:hint="eastAsia"/>
          <w:lang w:val="en-US" w:eastAsia="zh-CN"/>
        </w:rPr>
        <w:t>采用了湘西州</w:t>
      </w:r>
      <w:r>
        <w:t>地表水监测资料，调查了解项目区域的环境质量现状。引用理由如下：</w:t>
      </w:r>
    </w:p>
    <w:p>
      <w:pPr>
        <w:bidi w:val="0"/>
        <w:jc w:val="both"/>
      </w:pPr>
      <w:r>
        <w:t>①引用监测时</w:t>
      </w:r>
      <w:r>
        <w:rPr>
          <w:rFonts w:hint="default"/>
        </w:rPr>
        <w:t>间为</w:t>
      </w:r>
      <w:r>
        <w:rPr>
          <w:rFonts w:hint="default"/>
          <w:lang w:val="en-US" w:eastAsia="zh-CN"/>
        </w:rPr>
        <w:t>20</w:t>
      </w:r>
      <w:r>
        <w:rPr>
          <w:rFonts w:hint="eastAsia"/>
          <w:lang w:val="en-US" w:eastAsia="zh-CN"/>
        </w:rPr>
        <w:t>21</w:t>
      </w:r>
      <w:r>
        <w:rPr>
          <w:rFonts w:hint="default"/>
          <w:lang w:val="en-US" w:eastAsia="zh-CN"/>
        </w:rPr>
        <w:t>.</w:t>
      </w:r>
      <w:r>
        <w:rPr>
          <w:rFonts w:hint="eastAsia"/>
          <w:lang w:val="en-US" w:eastAsia="zh-CN"/>
        </w:rPr>
        <w:t>12</w:t>
      </w:r>
      <w:r>
        <w:rPr>
          <w:rFonts w:hint="default"/>
          <w:lang w:val="en-US" w:eastAsia="zh-CN"/>
        </w:rPr>
        <w:t>.</w:t>
      </w:r>
      <w:r>
        <w:rPr>
          <w:rFonts w:hint="eastAsia"/>
          <w:lang w:val="en-US" w:eastAsia="zh-CN"/>
        </w:rPr>
        <w:t>4</w:t>
      </w:r>
      <w:r>
        <w:rPr>
          <w:rFonts w:hint="eastAsia"/>
          <w:lang w:eastAsia="zh-CN"/>
        </w:rPr>
        <w:t>，</w:t>
      </w:r>
      <w:r>
        <w:rPr>
          <w:rFonts w:hint="default"/>
        </w:rPr>
        <w:t>监测时</w:t>
      </w:r>
      <w:r>
        <w:t>间</w:t>
      </w:r>
      <w:r>
        <w:rPr>
          <w:rFonts w:hint="default"/>
        </w:rPr>
        <w:t>在3年</w:t>
      </w:r>
      <w:r>
        <w:t>有效期内;</w:t>
      </w:r>
    </w:p>
    <w:p>
      <w:pPr>
        <w:bidi w:val="0"/>
        <w:jc w:val="both"/>
      </w:pPr>
      <w:r>
        <w:t>②引用项目数据点为本项目纳污</w:t>
      </w:r>
      <w:r>
        <w:rPr>
          <w:rFonts w:hint="eastAsia"/>
        </w:rPr>
        <w:t>水环境区域</w:t>
      </w:r>
      <w:r>
        <w:t>;</w:t>
      </w:r>
    </w:p>
    <w:p>
      <w:pPr>
        <w:bidi w:val="0"/>
        <w:jc w:val="both"/>
      </w:pPr>
      <w:r>
        <w:t>③监测项目全面，包含了本项目污染因子;</w:t>
      </w:r>
    </w:p>
    <w:p>
      <w:pPr>
        <w:bidi w:val="0"/>
        <w:jc w:val="both"/>
      </w:pPr>
      <w:r>
        <w:t>④地表水环境质量现状与本项目建设前改变不大。</w:t>
      </w:r>
    </w:p>
    <w:p>
      <w:pPr>
        <w:bidi w:val="0"/>
        <w:jc w:val="both"/>
        <w:rPr>
          <w:rFonts w:hint="eastAsia"/>
          <w:lang w:val="en-US" w:eastAsia="zh-CN"/>
        </w:rPr>
      </w:pPr>
      <w:r>
        <w:rPr>
          <w:lang w:val="en-US"/>
        </w:rPr>
        <w:t>以下为引用内容</w:t>
      </w:r>
      <w:r>
        <w:rPr>
          <w:rFonts w:hint="eastAsia"/>
          <w:lang w:val="en-US" w:eastAsia="zh-CN"/>
        </w:rPr>
        <w:t>：</w:t>
      </w:r>
    </w:p>
    <w:p>
      <w:pPr>
        <w:bidi w:val="0"/>
        <w:jc w:val="both"/>
        <w:rPr>
          <w:lang w:val="en-US"/>
        </w:rPr>
      </w:pPr>
      <w:r>
        <w:rPr>
          <w:rFonts w:hint="default"/>
          <w:lang w:val="en-US"/>
        </w:rPr>
        <w:t>项目监测共</w:t>
      </w:r>
      <w:r>
        <w:rPr>
          <w:rFonts w:hint="default"/>
          <w:lang w:val="en-US" w:eastAsia="zh-CN"/>
        </w:rPr>
        <w:t>布置</w:t>
      </w:r>
      <w:r>
        <w:rPr>
          <w:rFonts w:hint="eastAsia"/>
          <w:lang w:val="en-US" w:eastAsia="zh-CN"/>
        </w:rPr>
        <w:t>1</w:t>
      </w:r>
      <w:r>
        <w:rPr>
          <w:rFonts w:hint="default"/>
          <w:lang w:val="en-US"/>
        </w:rPr>
        <w:t>个地表水监测点，监测断面分别为</w:t>
      </w:r>
      <w:r>
        <w:rPr>
          <w:rFonts w:hint="default"/>
          <w:lang w:val="en-US" w:eastAsia="zh-CN"/>
        </w:rPr>
        <w:t>项目拟建地猛洞河上游</w:t>
      </w:r>
      <w:r>
        <w:rPr>
          <w:rFonts w:hint="eastAsia"/>
          <w:lang w:val="en-US" w:eastAsia="zh-CN"/>
        </w:rPr>
        <w:t>2340</w:t>
      </w:r>
      <w:r>
        <w:rPr>
          <w:rFonts w:hint="default"/>
          <w:lang w:val="en-US" w:eastAsia="zh-CN"/>
        </w:rPr>
        <w:t>m处</w:t>
      </w:r>
      <w:r>
        <w:rPr>
          <w:rFonts w:hint="eastAsia"/>
          <w:lang w:val="en-US" w:eastAsia="zh-CN"/>
        </w:rPr>
        <w:t>（永顺县污水处理厂下游省控监测断面）</w:t>
      </w:r>
      <w:r>
        <w:rPr>
          <w:rFonts w:hint="default"/>
          <w:lang w:val="en-US"/>
        </w:rPr>
        <w:t>详见下表</w:t>
      </w:r>
      <w:r>
        <w:rPr>
          <w:rFonts w:hint="eastAsia"/>
          <w:lang w:val="en-US" w:eastAsia="zh-CN"/>
        </w:rPr>
        <w:t>8.2-3</w:t>
      </w:r>
      <w:r>
        <w:rPr>
          <w:rFonts w:hint="default"/>
          <w:lang w:val="en-US"/>
        </w:rPr>
        <w:t>，</w:t>
      </w:r>
    </w:p>
    <w:p>
      <w:pPr>
        <w:pStyle w:val="122"/>
        <w:spacing w:beforeLines="0"/>
        <w:rPr>
          <w:u w:val="none"/>
        </w:rPr>
      </w:pPr>
      <w:r>
        <w:rPr>
          <w:sz w:val="21"/>
          <w:szCs w:val="21"/>
          <w:u w:val="none"/>
        </w:rPr>
        <w:t>表</w:t>
      </w:r>
      <w:r>
        <w:rPr>
          <w:rFonts w:hint="eastAsia"/>
          <w:sz w:val="21"/>
          <w:szCs w:val="21"/>
          <w:u w:val="none"/>
          <w:lang w:val="en-US" w:eastAsia="zh-CN"/>
        </w:rPr>
        <w:t>8.2-3</w:t>
      </w:r>
      <w:r>
        <w:rPr>
          <w:rFonts w:hint="default"/>
          <w:sz w:val="21"/>
          <w:szCs w:val="21"/>
          <w:u w:val="none"/>
        </w:rPr>
        <w:t xml:space="preserve"> </w:t>
      </w:r>
      <w:r>
        <w:rPr>
          <w:sz w:val="21"/>
          <w:szCs w:val="21"/>
          <w:u w:val="none"/>
        </w:rPr>
        <w:t>项目地表水现状监测点位一览表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867"/>
        <w:gridCol w:w="1143"/>
        <w:gridCol w:w="2807"/>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68" w:type="pct"/>
            <w:noWrap w:val="0"/>
            <w:vAlign w:val="center"/>
          </w:tcPr>
          <w:p>
            <w:pPr>
              <w:spacing w:line="240" w:lineRule="auto"/>
              <w:ind w:firstLine="0" w:firstLineChars="0"/>
              <w:jc w:val="center"/>
              <w:rPr>
                <w:rFonts w:hint="default" w:ascii="Times New Roman" w:hAnsi="Times New Roman" w:cs="Times New Roman"/>
                <w:b/>
                <w:sz w:val="21"/>
                <w:szCs w:val="21"/>
                <w:u w:val="none"/>
              </w:rPr>
            </w:pPr>
            <w:r>
              <w:rPr>
                <w:rFonts w:hint="default" w:ascii="Times New Roman" w:hAnsi="Times New Roman" w:cs="Times New Roman"/>
                <w:b/>
                <w:sz w:val="21"/>
                <w:szCs w:val="21"/>
                <w:u w:val="none"/>
              </w:rPr>
              <w:t>编号</w:t>
            </w:r>
          </w:p>
        </w:tc>
        <w:tc>
          <w:tcPr>
            <w:tcW w:w="1095" w:type="pct"/>
            <w:noWrap w:val="0"/>
            <w:vAlign w:val="center"/>
          </w:tcPr>
          <w:p>
            <w:pPr>
              <w:spacing w:line="240" w:lineRule="auto"/>
              <w:ind w:firstLine="0" w:firstLineChars="0"/>
              <w:jc w:val="center"/>
              <w:rPr>
                <w:rFonts w:hint="default" w:ascii="Times New Roman" w:hAnsi="Times New Roman" w:cs="Times New Roman"/>
                <w:b/>
                <w:sz w:val="21"/>
                <w:szCs w:val="21"/>
                <w:u w:val="none"/>
              </w:rPr>
            </w:pPr>
            <w:r>
              <w:rPr>
                <w:rFonts w:hint="default" w:ascii="Times New Roman" w:hAnsi="Times New Roman" w:cs="Times New Roman"/>
                <w:b/>
                <w:sz w:val="21"/>
                <w:szCs w:val="21"/>
                <w:u w:val="none"/>
              </w:rPr>
              <w:t>名称</w:t>
            </w:r>
          </w:p>
        </w:tc>
        <w:tc>
          <w:tcPr>
            <w:tcW w:w="670" w:type="pct"/>
            <w:noWrap w:val="0"/>
            <w:vAlign w:val="center"/>
          </w:tcPr>
          <w:p>
            <w:pPr>
              <w:spacing w:line="240" w:lineRule="auto"/>
              <w:ind w:firstLine="0" w:firstLineChars="0"/>
              <w:jc w:val="center"/>
              <w:rPr>
                <w:rFonts w:hint="default" w:ascii="Times New Roman" w:hAnsi="Times New Roman" w:cs="Times New Roman"/>
                <w:b/>
                <w:sz w:val="21"/>
                <w:szCs w:val="21"/>
                <w:u w:val="none"/>
              </w:rPr>
            </w:pPr>
            <w:r>
              <w:rPr>
                <w:rFonts w:hint="default" w:ascii="Times New Roman" w:hAnsi="Times New Roman" w:cs="Times New Roman"/>
                <w:b/>
                <w:sz w:val="21"/>
                <w:szCs w:val="21"/>
                <w:u w:val="none"/>
              </w:rPr>
              <w:t>与本项目位置关系</w:t>
            </w:r>
          </w:p>
        </w:tc>
        <w:tc>
          <w:tcPr>
            <w:tcW w:w="1646" w:type="pct"/>
            <w:noWrap w:val="0"/>
            <w:vAlign w:val="center"/>
          </w:tcPr>
          <w:p>
            <w:pPr>
              <w:spacing w:line="240" w:lineRule="auto"/>
              <w:ind w:firstLine="0" w:firstLineChars="0"/>
              <w:jc w:val="center"/>
              <w:rPr>
                <w:rFonts w:hint="default" w:ascii="Times New Roman" w:hAnsi="Times New Roman" w:cs="Times New Roman"/>
                <w:b/>
                <w:sz w:val="21"/>
                <w:szCs w:val="21"/>
                <w:u w:val="none"/>
              </w:rPr>
            </w:pPr>
            <w:r>
              <w:rPr>
                <w:rFonts w:hint="default" w:ascii="Times New Roman" w:hAnsi="Times New Roman" w:cs="Times New Roman"/>
                <w:b/>
                <w:sz w:val="21"/>
                <w:szCs w:val="21"/>
                <w:u w:val="none"/>
              </w:rPr>
              <w:t>评价因子</w:t>
            </w:r>
          </w:p>
        </w:tc>
        <w:tc>
          <w:tcPr>
            <w:tcW w:w="1218" w:type="pct"/>
            <w:noWrap w:val="0"/>
            <w:vAlign w:val="center"/>
          </w:tcPr>
          <w:p>
            <w:pPr>
              <w:spacing w:line="240" w:lineRule="auto"/>
              <w:ind w:firstLine="0" w:firstLineChars="0"/>
              <w:jc w:val="center"/>
              <w:rPr>
                <w:rFonts w:hint="default" w:ascii="Times New Roman" w:hAnsi="Times New Roman" w:cs="Times New Roman"/>
                <w:b/>
                <w:sz w:val="21"/>
                <w:szCs w:val="21"/>
                <w:u w:val="none"/>
              </w:rPr>
            </w:pPr>
            <w:r>
              <w:rPr>
                <w:rFonts w:hint="default" w:ascii="Times New Roman" w:hAnsi="Times New Roman" w:cs="Times New Roman"/>
                <w:b/>
                <w:sz w:val="21"/>
                <w:szCs w:val="21"/>
                <w:u w:val="non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368" w:type="pct"/>
            <w:noWrap w:val="0"/>
            <w:vAlign w:val="center"/>
          </w:tcPr>
          <w:p>
            <w:pPr>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W1</w:t>
            </w:r>
          </w:p>
        </w:tc>
        <w:tc>
          <w:tcPr>
            <w:tcW w:w="1095" w:type="pct"/>
            <w:noWrap w:val="0"/>
            <w:vAlign w:val="center"/>
          </w:tcPr>
          <w:p>
            <w:pPr>
              <w:pStyle w:val="95"/>
              <w:spacing w:line="240" w:lineRule="auto"/>
              <w:ind w:firstLine="0" w:firstLineChars="0"/>
              <w:rPr>
                <w:rFonts w:hint="default" w:ascii="Times New Roman" w:hAnsi="Times New Roman" w:cs="Times New Roman"/>
                <w:sz w:val="21"/>
                <w:szCs w:val="21"/>
                <w:u w:val="none"/>
              </w:rPr>
            </w:pPr>
            <w:r>
              <w:rPr>
                <w:rFonts w:hint="eastAsia"/>
                <w:lang w:val="en-US" w:eastAsia="zh-CN"/>
              </w:rPr>
              <w:t>永顺县污水处理厂下游省控监测断面</w:t>
            </w:r>
          </w:p>
        </w:tc>
        <w:tc>
          <w:tcPr>
            <w:tcW w:w="670" w:type="pct"/>
            <w:noWrap w:val="0"/>
            <w:vAlign w:val="center"/>
          </w:tcPr>
          <w:p>
            <w:pPr>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c>
          <w:tcPr>
            <w:tcW w:w="1646" w:type="pct"/>
            <w:noWrap w:val="0"/>
            <w:vAlign w:val="center"/>
          </w:tcPr>
          <w:p>
            <w:pPr>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水温、pH、溶解氧、高锰酸盐指数、COD、BOD</w:t>
            </w:r>
            <w:r>
              <w:rPr>
                <w:rFonts w:hint="default" w:ascii="Times New Roman" w:hAnsi="Times New Roman" w:cs="Times New Roman"/>
                <w:sz w:val="21"/>
                <w:szCs w:val="21"/>
                <w:u w:val="none"/>
                <w:vertAlign w:val="subscript"/>
              </w:rPr>
              <w:t>5</w:t>
            </w:r>
            <w:r>
              <w:rPr>
                <w:rFonts w:hint="default" w:ascii="Times New Roman" w:hAnsi="Times New Roman" w:cs="Times New Roman"/>
                <w:sz w:val="21"/>
                <w:szCs w:val="21"/>
                <w:u w:val="none"/>
              </w:rPr>
              <w:t>、氨氮、总磷、</w:t>
            </w:r>
            <w:r>
              <w:rPr>
                <w:rFonts w:hint="default"/>
                <w:sz w:val="21"/>
                <w:szCs w:val="21"/>
                <w:lang w:val="en-US" w:eastAsia="zh-CN"/>
              </w:rPr>
              <w:t>铜</w:t>
            </w:r>
            <w:r>
              <w:rPr>
                <w:rFonts w:hint="eastAsia"/>
                <w:sz w:val="21"/>
                <w:szCs w:val="21"/>
                <w:lang w:val="en-US" w:eastAsia="zh-CN"/>
              </w:rPr>
              <w:t>、</w:t>
            </w:r>
            <w:r>
              <w:rPr>
                <w:rFonts w:hint="default"/>
                <w:sz w:val="21"/>
                <w:szCs w:val="21"/>
                <w:lang w:val="en-US" w:eastAsia="zh-CN"/>
              </w:rPr>
              <w:t>锌</w:t>
            </w:r>
            <w:r>
              <w:rPr>
                <w:rFonts w:hint="default" w:ascii="Times New Roman" w:hAnsi="Times New Roman" w:cs="Times New Roman"/>
                <w:sz w:val="21"/>
                <w:szCs w:val="21"/>
                <w:u w:val="none"/>
                <w:lang w:val="en-US" w:eastAsia="zh-CN"/>
              </w:rPr>
              <w:t>、</w:t>
            </w:r>
            <w:r>
              <w:rPr>
                <w:rFonts w:hint="default"/>
                <w:sz w:val="21"/>
                <w:szCs w:val="21"/>
                <w:lang w:val="en-US" w:eastAsia="zh-CN"/>
              </w:rPr>
              <w:t>硒</w:t>
            </w:r>
            <w:r>
              <w:rPr>
                <w:rFonts w:hint="eastAsia"/>
                <w:sz w:val="21"/>
                <w:szCs w:val="21"/>
                <w:lang w:val="en-US" w:eastAsia="zh-CN"/>
              </w:rPr>
              <w:t>、</w:t>
            </w:r>
            <w:r>
              <w:rPr>
                <w:rFonts w:hint="default"/>
                <w:sz w:val="21"/>
                <w:szCs w:val="21"/>
                <w:lang w:val="en-US" w:eastAsia="zh-CN"/>
              </w:rPr>
              <w:t>砷</w:t>
            </w:r>
            <w:r>
              <w:rPr>
                <w:rFonts w:hint="eastAsia"/>
                <w:sz w:val="21"/>
                <w:szCs w:val="21"/>
                <w:lang w:val="en-US" w:eastAsia="zh-CN"/>
              </w:rPr>
              <w:t>、</w:t>
            </w:r>
            <w:r>
              <w:rPr>
                <w:rFonts w:hint="default"/>
                <w:sz w:val="21"/>
                <w:szCs w:val="21"/>
                <w:lang w:val="en-US" w:eastAsia="zh-CN"/>
              </w:rPr>
              <w:t>汞</w:t>
            </w:r>
            <w:r>
              <w:rPr>
                <w:rFonts w:hint="eastAsia"/>
                <w:sz w:val="21"/>
                <w:szCs w:val="21"/>
                <w:lang w:val="en-US" w:eastAsia="zh-CN"/>
              </w:rPr>
              <w:t>、</w:t>
            </w:r>
            <w:r>
              <w:rPr>
                <w:rFonts w:hint="default"/>
                <w:sz w:val="21"/>
                <w:szCs w:val="21"/>
                <w:lang w:val="en-US" w:eastAsia="zh-CN"/>
              </w:rPr>
              <w:t>镉</w:t>
            </w:r>
            <w:r>
              <w:rPr>
                <w:rFonts w:hint="eastAsia"/>
                <w:sz w:val="21"/>
                <w:szCs w:val="21"/>
                <w:lang w:val="en-US" w:eastAsia="zh-CN"/>
              </w:rPr>
              <w:t>、</w:t>
            </w:r>
            <w:r>
              <w:rPr>
                <w:rFonts w:hint="default"/>
                <w:sz w:val="21"/>
                <w:szCs w:val="21"/>
                <w:lang w:val="en-US" w:eastAsia="zh-CN"/>
              </w:rPr>
              <w:t>六价铬</w:t>
            </w:r>
            <w:r>
              <w:rPr>
                <w:rFonts w:hint="eastAsia"/>
                <w:sz w:val="21"/>
                <w:szCs w:val="21"/>
                <w:lang w:val="en-US" w:eastAsia="zh-CN"/>
              </w:rPr>
              <w:t>、</w:t>
            </w:r>
            <w:r>
              <w:rPr>
                <w:rFonts w:hint="default"/>
                <w:sz w:val="21"/>
                <w:szCs w:val="21"/>
                <w:lang w:val="en-US" w:eastAsia="zh-CN"/>
              </w:rPr>
              <w:t>铅</w:t>
            </w:r>
            <w:r>
              <w:rPr>
                <w:rFonts w:hint="eastAsia"/>
                <w:sz w:val="21"/>
                <w:szCs w:val="21"/>
                <w:lang w:val="en-US" w:eastAsia="zh-CN"/>
              </w:rPr>
              <w:t>、</w:t>
            </w:r>
            <w:r>
              <w:rPr>
                <w:rFonts w:hint="default" w:ascii="Times New Roman" w:hAnsi="Times New Roman" w:cs="Times New Roman"/>
                <w:sz w:val="21"/>
                <w:szCs w:val="21"/>
                <w:u w:val="none"/>
                <w:lang w:val="en-US" w:eastAsia="zh-CN"/>
              </w:rPr>
              <w:t>氟化物、</w:t>
            </w:r>
            <w:r>
              <w:rPr>
                <w:rFonts w:hint="default"/>
                <w:sz w:val="21"/>
                <w:szCs w:val="21"/>
                <w:lang w:val="en-US" w:eastAsia="zh-CN"/>
              </w:rPr>
              <w:t>挥发酚</w:t>
            </w:r>
            <w:r>
              <w:rPr>
                <w:rFonts w:hint="eastAsia"/>
                <w:sz w:val="21"/>
                <w:szCs w:val="21"/>
                <w:lang w:val="en-US" w:eastAsia="zh-CN"/>
              </w:rPr>
              <w:t>、</w:t>
            </w:r>
            <w:r>
              <w:rPr>
                <w:rFonts w:hint="default" w:ascii="Times New Roman" w:hAnsi="Times New Roman" w:cs="Times New Roman"/>
                <w:sz w:val="21"/>
                <w:szCs w:val="21"/>
                <w:u w:val="none"/>
              </w:rPr>
              <w:t>石油类、阴离子表面活性剂、</w:t>
            </w:r>
            <w:r>
              <w:rPr>
                <w:rFonts w:hint="default"/>
                <w:sz w:val="21"/>
                <w:szCs w:val="21"/>
                <w:lang w:val="en-US" w:eastAsia="zh-CN"/>
              </w:rPr>
              <w:t>硫化物</w:t>
            </w:r>
            <w:r>
              <w:rPr>
                <w:rFonts w:hint="eastAsia"/>
                <w:sz w:val="21"/>
                <w:szCs w:val="21"/>
                <w:lang w:val="en-US" w:eastAsia="zh-CN"/>
              </w:rPr>
              <w:t>、</w:t>
            </w:r>
            <w:r>
              <w:rPr>
                <w:rFonts w:hint="default"/>
                <w:sz w:val="21"/>
                <w:szCs w:val="21"/>
                <w:lang w:val="en-US" w:eastAsia="zh-CN"/>
              </w:rPr>
              <w:t>水温</w:t>
            </w:r>
            <w:r>
              <w:rPr>
                <w:rFonts w:hint="eastAsia"/>
                <w:sz w:val="21"/>
                <w:szCs w:val="21"/>
                <w:lang w:val="en-US" w:eastAsia="zh-CN"/>
              </w:rPr>
              <w:t>、</w:t>
            </w:r>
            <w:r>
              <w:rPr>
                <w:rFonts w:hint="default"/>
                <w:sz w:val="21"/>
                <w:szCs w:val="21"/>
                <w:lang w:val="en-US" w:eastAsia="zh-CN"/>
              </w:rPr>
              <w:t>总氮</w:t>
            </w:r>
            <w:r>
              <w:rPr>
                <w:rFonts w:hint="eastAsia"/>
                <w:sz w:val="21"/>
                <w:szCs w:val="21"/>
                <w:lang w:val="en-US" w:eastAsia="zh-CN"/>
              </w:rPr>
              <w:t>、</w:t>
            </w:r>
            <w:r>
              <w:rPr>
                <w:rFonts w:hint="default" w:ascii="Times New Roman" w:hAnsi="Times New Roman" w:cs="Times New Roman"/>
                <w:sz w:val="21"/>
                <w:szCs w:val="21"/>
                <w:u w:val="none"/>
              </w:rPr>
              <w:t>粪大肠菌群</w:t>
            </w:r>
          </w:p>
        </w:tc>
        <w:tc>
          <w:tcPr>
            <w:tcW w:w="1218" w:type="pct"/>
            <w:noWrap w:val="0"/>
            <w:vAlign w:val="center"/>
          </w:tcPr>
          <w:p>
            <w:pPr>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202</w:t>
            </w:r>
            <w:r>
              <w:rPr>
                <w:rFonts w:hint="eastAsia" w:ascii="Times New Roman" w:hAnsi="Times New Roman" w:cs="Times New Roman"/>
                <w:sz w:val="21"/>
                <w:szCs w:val="21"/>
                <w:u w:val="none"/>
                <w:lang w:val="en-US" w:eastAsia="zh-CN"/>
              </w:rPr>
              <w:t>1.12.4</w:t>
            </w:r>
          </w:p>
        </w:tc>
      </w:tr>
    </w:tbl>
    <w:p>
      <w:pPr>
        <w:bidi w:val="0"/>
      </w:pPr>
      <w:r>
        <w:t>地表水常规监测统计结果见</w:t>
      </w:r>
      <w:r>
        <w:rPr>
          <w:rFonts w:hint="default"/>
        </w:rPr>
        <w:t>下表</w:t>
      </w:r>
      <w:r>
        <w:t>。</w:t>
      </w:r>
    </w:p>
    <w:p>
      <w:pPr>
        <w:keepNext w:val="0"/>
        <w:keepLines w:val="0"/>
        <w:pageBreakBefore w:val="0"/>
        <w:widowControl/>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b/>
          <w:bCs/>
          <w:w w:val="90"/>
          <w:sz w:val="21"/>
          <w:szCs w:val="21"/>
          <w:u w:val="none"/>
        </w:rPr>
      </w:pPr>
      <w:r>
        <w:rPr>
          <w:rFonts w:ascii="Times New Roman" w:hAnsi="Times New Roman"/>
          <w:b/>
          <w:bCs/>
          <w:w w:val="90"/>
          <w:sz w:val="21"/>
          <w:szCs w:val="21"/>
          <w:u w:val="none"/>
        </w:rPr>
        <w:t>表</w:t>
      </w:r>
      <w:r>
        <w:rPr>
          <w:rFonts w:hint="eastAsia" w:ascii="Times New Roman" w:hAnsi="Times New Roman"/>
          <w:b/>
          <w:bCs/>
          <w:w w:val="90"/>
          <w:sz w:val="21"/>
          <w:szCs w:val="21"/>
          <w:u w:val="none"/>
          <w:lang w:val="en-US" w:eastAsia="zh-CN"/>
        </w:rPr>
        <w:t>8.2-4</w:t>
      </w:r>
      <w:r>
        <w:rPr>
          <w:rFonts w:hint="default" w:ascii="Times New Roman" w:hAnsi="Times New Roman"/>
          <w:b/>
          <w:bCs/>
          <w:w w:val="90"/>
          <w:sz w:val="21"/>
          <w:szCs w:val="21"/>
          <w:u w:val="none"/>
        </w:rPr>
        <w:t>项目</w:t>
      </w:r>
      <w:r>
        <w:rPr>
          <w:rFonts w:hint="eastAsia"/>
          <w:b/>
          <w:bCs/>
          <w:w w:val="90"/>
          <w:sz w:val="21"/>
          <w:szCs w:val="21"/>
          <w:u w:val="none"/>
          <w:lang w:eastAsia="zh-CN"/>
        </w:rPr>
        <w:t>地表</w:t>
      </w:r>
      <w:r>
        <w:rPr>
          <w:rFonts w:hint="default" w:ascii="Times New Roman" w:hAnsi="Times New Roman"/>
          <w:b/>
          <w:bCs/>
          <w:w w:val="90"/>
          <w:sz w:val="21"/>
          <w:szCs w:val="21"/>
          <w:u w:val="none"/>
        </w:rPr>
        <w:t>水环境现状监测结果统计表（</w:t>
      </w:r>
      <w:r>
        <w:rPr>
          <w:rFonts w:hint="default" w:ascii="Times New Roman" w:hAnsi="Times New Roman"/>
          <w:b/>
          <w:bCs/>
          <w:w w:val="90"/>
          <w:sz w:val="21"/>
          <w:szCs w:val="21"/>
          <w:u w:val="none"/>
          <w:lang w:val="en-US" w:eastAsia="zh-CN"/>
        </w:rPr>
        <w:t>永顺县污水处理厂下游</w:t>
      </w:r>
      <w:r>
        <w:rPr>
          <w:rFonts w:hint="default" w:ascii="Times New Roman" w:hAnsi="Times New Roman"/>
          <w:b/>
          <w:bCs/>
          <w:w w:val="90"/>
          <w:sz w:val="21"/>
          <w:szCs w:val="21"/>
          <w:u w:val="none"/>
        </w:rPr>
        <w:t>断面） 单位：mg/L</w:t>
      </w:r>
    </w:p>
    <w:p>
      <w:pPr>
        <w:keepNext w:val="0"/>
        <w:keepLines w:val="0"/>
        <w:pageBreakBefore w:val="0"/>
        <w:widowControl/>
        <w:kinsoku/>
        <w:wordWrap/>
        <w:overflowPunct/>
        <w:topLinePunct w:val="0"/>
        <w:autoSpaceDE/>
        <w:autoSpaceDN/>
        <w:bidi w:val="0"/>
        <w:adjustRightInd/>
        <w:snapToGrid/>
        <w:spacing w:line="240" w:lineRule="atLeast"/>
        <w:ind w:left="0" w:leftChars="0" w:firstLine="0" w:firstLineChars="0"/>
        <w:jc w:val="center"/>
        <w:textAlignment w:val="auto"/>
        <w:rPr>
          <w:rFonts w:ascii="Times New Roman" w:hAnsi="Times New Roman"/>
          <w:b/>
          <w:bCs/>
          <w:sz w:val="21"/>
          <w:szCs w:val="21"/>
          <w:u w:val="none"/>
        </w:rPr>
      </w:pPr>
      <w:r>
        <w:rPr>
          <w:rFonts w:hint="default" w:ascii="Times New Roman" w:hAnsi="Times New Roman"/>
          <w:b/>
          <w:bCs/>
          <w:w w:val="90"/>
          <w:sz w:val="21"/>
          <w:szCs w:val="21"/>
          <w:u w:val="none"/>
        </w:rPr>
        <w:t>（pH、粪大肠杆菌除外）</w:t>
      </w:r>
    </w:p>
    <w:tbl>
      <w:tblPr>
        <w:tblStyle w:val="36"/>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45"/>
        <w:gridCol w:w="1570"/>
        <w:gridCol w:w="1135"/>
        <w:gridCol w:w="1074"/>
        <w:gridCol w:w="953"/>
        <w:gridCol w:w="1638"/>
        <w:gridCol w:w="12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5" w:type="pct"/>
            <w:tcBorders>
              <w:tl2br w:val="nil"/>
              <w:tr2bl w:val="nil"/>
            </w:tcBorders>
            <w:noWrap w:val="0"/>
            <w:vAlign w:val="center"/>
          </w:tcPr>
          <w:p>
            <w:pPr>
              <w:pStyle w:val="113"/>
              <w:bidi w:val="0"/>
              <w:rPr>
                <w:b/>
                <w:bCs/>
                <w:sz w:val="21"/>
                <w:szCs w:val="21"/>
              </w:rPr>
            </w:pPr>
            <w:r>
              <w:rPr>
                <w:b/>
                <w:bCs/>
                <w:sz w:val="21"/>
                <w:szCs w:val="21"/>
              </w:rPr>
              <w:t>断面</w:t>
            </w:r>
          </w:p>
        </w:tc>
        <w:tc>
          <w:tcPr>
            <w:tcW w:w="921" w:type="pct"/>
            <w:tcBorders>
              <w:tl2br w:val="nil"/>
              <w:tr2bl w:val="nil"/>
            </w:tcBorders>
            <w:noWrap w:val="0"/>
            <w:vAlign w:val="center"/>
          </w:tcPr>
          <w:p>
            <w:pPr>
              <w:pStyle w:val="113"/>
              <w:bidi w:val="0"/>
              <w:rPr>
                <w:b/>
                <w:bCs/>
                <w:sz w:val="21"/>
                <w:szCs w:val="21"/>
              </w:rPr>
            </w:pPr>
            <w:r>
              <w:rPr>
                <w:b/>
                <w:bCs/>
                <w:sz w:val="21"/>
                <w:szCs w:val="21"/>
              </w:rPr>
              <w:t>项目</w:t>
            </w:r>
          </w:p>
        </w:tc>
        <w:tc>
          <w:tcPr>
            <w:tcW w:w="666" w:type="pct"/>
            <w:tcBorders>
              <w:tl2br w:val="nil"/>
              <w:tr2bl w:val="nil"/>
            </w:tcBorders>
            <w:noWrap w:val="0"/>
            <w:vAlign w:val="center"/>
          </w:tcPr>
          <w:p>
            <w:pPr>
              <w:pStyle w:val="113"/>
              <w:bidi w:val="0"/>
              <w:rPr>
                <w:rFonts w:hint="eastAsia" w:eastAsia="宋体"/>
                <w:b/>
                <w:bCs/>
                <w:sz w:val="21"/>
                <w:szCs w:val="21"/>
                <w:lang w:eastAsia="zh-CN"/>
              </w:rPr>
            </w:pPr>
            <w:r>
              <w:rPr>
                <w:b/>
                <w:bCs/>
                <w:sz w:val="21"/>
                <w:szCs w:val="21"/>
              </w:rPr>
              <w:t>浓度</w:t>
            </w:r>
            <w:r>
              <w:rPr>
                <w:rFonts w:hint="eastAsia"/>
                <w:b/>
                <w:bCs/>
                <w:sz w:val="21"/>
                <w:szCs w:val="21"/>
                <w:lang w:val="en-US" w:eastAsia="zh-CN"/>
              </w:rPr>
              <w:t>值</w:t>
            </w:r>
          </w:p>
        </w:tc>
        <w:tc>
          <w:tcPr>
            <w:tcW w:w="630" w:type="pct"/>
            <w:tcBorders>
              <w:tl2br w:val="nil"/>
              <w:tr2bl w:val="nil"/>
            </w:tcBorders>
            <w:noWrap w:val="0"/>
            <w:vAlign w:val="center"/>
          </w:tcPr>
          <w:p>
            <w:pPr>
              <w:pStyle w:val="113"/>
              <w:bidi w:val="0"/>
              <w:rPr>
                <w:b/>
                <w:bCs/>
                <w:sz w:val="21"/>
                <w:szCs w:val="21"/>
              </w:rPr>
            </w:pPr>
            <w:r>
              <w:rPr>
                <w:b/>
                <w:bCs/>
                <w:sz w:val="21"/>
                <w:szCs w:val="21"/>
              </w:rPr>
              <w:t>标准值</w:t>
            </w:r>
          </w:p>
        </w:tc>
        <w:tc>
          <w:tcPr>
            <w:tcW w:w="559" w:type="pct"/>
            <w:tcBorders>
              <w:tl2br w:val="nil"/>
              <w:tr2bl w:val="nil"/>
            </w:tcBorders>
            <w:noWrap w:val="0"/>
            <w:vAlign w:val="center"/>
          </w:tcPr>
          <w:p>
            <w:pPr>
              <w:pStyle w:val="113"/>
              <w:bidi w:val="0"/>
              <w:rPr>
                <w:b/>
                <w:bCs/>
                <w:sz w:val="21"/>
                <w:szCs w:val="21"/>
              </w:rPr>
            </w:pPr>
            <w:r>
              <w:rPr>
                <w:b/>
                <w:bCs/>
                <w:sz w:val="21"/>
                <w:szCs w:val="21"/>
              </w:rPr>
              <w:t>超标率</w:t>
            </w:r>
          </w:p>
        </w:tc>
        <w:tc>
          <w:tcPr>
            <w:tcW w:w="961" w:type="pct"/>
            <w:tcBorders>
              <w:tl2br w:val="nil"/>
              <w:tr2bl w:val="nil"/>
            </w:tcBorders>
            <w:noWrap w:val="0"/>
            <w:vAlign w:val="center"/>
          </w:tcPr>
          <w:p>
            <w:pPr>
              <w:pStyle w:val="113"/>
              <w:bidi w:val="0"/>
              <w:rPr>
                <w:b/>
                <w:bCs/>
                <w:sz w:val="21"/>
                <w:szCs w:val="21"/>
              </w:rPr>
            </w:pPr>
            <w:r>
              <w:rPr>
                <w:b/>
                <w:bCs/>
                <w:sz w:val="21"/>
                <w:szCs w:val="21"/>
              </w:rPr>
              <w:t>最大超标倍数</w:t>
            </w:r>
          </w:p>
        </w:tc>
        <w:tc>
          <w:tcPr>
            <w:tcW w:w="705" w:type="pct"/>
            <w:tcBorders>
              <w:tl2br w:val="nil"/>
              <w:tr2bl w:val="nil"/>
            </w:tcBorders>
            <w:noWrap w:val="0"/>
            <w:vAlign w:val="center"/>
          </w:tcPr>
          <w:p>
            <w:pPr>
              <w:pStyle w:val="113"/>
              <w:bidi w:val="0"/>
              <w:rPr>
                <w:b/>
                <w:bCs/>
                <w:sz w:val="21"/>
                <w:szCs w:val="21"/>
              </w:rPr>
            </w:pPr>
            <w:r>
              <w:rPr>
                <w:b/>
                <w:bCs/>
                <w:sz w:val="21"/>
                <w:szCs w:val="21"/>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5" w:type="pct"/>
            <w:vMerge w:val="restart"/>
            <w:tcBorders>
              <w:tl2br w:val="nil"/>
              <w:tr2bl w:val="nil"/>
            </w:tcBorders>
            <w:noWrap w:val="0"/>
            <w:vAlign w:val="center"/>
          </w:tcPr>
          <w:p>
            <w:pPr>
              <w:pStyle w:val="113"/>
              <w:bidi w:val="0"/>
              <w:rPr>
                <w:sz w:val="21"/>
                <w:szCs w:val="21"/>
              </w:rPr>
            </w:pPr>
            <w:r>
              <w:rPr>
                <w:rFonts w:hint="eastAsia"/>
                <w:lang w:val="en-US" w:eastAsia="zh-CN"/>
              </w:rPr>
              <w:t>永顺县污水处理厂下游省控监测断面</w:t>
            </w: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pH值</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eastAsia"/>
                <w:sz w:val="21"/>
                <w:szCs w:val="21"/>
                <w:lang w:val="en-US" w:eastAsia="zh-CN"/>
              </w:rPr>
              <w:t>8</w:t>
            </w:r>
          </w:p>
        </w:tc>
        <w:tc>
          <w:tcPr>
            <w:tcW w:w="630" w:type="pct"/>
            <w:tcBorders>
              <w:tl2br w:val="nil"/>
              <w:tr2bl w:val="nil"/>
            </w:tcBorders>
            <w:noWrap w:val="0"/>
            <w:vAlign w:val="center"/>
          </w:tcPr>
          <w:p>
            <w:pPr>
              <w:pStyle w:val="113"/>
              <w:bidi w:val="0"/>
              <w:rPr>
                <w:sz w:val="21"/>
                <w:szCs w:val="21"/>
              </w:rPr>
            </w:pPr>
            <w:r>
              <w:rPr>
                <w:sz w:val="21"/>
                <w:szCs w:val="21"/>
              </w:rPr>
              <w:t>6-9</w:t>
            </w:r>
          </w:p>
        </w:tc>
        <w:tc>
          <w:tcPr>
            <w:tcW w:w="559" w:type="pct"/>
            <w:tcBorders>
              <w:tl2br w:val="nil"/>
              <w:tr2bl w:val="nil"/>
            </w:tcBorders>
            <w:noWrap w:val="0"/>
            <w:vAlign w:val="center"/>
          </w:tcPr>
          <w:p>
            <w:pPr>
              <w:pStyle w:val="113"/>
              <w:bidi w:val="0"/>
              <w:rPr>
                <w:sz w:val="21"/>
                <w:szCs w:val="21"/>
              </w:rPr>
            </w:pPr>
            <w:r>
              <w:rPr>
                <w:sz w:val="21"/>
                <w:szCs w:val="21"/>
              </w:rPr>
              <w:t>0</w:t>
            </w:r>
          </w:p>
        </w:tc>
        <w:tc>
          <w:tcPr>
            <w:tcW w:w="961" w:type="pct"/>
            <w:tcBorders>
              <w:tl2br w:val="nil"/>
              <w:tr2bl w:val="nil"/>
            </w:tcBorders>
            <w:noWrap w:val="0"/>
            <w:vAlign w:val="center"/>
          </w:tcPr>
          <w:p>
            <w:pPr>
              <w:pStyle w:val="113"/>
              <w:bidi w:val="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溶解氧</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eastAsia"/>
                <w:sz w:val="21"/>
                <w:szCs w:val="21"/>
                <w:lang w:val="en-US" w:eastAsia="zh-CN"/>
              </w:rPr>
              <w:t>8.2</w:t>
            </w:r>
          </w:p>
        </w:tc>
        <w:tc>
          <w:tcPr>
            <w:tcW w:w="630" w:type="pct"/>
            <w:tcBorders>
              <w:tl2br w:val="nil"/>
              <w:tr2bl w:val="nil"/>
            </w:tcBorders>
            <w:noWrap w:val="0"/>
            <w:vAlign w:val="center"/>
          </w:tcPr>
          <w:p>
            <w:pPr>
              <w:pStyle w:val="113"/>
              <w:bidi w:val="0"/>
              <w:rPr>
                <w:sz w:val="21"/>
                <w:szCs w:val="21"/>
              </w:rPr>
            </w:pPr>
            <w:r>
              <w:rPr>
                <w:rFonts w:hint="default"/>
                <w:sz w:val="21"/>
                <w:szCs w:val="21"/>
              </w:rPr>
              <w:t>≥</w:t>
            </w:r>
            <w:r>
              <w:rPr>
                <w:rFonts w:hint="default"/>
                <w:sz w:val="21"/>
                <w:szCs w:val="21"/>
                <w:lang w:val="en-US" w:eastAsia="zh-CN"/>
              </w:rPr>
              <w:t>5</w:t>
            </w:r>
          </w:p>
        </w:tc>
        <w:tc>
          <w:tcPr>
            <w:tcW w:w="559" w:type="pct"/>
            <w:tcBorders>
              <w:tl2br w:val="nil"/>
              <w:tr2bl w:val="nil"/>
            </w:tcBorders>
            <w:noWrap w:val="0"/>
            <w:vAlign w:val="center"/>
          </w:tcPr>
          <w:p>
            <w:pPr>
              <w:pStyle w:val="113"/>
              <w:bidi w:val="0"/>
              <w:rPr>
                <w:sz w:val="21"/>
                <w:szCs w:val="21"/>
              </w:rPr>
            </w:pPr>
            <w:r>
              <w:rPr>
                <w:sz w:val="21"/>
                <w:szCs w:val="21"/>
              </w:rPr>
              <w:t>0</w:t>
            </w:r>
          </w:p>
        </w:tc>
        <w:tc>
          <w:tcPr>
            <w:tcW w:w="961" w:type="pct"/>
            <w:tcBorders>
              <w:tl2br w:val="nil"/>
              <w:tr2bl w:val="nil"/>
            </w:tcBorders>
            <w:noWrap w:val="0"/>
            <w:vAlign w:val="center"/>
          </w:tcPr>
          <w:p>
            <w:pPr>
              <w:pStyle w:val="113"/>
              <w:bidi w:val="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高锰酸</w:t>
            </w:r>
            <w:r>
              <w:rPr>
                <w:rFonts w:hint="eastAsia"/>
                <w:sz w:val="21"/>
                <w:szCs w:val="21"/>
                <w:lang w:val="en-US" w:eastAsia="zh-CN"/>
              </w:rPr>
              <w:t>盐</w:t>
            </w:r>
            <w:r>
              <w:rPr>
                <w:rFonts w:hint="default"/>
                <w:sz w:val="21"/>
                <w:szCs w:val="21"/>
                <w:lang w:val="en-US" w:eastAsia="zh-CN"/>
              </w:rPr>
              <w:t>指数</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eastAsia"/>
                <w:sz w:val="21"/>
                <w:szCs w:val="21"/>
                <w:lang w:val="en-US" w:eastAsia="zh-CN"/>
              </w:rPr>
              <w:t>1.7</w:t>
            </w:r>
          </w:p>
        </w:tc>
        <w:tc>
          <w:tcPr>
            <w:tcW w:w="630" w:type="pct"/>
            <w:tcBorders>
              <w:tl2br w:val="nil"/>
              <w:tr2bl w:val="nil"/>
            </w:tcBorders>
            <w:noWrap w:val="0"/>
            <w:vAlign w:val="center"/>
          </w:tcPr>
          <w:p>
            <w:pPr>
              <w:pStyle w:val="113"/>
              <w:bidi w:val="0"/>
              <w:rPr>
                <w:sz w:val="21"/>
                <w:szCs w:val="21"/>
              </w:rPr>
            </w:pPr>
            <w:r>
              <w:rPr>
                <w:rFonts w:hint="default"/>
                <w:sz w:val="21"/>
                <w:szCs w:val="21"/>
              </w:rPr>
              <w:t>≤</w:t>
            </w:r>
            <w:r>
              <w:rPr>
                <w:rFonts w:hint="default"/>
                <w:sz w:val="21"/>
                <w:szCs w:val="21"/>
                <w:lang w:val="en-US" w:eastAsia="zh-CN"/>
              </w:rPr>
              <w:t>6</w:t>
            </w:r>
          </w:p>
        </w:tc>
        <w:tc>
          <w:tcPr>
            <w:tcW w:w="559" w:type="pct"/>
            <w:tcBorders>
              <w:tl2br w:val="nil"/>
              <w:tr2bl w:val="nil"/>
            </w:tcBorders>
            <w:noWrap w:val="0"/>
            <w:vAlign w:val="center"/>
          </w:tcPr>
          <w:p>
            <w:pPr>
              <w:pStyle w:val="113"/>
              <w:bidi w:val="0"/>
              <w:rPr>
                <w:sz w:val="21"/>
                <w:szCs w:val="21"/>
              </w:rPr>
            </w:pPr>
            <w:r>
              <w:rPr>
                <w:sz w:val="21"/>
                <w:szCs w:val="21"/>
              </w:rPr>
              <w:t>0</w:t>
            </w:r>
          </w:p>
        </w:tc>
        <w:tc>
          <w:tcPr>
            <w:tcW w:w="961" w:type="pct"/>
            <w:tcBorders>
              <w:tl2br w:val="nil"/>
              <w:tr2bl w:val="nil"/>
            </w:tcBorders>
            <w:noWrap w:val="0"/>
            <w:vAlign w:val="center"/>
          </w:tcPr>
          <w:p>
            <w:pPr>
              <w:pStyle w:val="113"/>
              <w:bidi w:val="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CODcr</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eastAsia"/>
                <w:sz w:val="21"/>
                <w:szCs w:val="21"/>
                <w:lang w:val="en-US" w:eastAsia="zh-CN"/>
              </w:rPr>
              <w:t>13</w:t>
            </w:r>
          </w:p>
        </w:tc>
        <w:tc>
          <w:tcPr>
            <w:tcW w:w="630" w:type="pct"/>
            <w:tcBorders>
              <w:tl2br w:val="nil"/>
              <w:tr2bl w:val="nil"/>
            </w:tcBorders>
            <w:noWrap w:val="0"/>
            <w:vAlign w:val="center"/>
          </w:tcPr>
          <w:p>
            <w:pPr>
              <w:pStyle w:val="113"/>
              <w:bidi w:val="0"/>
              <w:rPr>
                <w:rFonts w:hint="default"/>
                <w:sz w:val="21"/>
                <w:szCs w:val="21"/>
                <w:lang w:val="en-US"/>
              </w:rPr>
            </w:pPr>
            <w:r>
              <w:rPr>
                <w:rFonts w:hint="default"/>
                <w:sz w:val="21"/>
                <w:szCs w:val="21"/>
              </w:rPr>
              <w:t>≤</w:t>
            </w:r>
            <w:r>
              <w:rPr>
                <w:rFonts w:hint="default"/>
                <w:sz w:val="21"/>
                <w:szCs w:val="21"/>
                <w:lang w:val="en-US" w:eastAsia="zh-CN"/>
              </w:rPr>
              <w:t>20</w:t>
            </w:r>
          </w:p>
        </w:tc>
        <w:tc>
          <w:tcPr>
            <w:tcW w:w="559" w:type="pct"/>
            <w:tcBorders>
              <w:tl2br w:val="nil"/>
              <w:tr2bl w:val="nil"/>
            </w:tcBorders>
            <w:noWrap w:val="0"/>
            <w:vAlign w:val="center"/>
          </w:tcPr>
          <w:p>
            <w:pPr>
              <w:pStyle w:val="113"/>
              <w:bidi w:val="0"/>
              <w:rPr>
                <w:sz w:val="21"/>
                <w:szCs w:val="21"/>
              </w:rPr>
            </w:pPr>
            <w:r>
              <w:rPr>
                <w:sz w:val="21"/>
                <w:szCs w:val="21"/>
              </w:rPr>
              <w:t>0</w:t>
            </w:r>
          </w:p>
        </w:tc>
        <w:tc>
          <w:tcPr>
            <w:tcW w:w="961" w:type="pct"/>
            <w:tcBorders>
              <w:tl2br w:val="nil"/>
              <w:tr2bl w:val="nil"/>
            </w:tcBorders>
            <w:noWrap w:val="0"/>
            <w:vAlign w:val="center"/>
          </w:tcPr>
          <w:p>
            <w:pPr>
              <w:pStyle w:val="113"/>
              <w:bidi w:val="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BOD</w:t>
            </w:r>
            <w:r>
              <w:rPr>
                <w:rFonts w:hint="default"/>
                <w:sz w:val="21"/>
                <w:szCs w:val="21"/>
                <w:vertAlign w:val="subscript"/>
                <w:lang w:val="en-US" w:eastAsia="zh-CN"/>
              </w:rPr>
              <w:t>5</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eastAsia"/>
                <w:sz w:val="21"/>
                <w:szCs w:val="21"/>
                <w:lang w:val="en-US" w:eastAsia="zh-CN"/>
              </w:rPr>
              <w:t>1.6</w:t>
            </w:r>
          </w:p>
        </w:tc>
        <w:tc>
          <w:tcPr>
            <w:tcW w:w="630" w:type="pct"/>
            <w:tcBorders>
              <w:tl2br w:val="nil"/>
              <w:tr2bl w:val="nil"/>
            </w:tcBorders>
            <w:noWrap w:val="0"/>
            <w:vAlign w:val="center"/>
          </w:tcPr>
          <w:p>
            <w:pPr>
              <w:pStyle w:val="113"/>
              <w:bidi w:val="0"/>
              <w:rPr>
                <w:sz w:val="21"/>
                <w:szCs w:val="21"/>
              </w:rPr>
            </w:pPr>
            <w:r>
              <w:rPr>
                <w:rFonts w:hint="default"/>
                <w:sz w:val="21"/>
                <w:szCs w:val="21"/>
              </w:rPr>
              <w:t>≤</w:t>
            </w:r>
            <w:r>
              <w:rPr>
                <w:rFonts w:hint="default"/>
                <w:sz w:val="21"/>
                <w:szCs w:val="21"/>
                <w:lang w:val="en-US" w:eastAsia="zh-CN"/>
              </w:rPr>
              <w:t>4</w:t>
            </w:r>
          </w:p>
        </w:tc>
        <w:tc>
          <w:tcPr>
            <w:tcW w:w="559" w:type="pct"/>
            <w:tcBorders>
              <w:tl2br w:val="nil"/>
              <w:tr2bl w:val="nil"/>
            </w:tcBorders>
            <w:noWrap w:val="0"/>
            <w:vAlign w:val="center"/>
          </w:tcPr>
          <w:p>
            <w:pPr>
              <w:pStyle w:val="113"/>
              <w:bidi w:val="0"/>
              <w:rPr>
                <w:sz w:val="21"/>
                <w:szCs w:val="21"/>
              </w:rPr>
            </w:pPr>
            <w:r>
              <w:rPr>
                <w:sz w:val="21"/>
                <w:szCs w:val="21"/>
              </w:rPr>
              <w:t>0</w:t>
            </w:r>
          </w:p>
        </w:tc>
        <w:tc>
          <w:tcPr>
            <w:tcW w:w="961" w:type="pct"/>
            <w:tcBorders>
              <w:tl2br w:val="nil"/>
              <w:tr2bl w:val="nil"/>
            </w:tcBorders>
            <w:noWrap w:val="0"/>
            <w:vAlign w:val="center"/>
          </w:tcPr>
          <w:p>
            <w:pPr>
              <w:pStyle w:val="113"/>
              <w:bidi w:val="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氨氮</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eastAsia"/>
                <w:sz w:val="21"/>
                <w:szCs w:val="21"/>
                <w:lang w:val="en-US" w:eastAsia="zh-CN"/>
              </w:rPr>
              <w:t>0.3</w:t>
            </w:r>
          </w:p>
        </w:tc>
        <w:tc>
          <w:tcPr>
            <w:tcW w:w="630" w:type="pct"/>
            <w:tcBorders>
              <w:tl2br w:val="nil"/>
              <w:tr2bl w:val="nil"/>
            </w:tcBorders>
            <w:noWrap w:val="0"/>
            <w:vAlign w:val="center"/>
          </w:tcPr>
          <w:p>
            <w:pPr>
              <w:pStyle w:val="113"/>
              <w:bidi w:val="0"/>
              <w:rPr>
                <w:sz w:val="21"/>
                <w:szCs w:val="21"/>
              </w:rPr>
            </w:pPr>
            <w:r>
              <w:rPr>
                <w:rFonts w:hint="default"/>
                <w:sz w:val="21"/>
                <w:szCs w:val="21"/>
              </w:rPr>
              <w:t>≤1.0</w:t>
            </w:r>
          </w:p>
        </w:tc>
        <w:tc>
          <w:tcPr>
            <w:tcW w:w="559" w:type="pct"/>
            <w:tcBorders>
              <w:tl2br w:val="nil"/>
              <w:tr2bl w:val="nil"/>
            </w:tcBorders>
            <w:noWrap w:val="0"/>
            <w:vAlign w:val="center"/>
          </w:tcPr>
          <w:p>
            <w:pPr>
              <w:pStyle w:val="113"/>
              <w:bidi w:val="0"/>
              <w:rPr>
                <w:sz w:val="21"/>
                <w:szCs w:val="21"/>
              </w:rPr>
            </w:pPr>
            <w:r>
              <w:rPr>
                <w:sz w:val="21"/>
                <w:szCs w:val="21"/>
              </w:rPr>
              <w:t>0</w:t>
            </w:r>
          </w:p>
        </w:tc>
        <w:tc>
          <w:tcPr>
            <w:tcW w:w="961" w:type="pct"/>
            <w:tcBorders>
              <w:tl2br w:val="nil"/>
              <w:tr2bl w:val="nil"/>
            </w:tcBorders>
            <w:noWrap w:val="0"/>
            <w:vAlign w:val="center"/>
          </w:tcPr>
          <w:p>
            <w:pPr>
              <w:pStyle w:val="113"/>
              <w:bidi w:val="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总磷</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eastAsia"/>
                <w:sz w:val="21"/>
                <w:szCs w:val="21"/>
                <w:lang w:val="en-US" w:eastAsia="zh-CN"/>
              </w:rPr>
              <w:t>0.06</w:t>
            </w:r>
          </w:p>
        </w:tc>
        <w:tc>
          <w:tcPr>
            <w:tcW w:w="630" w:type="pct"/>
            <w:tcBorders>
              <w:tl2br w:val="nil"/>
              <w:tr2bl w:val="nil"/>
            </w:tcBorders>
            <w:noWrap w:val="0"/>
            <w:vAlign w:val="center"/>
          </w:tcPr>
          <w:p>
            <w:pPr>
              <w:pStyle w:val="113"/>
              <w:bidi w:val="0"/>
              <w:rPr>
                <w:sz w:val="21"/>
                <w:szCs w:val="21"/>
              </w:rPr>
            </w:pPr>
            <w:r>
              <w:rPr>
                <w:rFonts w:hint="default"/>
                <w:sz w:val="21"/>
                <w:szCs w:val="21"/>
              </w:rPr>
              <w:t>≤0.2</w:t>
            </w:r>
          </w:p>
        </w:tc>
        <w:tc>
          <w:tcPr>
            <w:tcW w:w="559" w:type="pct"/>
            <w:tcBorders>
              <w:tl2br w:val="nil"/>
              <w:tr2bl w:val="nil"/>
            </w:tcBorders>
            <w:noWrap w:val="0"/>
            <w:vAlign w:val="center"/>
          </w:tcPr>
          <w:p>
            <w:pPr>
              <w:pStyle w:val="113"/>
              <w:bidi w:val="0"/>
              <w:rPr>
                <w:sz w:val="21"/>
                <w:szCs w:val="21"/>
              </w:rPr>
            </w:pPr>
            <w:r>
              <w:rPr>
                <w:sz w:val="21"/>
                <w:szCs w:val="21"/>
              </w:rPr>
              <w:t>0</w:t>
            </w:r>
          </w:p>
        </w:tc>
        <w:tc>
          <w:tcPr>
            <w:tcW w:w="961" w:type="pct"/>
            <w:tcBorders>
              <w:tl2br w:val="nil"/>
              <w:tr2bl w:val="nil"/>
            </w:tcBorders>
            <w:noWrap w:val="0"/>
            <w:vAlign w:val="center"/>
          </w:tcPr>
          <w:p>
            <w:pPr>
              <w:pStyle w:val="113"/>
              <w:bidi w:val="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铜</w:t>
            </w:r>
          </w:p>
        </w:tc>
        <w:tc>
          <w:tcPr>
            <w:tcW w:w="666" w:type="pct"/>
            <w:tcBorders>
              <w:tl2br w:val="nil"/>
              <w:tr2bl w:val="nil"/>
            </w:tcBorders>
            <w:noWrap w:val="0"/>
            <w:vAlign w:val="center"/>
          </w:tcPr>
          <w:p>
            <w:pPr>
              <w:pStyle w:val="113"/>
              <w:bidi w:val="0"/>
              <w:rPr>
                <w:rFonts w:hint="eastAsia"/>
                <w:sz w:val="21"/>
                <w:szCs w:val="21"/>
                <w:lang w:val="en-US" w:eastAsia="zh-CN"/>
              </w:rPr>
            </w:pPr>
            <w:r>
              <w:rPr>
                <w:rFonts w:hint="eastAsia"/>
                <w:sz w:val="21"/>
                <w:szCs w:val="21"/>
                <w:lang w:val="en-US" w:eastAsia="zh-CN"/>
              </w:rPr>
              <w:t>0.0002</w:t>
            </w:r>
          </w:p>
        </w:tc>
        <w:tc>
          <w:tcPr>
            <w:tcW w:w="630" w:type="pct"/>
            <w:tcBorders>
              <w:tl2br w:val="nil"/>
              <w:tr2bl w:val="nil"/>
            </w:tcBorders>
            <w:noWrap w:val="0"/>
            <w:vAlign w:val="center"/>
          </w:tcPr>
          <w:p>
            <w:pPr>
              <w:pStyle w:val="113"/>
              <w:bidi w:val="0"/>
              <w:rPr>
                <w:rFonts w:hint="default" w:eastAsia="宋体"/>
                <w:sz w:val="21"/>
                <w:szCs w:val="21"/>
                <w:lang w:val="en-US" w:eastAsia="zh-CN"/>
              </w:rPr>
            </w:pPr>
            <w:r>
              <w:rPr>
                <w:rFonts w:hint="default"/>
                <w:sz w:val="21"/>
                <w:szCs w:val="21"/>
              </w:rPr>
              <w:t>≤</w:t>
            </w:r>
            <w:r>
              <w:rPr>
                <w:rFonts w:hint="eastAsia"/>
                <w:sz w:val="21"/>
                <w:szCs w:val="21"/>
                <w:lang w:val="en-US" w:eastAsia="zh-CN"/>
              </w:rPr>
              <w:t>1.0</w:t>
            </w:r>
          </w:p>
        </w:tc>
        <w:tc>
          <w:tcPr>
            <w:tcW w:w="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锌</w:t>
            </w:r>
          </w:p>
        </w:tc>
        <w:tc>
          <w:tcPr>
            <w:tcW w:w="666" w:type="pct"/>
            <w:tcBorders>
              <w:tl2br w:val="nil"/>
              <w:tr2bl w:val="nil"/>
            </w:tcBorders>
            <w:noWrap w:val="0"/>
            <w:vAlign w:val="center"/>
          </w:tcPr>
          <w:p>
            <w:pPr>
              <w:pStyle w:val="113"/>
              <w:bidi w:val="0"/>
              <w:rPr>
                <w:rFonts w:hint="eastAsia"/>
                <w:sz w:val="21"/>
                <w:szCs w:val="21"/>
                <w:lang w:val="en-US" w:eastAsia="zh-CN"/>
              </w:rPr>
            </w:pPr>
            <w:r>
              <w:rPr>
                <w:rFonts w:hint="eastAsia"/>
                <w:sz w:val="21"/>
                <w:szCs w:val="21"/>
                <w:lang w:val="en-US" w:eastAsia="zh-CN"/>
              </w:rPr>
              <w:t>0.004L</w:t>
            </w:r>
          </w:p>
        </w:tc>
        <w:tc>
          <w:tcPr>
            <w:tcW w:w="630" w:type="pct"/>
            <w:tcBorders>
              <w:tl2br w:val="nil"/>
              <w:tr2bl w:val="nil"/>
            </w:tcBorders>
            <w:noWrap w:val="0"/>
            <w:vAlign w:val="center"/>
          </w:tcPr>
          <w:p>
            <w:pPr>
              <w:pStyle w:val="113"/>
              <w:bidi w:val="0"/>
              <w:rPr>
                <w:rFonts w:hint="default"/>
                <w:sz w:val="21"/>
                <w:szCs w:val="21"/>
              </w:rPr>
            </w:pPr>
            <w:r>
              <w:rPr>
                <w:rFonts w:hint="default"/>
                <w:sz w:val="21"/>
                <w:szCs w:val="21"/>
              </w:rPr>
              <w:t>≤</w:t>
            </w:r>
            <w:r>
              <w:rPr>
                <w:rFonts w:hint="eastAsia"/>
                <w:sz w:val="21"/>
                <w:szCs w:val="21"/>
                <w:lang w:val="en-US" w:eastAsia="zh-CN"/>
              </w:rPr>
              <w:t>1.0</w:t>
            </w:r>
          </w:p>
        </w:tc>
        <w:tc>
          <w:tcPr>
            <w:tcW w:w="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r>
              <w:rPr>
                <w:sz w:val="21"/>
                <w:szCs w:val="21"/>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氟化物</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0.304</w:t>
            </w:r>
          </w:p>
        </w:tc>
        <w:tc>
          <w:tcPr>
            <w:tcW w:w="630" w:type="pct"/>
            <w:tcBorders>
              <w:tl2br w:val="nil"/>
              <w:tr2bl w:val="nil"/>
            </w:tcBorders>
            <w:noWrap w:val="0"/>
            <w:vAlign w:val="center"/>
          </w:tcPr>
          <w:p>
            <w:pPr>
              <w:pStyle w:val="113"/>
              <w:bidi w:val="0"/>
              <w:rPr>
                <w:sz w:val="21"/>
                <w:szCs w:val="21"/>
              </w:rPr>
            </w:pPr>
            <w:r>
              <w:rPr>
                <w:rFonts w:hint="default"/>
                <w:sz w:val="21"/>
                <w:szCs w:val="21"/>
              </w:rPr>
              <w:t>≤</w:t>
            </w:r>
            <w:r>
              <w:rPr>
                <w:rFonts w:hint="default"/>
                <w:sz w:val="21"/>
                <w:szCs w:val="21"/>
                <w:lang w:val="en-US" w:eastAsia="zh-CN"/>
              </w:rPr>
              <w:t>1.0</w:t>
            </w:r>
          </w:p>
        </w:tc>
        <w:tc>
          <w:tcPr>
            <w:tcW w:w="559" w:type="pct"/>
            <w:tcBorders>
              <w:tl2br w:val="nil"/>
              <w:tr2bl w:val="nil"/>
            </w:tcBorders>
            <w:noWrap w:val="0"/>
            <w:vAlign w:val="center"/>
          </w:tcPr>
          <w:p>
            <w:pPr>
              <w:pStyle w:val="113"/>
              <w:bidi w:val="0"/>
              <w:rPr>
                <w:sz w:val="21"/>
                <w:szCs w:val="21"/>
              </w:rPr>
            </w:pPr>
            <w:r>
              <w:rPr>
                <w:sz w:val="21"/>
                <w:szCs w:val="21"/>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硒</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0.00041L</w:t>
            </w:r>
          </w:p>
        </w:tc>
        <w:tc>
          <w:tcPr>
            <w:tcW w:w="630" w:type="pct"/>
            <w:tcBorders>
              <w:tl2br w:val="nil"/>
              <w:tr2bl w:val="nil"/>
            </w:tcBorders>
            <w:noWrap w:val="0"/>
            <w:vAlign w:val="center"/>
          </w:tcPr>
          <w:p>
            <w:pPr>
              <w:pStyle w:val="113"/>
              <w:bidi w:val="0"/>
              <w:rPr>
                <w:rFonts w:hint="default"/>
                <w:sz w:val="21"/>
                <w:szCs w:val="21"/>
                <w:lang w:val="en-US"/>
              </w:rPr>
            </w:pPr>
            <w:r>
              <w:rPr>
                <w:rFonts w:hint="default"/>
                <w:sz w:val="21"/>
                <w:szCs w:val="21"/>
              </w:rPr>
              <w:t>≤</w:t>
            </w:r>
            <w:r>
              <w:rPr>
                <w:rFonts w:hint="eastAsia"/>
                <w:sz w:val="21"/>
                <w:szCs w:val="21"/>
                <w:lang w:val="en-US" w:eastAsia="zh-CN"/>
              </w:rPr>
              <w:t>0.01</w:t>
            </w:r>
          </w:p>
        </w:tc>
        <w:tc>
          <w:tcPr>
            <w:tcW w:w="559" w:type="pct"/>
            <w:tcBorders>
              <w:tl2br w:val="nil"/>
              <w:tr2bl w:val="nil"/>
            </w:tcBorders>
            <w:noWrap w:val="0"/>
            <w:vAlign w:val="center"/>
          </w:tcPr>
          <w:p>
            <w:pPr>
              <w:pStyle w:val="113"/>
              <w:bidi w:val="0"/>
              <w:rPr>
                <w:rFonts w:hint="eastAsia" w:eastAsia="宋体"/>
                <w:sz w:val="21"/>
                <w:szCs w:val="21"/>
                <w:lang w:val="en-US" w:eastAsia="zh-CN"/>
              </w:rPr>
            </w:pPr>
            <w:r>
              <w:rPr>
                <w:rFonts w:hint="eastAsia"/>
                <w:sz w:val="21"/>
                <w:szCs w:val="21"/>
                <w:lang w:val="en-US" w:eastAsia="zh-CN"/>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砷</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0.0011</w:t>
            </w:r>
          </w:p>
        </w:tc>
        <w:tc>
          <w:tcPr>
            <w:tcW w:w="630" w:type="pct"/>
            <w:tcBorders>
              <w:tl2br w:val="nil"/>
              <w:tr2bl w:val="nil"/>
            </w:tcBorders>
            <w:noWrap w:val="0"/>
            <w:vAlign w:val="center"/>
          </w:tcPr>
          <w:p>
            <w:pPr>
              <w:pStyle w:val="113"/>
              <w:bidi w:val="0"/>
              <w:rPr>
                <w:rFonts w:hint="default"/>
                <w:sz w:val="21"/>
                <w:szCs w:val="21"/>
              </w:rPr>
            </w:pPr>
            <w:r>
              <w:rPr>
                <w:rFonts w:hint="default"/>
                <w:sz w:val="21"/>
                <w:szCs w:val="21"/>
              </w:rPr>
              <w:t>≤</w:t>
            </w:r>
            <w:r>
              <w:rPr>
                <w:rFonts w:hint="eastAsia"/>
                <w:sz w:val="21"/>
                <w:szCs w:val="21"/>
                <w:lang w:val="en-US" w:eastAsia="zh-CN"/>
              </w:rPr>
              <w:t>0.05</w:t>
            </w:r>
          </w:p>
        </w:tc>
        <w:tc>
          <w:tcPr>
            <w:tcW w:w="559" w:type="pct"/>
            <w:tcBorders>
              <w:tl2br w:val="nil"/>
              <w:tr2bl w:val="nil"/>
            </w:tcBorders>
            <w:noWrap w:val="0"/>
            <w:vAlign w:val="center"/>
          </w:tcPr>
          <w:p>
            <w:pPr>
              <w:pStyle w:val="113"/>
              <w:bidi w:val="0"/>
              <w:rPr>
                <w:rFonts w:hint="eastAsia" w:eastAsia="宋体"/>
                <w:sz w:val="21"/>
                <w:szCs w:val="21"/>
                <w:lang w:val="en-US" w:eastAsia="zh-CN"/>
              </w:rPr>
            </w:pPr>
            <w:r>
              <w:rPr>
                <w:rFonts w:hint="eastAsia"/>
                <w:sz w:val="21"/>
                <w:szCs w:val="21"/>
                <w:lang w:val="en-US" w:eastAsia="zh-CN"/>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汞</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0.00004L</w:t>
            </w:r>
          </w:p>
        </w:tc>
        <w:tc>
          <w:tcPr>
            <w:tcW w:w="630" w:type="pct"/>
            <w:tcBorders>
              <w:tl2br w:val="nil"/>
              <w:tr2bl w:val="nil"/>
            </w:tcBorders>
            <w:noWrap w:val="0"/>
            <w:vAlign w:val="center"/>
          </w:tcPr>
          <w:p>
            <w:pPr>
              <w:pStyle w:val="113"/>
              <w:bidi w:val="0"/>
              <w:rPr>
                <w:rFonts w:hint="default"/>
                <w:sz w:val="21"/>
                <w:szCs w:val="21"/>
              </w:rPr>
            </w:pPr>
            <w:r>
              <w:rPr>
                <w:rFonts w:hint="default"/>
                <w:sz w:val="21"/>
                <w:szCs w:val="21"/>
              </w:rPr>
              <w:t>≤</w:t>
            </w:r>
            <w:r>
              <w:rPr>
                <w:rFonts w:hint="eastAsia"/>
                <w:sz w:val="21"/>
                <w:szCs w:val="21"/>
                <w:lang w:val="en-US" w:eastAsia="zh-CN"/>
              </w:rPr>
              <w:t>0.0001</w:t>
            </w:r>
          </w:p>
        </w:tc>
        <w:tc>
          <w:tcPr>
            <w:tcW w:w="559" w:type="pct"/>
            <w:tcBorders>
              <w:tl2br w:val="nil"/>
              <w:tr2bl w:val="nil"/>
            </w:tcBorders>
            <w:noWrap w:val="0"/>
            <w:vAlign w:val="center"/>
          </w:tcPr>
          <w:p>
            <w:pPr>
              <w:pStyle w:val="113"/>
              <w:bidi w:val="0"/>
              <w:rPr>
                <w:rFonts w:hint="eastAsia" w:eastAsia="宋体"/>
                <w:sz w:val="21"/>
                <w:szCs w:val="21"/>
                <w:lang w:val="en-US" w:eastAsia="zh-CN"/>
              </w:rPr>
            </w:pPr>
            <w:r>
              <w:rPr>
                <w:rFonts w:hint="eastAsia"/>
                <w:sz w:val="21"/>
                <w:szCs w:val="21"/>
                <w:lang w:val="en-US" w:eastAsia="zh-CN"/>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镉</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0.00010</w:t>
            </w:r>
          </w:p>
        </w:tc>
        <w:tc>
          <w:tcPr>
            <w:tcW w:w="630" w:type="pct"/>
            <w:tcBorders>
              <w:tl2br w:val="nil"/>
              <w:tr2bl w:val="nil"/>
            </w:tcBorders>
            <w:noWrap w:val="0"/>
            <w:vAlign w:val="center"/>
          </w:tcPr>
          <w:p>
            <w:pPr>
              <w:pStyle w:val="113"/>
              <w:bidi w:val="0"/>
              <w:rPr>
                <w:rFonts w:hint="default"/>
                <w:sz w:val="21"/>
                <w:szCs w:val="21"/>
                <w:lang w:val="en-US"/>
              </w:rPr>
            </w:pPr>
            <w:r>
              <w:rPr>
                <w:rFonts w:hint="default"/>
                <w:sz w:val="21"/>
                <w:szCs w:val="21"/>
              </w:rPr>
              <w:t>≤</w:t>
            </w:r>
            <w:r>
              <w:rPr>
                <w:rFonts w:hint="eastAsia"/>
                <w:sz w:val="21"/>
                <w:szCs w:val="21"/>
                <w:lang w:val="en-US" w:eastAsia="zh-CN"/>
              </w:rPr>
              <w:t>0.005</w:t>
            </w:r>
          </w:p>
        </w:tc>
        <w:tc>
          <w:tcPr>
            <w:tcW w:w="559" w:type="pct"/>
            <w:tcBorders>
              <w:tl2br w:val="nil"/>
              <w:tr2bl w:val="nil"/>
            </w:tcBorders>
            <w:noWrap w:val="0"/>
            <w:vAlign w:val="center"/>
          </w:tcPr>
          <w:p>
            <w:pPr>
              <w:pStyle w:val="113"/>
              <w:bidi w:val="0"/>
              <w:rPr>
                <w:rFonts w:hint="eastAsia" w:eastAsia="宋体"/>
                <w:sz w:val="21"/>
                <w:szCs w:val="21"/>
                <w:lang w:val="en-US" w:eastAsia="zh-CN"/>
              </w:rPr>
            </w:pPr>
            <w:r>
              <w:rPr>
                <w:rFonts w:hint="eastAsia"/>
                <w:sz w:val="21"/>
                <w:szCs w:val="21"/>
                <w:lang w:val="en-US" w:eastAsia="zh-CN"/>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六价铬</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0.004L</w:t>
            </w:r>
          </w:p>
        </w:tc>
        <w:tc>
          <w:tcPr>
            <w:tcW w:w="630" w:type="pct"/>
            <w:tcBorders>
              <w:tl2br w:val="nil"/>
              <w:tr2bl w:val="nil"/>
            </w:tcBorders>
            <w:noWrap w:val="0"/>
            <w:vAlign w:val="center"/>
          </w:tcPr>
          <w:p>
            <w:pPr>
              <w:pStyle w:val="113"/>
              <w:bidi w:val="0"/>
              <w:rPr>
                <w:rFonts w:hint="default"/>
                <w:sz w:val="21"/>
                <w:szCs w:val="21"/>
              </w:rPr>
            </w:pPr>
            <w:r>
              <w:rPr>
                <w:rFonts w:hint="default"/>
                <w:sz w:val="21"/>
                <w:szCs w:val="21"/>
              </w:rPr>
              <w:t>≤</w:t>
            </w:r>
            <w:r>
              <w:rPr>
                <w:rFonts w:hint="eastAsia"/>
                <w:sz w:val="21"/>
                <w:szCs w:val="21"/>
                <w:lang w:val="en-US" w:eastAsia="zh-CN"/>
              </w:rPr>
              <w:t>0.05</w:t>
            </w:r>
          </w:p>
        </w:tc>
        <w:tc>
          <w:tcPr>
            <w:tcW w:w="559" w:type="pct"/>
            <w:tcBorders>
              <w:tl2br w:val="nil"/>
              <w:tr2bl w:val="nil"/>
            </w:tcBorders>
            <w:noWrap w:val="0"/>
            <w:vAlign w:val="center"/>
          </w:tcPr>
          <w:p>
            <w:pPr>
              <w:pStyle w:val="113"/>
              <w:bidi w:val="0"/>
              <w:rPr>
                <w:rFonts w:hint="eastAsia" w:eastAsia="宋体"/>
                <w:sz w:val="21"/>
                <w:szCs w:val="21"/>
                <w:lang w:val="en-US" w:eastAsia="zh-CN"/>
              </w:rPr>
            </w:pPr>
            <w:r>
              <w:rPr>
                <w:rFonts w:hint="eastAsia"/>
                <w:sz w:val="21"/>
                <w:szCs w:val="21"/>
                <w:lang w:val="en-US" w:eastAsia="zh-CN"/>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铅</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0.00009L</w:t>
            </w:r>
          </w:p>
        </w:tc>
        <w:tc>
          <w:tcPr>
            <w:tcW w:w="630" w:type="pct"/>
            <w:tcBorders>
              <w:tl2br w:val="nil"/>
              <w:tr2bl w:val="nil"/>
            </w:tcBorders>
            <w:noWrap w:val="0"/>
            <w:vAlign w:val="center"/>
          </w:tcPr>
          <w:p>
            <w:pPr>
              <w:pStyle w:val="113"/>
              <w:bidi w:val="0"/>
              <w:rPr>
                <w:rFonts w:hint="default"/>
                <w:sz w:val="21"/>
                <w:szCs w:val="21"/>
              </w:rPr>
            </w:pPr>
            <w:r>
              <w:rPr>
                <w:rFonts w:hint="default"/>
                <w:sz w:val="21"/>
                <w:szCs w:val="21"/>
              </w:rPr>
              <w:t>≤</w:t>
            </w:r>
            <w:r>
              <w:rPr>
                <w:rFonts w:hint="eastAsia"/>
                <w:sz w:val="21"/>
                <w:szCs w:val="21"/>
                <w:lang w:val="en-US" w:eastAsia="zh-CN"/>
              </w:rPr>
              <w:t>0.05</w:t>
            </w:r>
          </w:p>
        </w:tc>
        <w:tc>
          <w:tcPr>
            <w:tcW w:w="559" w:type="pct"/>
            <w:tcBorders>
              <w:tl2br w:val="nil"/>
              <w:tr2bl w:val="nil"/>
            </w:tcBorders>
            <w:noWrap w:val="0"/>
            <w:vAlign w:val="center"/>
          </w:tcPr>
          <w:p>
            <w:pPr>
              <w:pStyle w:val="113"/>
              <w:bidi w:val="0"/>
              <w:rPr>
                <w:rFonts w:hint="eastAsia" w:eastAsia="宋体"/>
                <w:sz w:val="21"/>
                <w:szCs w:val="21"/>
                <w:lang w:val="en-US" w:eastAsia="zh-CN"/>
              </w:rPr>
            </w:pPr>
            <w:r>
              <w:rPr>
                <w:rFonts w:hint="eastAsia"/>
                <w:sz w:val="21"/>
                <w:szCs w:val="21"/>
                <w:lang w:val="en-US" w:eastAsia="zh-CN"/>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氰化物</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0.001L</w:t>
            </w:r>
          </w:p>
        </w:tc>
        <w:tc>
          <w:tcPr>
            <w:tcW w:w="630" w:type="pct"/>
            <w:tcBorders>
              <w:tl2br w:val="nil"/>
              <w:tr2bl w:val="nil"/>
            </w:tcBorders>
            <w:noWrap w:val="0"/>
            <w:vAlign w:val="center"/>
          </w:tcPr>
          <w:p>
            <w:pPr>
              <w:pStyle w:val="113"/>
              <w:bidi w:val="0"/>
              <w:rPr>
                <w:rFonts w:hint="default"/>
                <w:sz w:val="21"/>
                <w:szCs w:val="21"/>
              </w:rPr>
            </w:pPr>
            <w:r>
              <w:rPr>
                <w:rFonts w:hint="default"/>
                <w:sz w:val="21"/>
                <w:szCs w:val="21"/>
              </w:rPr>
              <w:t>≤</w:t>
            </w:r>
            <w:r>
              <w:rPr>
                <w:rFonts w:hint="eastAsia"/>
                <w:sz w:val="21"/>
                <w:szCs w:val="21"/>
                <w:lang w:val="en-US" w:eastAsia="zh-CN"/>
              </w:rPr>
              <w:t>0.2</w:t>
            </w:r>
          </w:p>
        </w:tc>
        <w:tc>
          <w:tcPr>
            <w:tcW w:w="559" w:type="pct"/>
            <w:tcBorders>
              <w:tl2br w:val="nil"/>
              <w:tr2bl w:val="nil"/>
            </w:tcBorders>
            <w:noWrap w:val="0"/>
            <w:vAlign w:val="center"/>
          </w:tcPr>
          <w:p>
            <w:pPr>
              <w:pStyle w:val="113"/>
              <w:bidi w:val="0"/>
              <w:rPr>
                <w:rFonts w:hint="eastAsia" w:eastAsia="宋体"/>
                <w:sz w:val="21"/>
                <w:szCs w:val="21"/>
                <w:lang w:val="en-US" w:eastAsia="zh-CN"/>
              </w:rPr>
            </w:pPr>
            <w:r>
              <w:rPr>
                <w:rFonts w:hint="eastAsia"/>
                <w:sz w:val="21"/>
                <w:szCs w:val="21"/>
                <w:lang w:val="en-US" w:eastAsia="zh-CN"/>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挥发酚</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0.0003L</w:t>
            </w:r>
          </w:p>
        </w:tc>
        <w:tc>
          <w:tcPr>
            <w:tcW w:w="630" w:type="pct"/>
            <w:tcBorders>
              <w:tl2br w:val="nil"/>
              <w:tr2bl w:val="nil"/>
            </w:tcBorders>
            <w:noWrap w:val="0"/>
            <w:vAlign w:val="center"/>
          </w:tcPr>
          <w:p>
            <w:pPr>
              <w:pStyle w:val="113"/>
              <w:bidi w:val="0"/>
              <w:rPr>
                <w:sz w:val="21"/>
                <w:szCs w:val="21"/>
              </w:rPr>
            </w:pPr>
            <w:r>
              <w:rPr>
                <w:rFonts w:hint="default"/>
                <w:sz w:val="21"/>
                <w:szCs w:val="21"/>
              </w:rPr>
              <w:t>≤0.005</w:t>
            </w:r>
          </w:p>
        </w:tc>
        <w:tc>
          <w:tcPr>
            <w:tcW w:w="559" w:type="pct"/>
            <w:tcBorders>
              <w:tl2br w:val="nil"/>
              <w:tr2bl w:val="nil"/>
            </w:tcBorders>
            <w:noWrap w:val="0"/>
            <w:vAlign w:val="center"/>
          </w:tcPr>
          <w:p>
            <w:pPr>
              <w:pStyle w:val="113"/>
              <w:bidi w:val="0"/>
              <w:rPr>
                <w:sz w:val="21"/>
                <w:szCs w:val="21"/>
              </w:rPr>
            </w:pPr>
            <w:r>
              <w:rPr>
                <w:sz w:val="21"/>
                <w:szCs w:val="21"/>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石油类</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0.01L</w:t>
            </w:r>
          </w:p>
        </w:tc>
        <w:tc>
          <w:tcPr>
            <w:tcW w:w="630" w:type="pct"/>
            <w:tcBorders>
              <w:tl2br w:val="nil"/>
              <w:tr2bl w:val="nil"/>
            </w:tcBorders>
            <w:noWrap w:val="0"/>
            <w:vAlign w:val="center"/>
          </w:tcPr>
          <w:p>
            <w:pPr>
              <w:pStyle w:val="113"/>
              <w:bidi w:val="0"/>
              <w:rPr>
                <w:sz w:val="21"/>
                <w:szCs w:val="21"/>
              </w:rPr>
            </w:pPr>
            <w:r>
              <w:rPr>
                <w:rFonts w:hint="default"/>
                <w:sz w:val="21"/>
                <w:szCs w:val="21"/>
              </w:rPr>
              <w:t>≤0.05</w:t>
            </w:r>
          </w:p>
        </w:tc>
        <w:tc>
          <w:tcPr>
            <w:tcW w:w="559" w:type="pct"/>
            <w:tcBorders>
              <w:tl2br w:val="nil"/>
              <w:tr2bl w:val="nil"/>
            </w:tcBorders>
            <w:noWrap w:val="0"/>
            <w:vAlign w:val="center"/>
          </w:tcPr>
          <w:p>
            <w:pPr>
              <w:pStyle w:val="113"/>
              <w:bidi w:val="0"/>
              <w:rPr>
                <w:sz w:val="21"/>
                <w:szCs w:val="21"/>
              </w:rPr>
            </w:pPr>
            <w:r>
              <w:rPr>
                <w:sz w:val="21"/>
                <w:szCs w:val="21"/>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阴离子表面活性剂</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0.05L</w:t>
            </w:r>
          </w:p>
        </w:tc>
        <w:tc>
          <w:tcPr>
            <w:tcW w:w="630" w:type="pct"/>
            <w:tcBorders>
              <w:tl2br w:val="nil"/>
              <w:tr2bl w:val="nil"/>
            </w:tcBorders>
            <w:noWrap w:val="0"/>
            <w:vAlign w:val="center"/>
          </w:tcPr>
          <w:p>
            <w:pPr>
              <w:pStyle w:val="113"/>
              <w:bidi w:val="0"/>
              <w:rPr>
                <w:sz w:val="21"/>
                <w:szCs w:val="21"/>
              </w:rPr>
            </w:pPr>
            <w:r>
              <w:rPr>
                <w:rFonts w:hint="default"/>
                <w:sz w:val="21"/>
                <w:szCs w:val="21"/>
              </w:rPr>
              <w:t>≤0.2</w:t>
            </w:r>
          </w:p>
        </w:tc>
        <w:tc>
          <w:tcPr>
            <w:tcW w:w="559" w:type="pct"/>
            <w:tcBorders>
              <w:tl2br w:val="nil"/>
              <w:tr2bl w:val="nil"/>
            </w:tcBorders>
            <w:noWrap w:val="0"/>
            <w:vAlign w:val="center"/>
          </w:tcPr>
          <w:p>
            <w:pPr>
              <w:pStyle w:val="113"/>
              <w:bidi w:val="0"/>
              <w:rPr>
                <w:sz w:val="21"/>
                <w:szCs w:val="21"/>
              </w:rPr>
            </w:pPr>
            <w:r>
              <w:rPr>
                <w:sz w:val="21"/>
                <w:szCs w:val="21"/>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硫化物</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0.005L</w:t>
            </w:r>
          </w:p>
        </w:tc>
        <w:tc>
          <w:tcPr>
            <w:tcW w:w="630" w:type="pct"/>
            <w:tcBorders>
              <w:tl2br w:val="nil"/>
              <w:tr2bl w:val="nil"/>
            </w:tcBorders>
            <w:noWrap w:val="0"/>
            <w:vAlign w:val="center"/>
          </w:tcPr>
          <w:p>
            <w:pPr>
              <w:pStyle w:val="113"/>
              <w:bidi w:val="0"/>
              <w:rPr>
                <w:rFonts w:hint="default"/>
                <w:sz w:val="21"/>
                <w:szCs w:val="21"/>
              </w:rPr>
            </w:pPr>
            <w:r>
              <w:rPr>
                <w:rFonts w:hint="default"/>
                <w:sz w:val="21"/>
                <w:szCs w:val="21"/>
              </w:rPr>
              <w:t>≤</w:t>
            </w:r>
            <w:r>
              <w:rPr>
                <w:rFonts w:hint="eastAsia"/>
                <w:sz w:val="21"/>
                <w:szCs w:val="21"/>
                <w:lang w:val="en-US" w:eastAsia="zh-CN"/>
              </w:rPr>
              <w:t>0.2</w:t>
            </w:r>
          </w:p>
        </w:tc>
        <w:tc>
          <w:tcPr>
            <w:tcW w:w="559" w:type="pct"/>
            <w:tcBorders>
              <w:tl2br w:val="nil"/>
              <w:tr2bl w:val="nil"/>
            </w:tcBorders>
            <w:noWrap w:val="0"/>
            <w:vAlign w:val="center"/>
          </w:tcPr>
          <w:p>
            <w:pPr>
              <w:pStyle w:val="113"/>
              <w:bidi w:val="0"/>
              <w:rPr>
                <w:rFonts w:hint="eastAsia" w:eastAsia="宋体"/>
                <w:sz w:val="21"/>
                <w:szCs w:val="21"/>
                <w:lang w:val="en-US" w:eastAsia="zh-CN"/>
              </w:rPr>
            </w:pPr>
            <w:r>
              <w:rPr>
                <w:rFonts w:hint="eastAsia"/>
                <w:sz w:val="21"/>
                <w:szCs w:val="21"/>
                <w:lang w:val="en-US" w:eastAsia="zh-CN"/>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水温</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16.5</w:t>
            </w:r>
          </w:p>
        </w:tc>
        <w:tc>
          <w:tcPr>
            <w:tcW w:w="630" w:type="pct"/>
            <w:tcBorders>
              <w:tl2br w:val="nil"/>
              <w:tr2bl w:val="nil"/>
            </w:tcBorders>
            <w:noWrap w:val="0"/>
            <w:vAlign w:val="center"/>
          </w:tcPr>
          <w:p>
            <w:pPr>
              <w:pStyle w:val="113"/>
              <w:bidi w:val="0"/>
              <w:rPr>
                <w:rFonts w:hint="default"/>
                <w:sz w:val="21"/>
                <w:szCs w:val="21"/>
              </w:rPr>
            </w:pPr>
          </w:p>
        </w:tc>
        <w:tc>
          <w:tcPr>
            <w:tcW w:w="559" w:type="pct"/>
            <w:tcBorders>
              <w:tl2br w:val="nil"/>
              <w:tr2bl w:val="nil"/>
            </w:tcBorders>
            <w:noWrap w:val="0"/>
            <w:vAlign w:val="center"/>
          </w:tcPr>
          <w:p>
            <w:pPr>
              <w:pStyle w:val="113"/>
              <w:bidi w:val="0"/>
              <w:rPr>
                <w:sz w:val="21"/>
                <w:szCs w:val="21"/>
              </w:rPr>
            </w:pPr>
          </w:p>
        </w:tc>
        <w:tc>
          <w:tcPr>
            <w:tcW w:w="1638" w:type="dxa"/>
            <w:tcBorders>
              <w:tl2br w:val="nil"/>
              <w:tr2bl w:val="nil"/>
            </w:tcBorders>
            <w:noWrap w:val="0"/>
            <w:vAlign w:val="center"/>
          </w:tcPr>
          <w:p>
            <w:pPr>
              <w:pStyle w:val="113"/>
              <w:bidi w:val="0"/>
              <w:ind w:firstLine="0" w:firstLineChars="0"/>
              <w:rPr>
                <w:sz w:val="21"/>
                <w:szCs w:val="21"/>
              </w:rPr>
            </w:pPr>
          </w:p>
        </w:tc>
        <w:tc>
          <w:tcPr>
            <w:tcW w:w="705" w:type="pct"/>
            <w:tcBorders>
              <w:tl2br w:val="nil"/>
              <w:tr2bl w:val="nil"/>
            </w:tcBorders>
            <w:noWrap w:val="0"/>
            <w:vAlign w:val="center"/>
          </w:tcPr>
          <w:p>
            <w:pPr>
              <w:pStyle w:val="113"/>
              <w:bidi w:val="0"/>
              <w:rPr>
                <w:rFonts w:hint="default"/>
                <w:sz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总氮</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1.17</w:t>
            </w:r>
          </w:p>
        </w:tc>
        <w:tc>
          <w:tcPr>
            <w:tcW w:w="630" w:type="pct"/>
            <w:tcBorders>
              <w:tl2br w:val="nil"/>
              <w:tr2bl w:val="nil"/>
            </w:tcBorders>
            <w:noWrap w:val="0"/>
            <w:vAlign w:val="center"/>
          </w:tcPr>
          <w:p>
            <w:pPr>
              <w:pStyle w:val="113"/>
              <w:bidi w:val="0"/>
              <w:rPr>
                <w:rFonts w:hint="default"/>
                <w:sz w:val="21"/>
                <w:szCs w:val="21"/>
                <w:lang w:val="en-US"/>
              </w:rPr>
            </w:pPr>
            <w:r>
              <w:rPr>
                <w:rFonts w:hint="default"/>
                <w:sz w:val="21"/>
                <w:szCs w:val="21"/>
              </w:rPr>
              <w:t>≤</w:t>
            </w:r>
            <w:r>
              <w:rPr>
                <w:rFonts w:hint="eastAsia"/>
                <w:sz w:val="21"/>
                <w:szCs w:val="21"/>
                <w:lang w:val="en-US" w:eastAsia="zh-CN"/>
              </w:rPr>
              <w:t>1.0</w:t>
            </w:r>
          </w:p>
        </w:tc>
        <w:tc>
          <w:tcPr>
            <w:tcW w:w="559" w:type="pct"/>
            <w:tcBorders>
              <w:tl2br w:val="nil"/>
              <w:tr2bl w:val="nil"/>
            </w:tcBorders>
            <w:noWrap w:val="0"/>
            <w:vAlign w:val="center"/>
          </w:tcPr>
          <w:p>
            <w:pPr>
              <w:pStyle w:val="113"/>
              <w:bidi w:val="0"/>
              <w:rPr>
                <w:rFonts w:hint="eastAsia" w:eastAsia="宋体"/>
                <w:sz w:val="21"/>
                <w:szCs w:val="21"/>
                <w:lang w:val="en-US" w:eastAsia="zh-CN"/>
              </w:rPr>
            </w:pPr>
            <w:r>
              <w:rPr>
                <w:rFonts w:hint="eastAsia"/>
                <w:sz w:val="21"/>
                <w:szCs w:val="21"/>
                <w:lang w:val="en-US" w:eastAsia="zh-CN"/>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8" w:hRule="atLeast"/>
          <w:tblHeader/>
          <w:jc w:val="center"/>
        </w:trPr>
        <w:tc>
          <w:tcPr>
            <w:tcW w:w="555" w:type="pct"/>
            <w:vMerge w:val="continue"/>
            <w:tcBorders>
              <w:tl2br w:val="nil"/>
              <w:tr2bl w:val="nil"/>
            </w:tcBorders>
            <w:noWrap w:val="0"/>
            <w:vAlign w:val="center"/>
          </w:tcPr>
          <w:p>
            <w:pPr>
              <w:pStyle w:val="113"/>
              <w:bidi w:val="0"/>
              <w:rPr>
                <w:sz w:val="21"/>
                <w:szCs w:val="21"/>
              </w:rPr>
            </w:pPr>
          </w:p>
        </w:tc>
        <w:tc>
          <w:tcPr>
            <w:tcW w:w="921" w:type="pct"/>
            <w:tcBorders>
              <w:tl2br w:val="nil"/>
              <w:tr2bl w:val="nil"/>
            </w:tcBorders>
            <w:noWrap w:val="0"/>
            <w:vAlign w:val="center"/>
          </w:tcPr>
          <w:p>
            <w:pPr>
              <w:pStyle w:val="113"/>
              <w:bidi w:val="0"/>
              <w:rPr>
                <w:rFonts w:hint="default"/>
                <w:sz w:val="21"/>
                <w:szCs w:val="21"/>
              </w:rPr>
            </w:pPr>
            <w:r>
              <w:rPr>
                <w:rFonts w:hint="default"/>
                <w:sz w:val="21"/>
                <w:szCs w:val="21"/>
                <w:lang w:val="en-US" w:eastAsia="zh-CN"/>
              </w:rPr>
              <w:t>粪大肠菌群</w:t>
            </w:r>
          </w:p>
        </w:tc>
        <w:tc>
          <w:tcPr>
            <w:tcW w:w="666" w:type="pct"/>
            <w:tcBorders>
              <w:tl2br w:val="nil"/>
              <w:tr2bl w:val="nil"/>
            </w:tcBorders>
            <w:noWrap w:val="0"/>
            <w:vAlign w:val="center"/>
          </w:tcPr>
          <w:p>
            <w:pPr>
              <w:pStyle w:val="113"/>
              <w:bidi w:val="0"/>
              <w:rPr>
                <w:rFonts w:hint="default"/>
                <w:sz w:val="21"/>
                <w:szCs w:val="21"/>
                <w:lang w:val="en-US" w:eastAsia="zh-CN"/>
              </w:rPr>
            </w:pPr>
            <w:r>
              <w:rPr>
                <w:rFonts w:hint="default"/>
                <w:sz w:val="21"/>
                <w:szCs w:val="21"/>
                <w:lang w:val="en-US" w:eastAsia="zh-CN"/>
              </w:rPr>
              <w:t>1700</w:t>
            </w:r>
          </w:p>
        </w:tc>
        <w:tc>
          <w:tcPr>
            <w:tcW w:w="630" w:type="pct"/>
            <w:tcBorders>
              <w:tl2br w:val="nil"/>
              <w:tr2bl w:val="nil"/>
            </w:tcBorders>
            <w:noWrap w:val="0"/>
            <w:vAlign w:val="center"/>
          </w:tcPr>
          <w:p>
            <w:pPr>
              <w:pStyle w:val="113"/>
              <w:bidi w:val="0"/>
              <w:rPr>
                <w:sz w:val="21"/>
                <w:szCs w:val="21"/>
              </w:rPr>
            </w:pPr>
            <w:r>
              <w:rPr>
                <w:rFonts w:hint="default"/>
                <w:sz w:val="21"/>
                <w:szCs w:val="21"/>
              </w:rPr>
              <w:t>≤</w:t>
            </w:r>
            <w:r>
              <w:rPr>
                <w:rFonts w:hint="default"/>
                <w:sz w:val="21"/>
                <w:szCs w:val="21"/>
                <w:lang w:val="en-US" w:eastAsia="zh-CN"/>
              </w:rPr>
              <w:t>10000</w:t>
            </w:r>
          </w:p>
        </w:tc>
        <w:tc>
          <w:tcPr>
            <w:tcW w:w="559" w:type="pct"/>
            <w:tcBorders>
              <w:tl2br w:val="nil"/>
              <w:tr2bl w:val="nil"/>
            </w:tcBorders>
            <w:noWrap w:val="0"/>
            <w:vAlign w:val="center"/>
          </w:tcPr>
          <w:p>
            <w:pPr>
              <w:pStyle w:val="113"/>
              <w:bidi w:val="0"/>
              <w:rPr>
                <w:sz w:val="21"/>
                <w:szCs w:val="21"/>
              </w:rPr>
            </w:pPr>
            <w:r>
              <w:rPr>
                <w:sz w:val="21"/>
                <w:szCs w:val="21"/>
              </w:rPr>
              <w:t>0</w:t>
            </w:r>
          </w:p>
        </w:tc>
        <w:tc>
          <w:tcPr>
            <w:tcW w:w="1638" w:type="dxa"/>
            <w:tcBorders>
              <w:tl2br w:val="nil"/>
              <w:tr2bl w:val="nil"/>
            </w:tcBorders>
            <w:noWrap w:val="0"/>
            <w:vAlign w:val="center"/>
          </w:tcPr>
          <w:p>
            <w:pPr>
              <w:pStyle w:val="113"/>
              <w:bidi w:val="0"/>
              <w:ind w:firstLine="0" w:firstLineChars="0"/>
              <w:rPr>
                <w:sz w:val="21"/>
                <w:szCs w:val="21"/>
              </w:rPr>
            </w:pPr>
            <w:r>
              <w:rPr>
                <w:sz w:val="21"/>
                <w:szCs w:val="21"/>
              </w:rPr>
              <w:t>0</w:t>
            </w:r>
          </w:p>
        </w:tc>
        <w:tc>
          <w:tcPr>
            <w:tcW w:w="705" w:type="pct"/>
            <w:tcBorders>
              <w:tl2br w:val="nil"/>
              <w:tr2bl w:val="nil"/>
            </w:tcBorders>
            <w:noWrap w:val="0"/>
            <w:vAlign w:val="center"/>
          </w:tcPr>
          <w:p>
            <w:pPr>
              <w:pStyle w:val="113"/>
              <w:bidi w:val="0"/>
              <w:rPr>
                <w:rFonts w:hint="default"/>
                <w:sz w:val="21"/>
                <w:lang w:val="en-US" w:eastAsia="zh-CN"/>
              </w:rPr>
            </w:pPr>
            <w:r>
              <w:rPr>
                <w:rFonts w:hint="default"/>
                <w:sz w:val="21"/>
                <w:lang w:val="en-US" w:eastAsia="zh-CN"/>
              </w:rPr>
              <w:t>达标</w:t>
            </w:r>
          </w:p>
        </w:tc>
      </w:tr>
    </w:tbl>
    <w:p>
      <w:pPr>
        <w:topLinePunct/>
        <w:jc w:val="left"/>
        <w:rPr>
          <w:rFonts w:ascii="Times New Roman" w:hAnsi="Times New Roman"/>
          <w:b/>
          <w:bCs/>
          <w:sz w:val="21"/>
          <w:szCs w:val="21"/>
          <w:u w:val="none"/>
        </w:rPr>
      </w:pPr>
      <w:r>
        <w:rPr>
          <w:rFonts w:ascii="Times New Roman" w:hAnsi="Times New Roman"/>
          <w:b/>
          <w:bCs/>
          <w:sz w:val="21"/>
          <w:szCs w:val="21"/>
          <w:u w:val="none"/>
        </w:rPr>
        <w:t>注：pH无量纲</w:t>
      </w:r>
    </w:p>
    <w:p>
      <w:pPr>
        <w:bidi w:val="0"/>
        <w:jc w:val="both"/>
      </w:pPr>
      <w:r>
        <w:t>监测结果表明，</w:t>
      </w:r>
      <w:r>
        <w:rPr>
          <w:rFonts w:hint="default"/>
        </w:rPr>
        <w:t>本项目地表水监测断面pH、溶解氧、高锰酸盐指数、COD、BOD5、氨氮、总磷、</w:t>
      </w:r>
      <w:r>
        <w:rPr>
          <w:rFonts w:hint="default"/>
          <w:lang w:val="en-US" w:eastAsia="zh-CN"/>
        </w:rPr>
        <w:t>铜、锌、硒、砷、汞、镉、六价铬、铅、氟化物、挥发酚、</w:t>
      </w:r>
      <w:r>
        <w:rPr>
          <w:rFonts w:hint="default"/>
        </w:rPr>
        <w:t>石油类、阴离子表面活性剂、</w:t>
      </w:r>
      <w:r>
        <w:rPr>
          <w:rFonts w:hint="default"/>
          <w:lang w:val="en-US" w:eastAsia="zh-CN"/>
        </w:rPr>
        <w:t>硫化物、水温、总氮、</w:t>
      </w:r>
      <w:r>
        <w:rPr>
          <w:rFonts w:hint="default"/>
        </w:rPr>
        <w:t>粪大肠菌群各项因子均达标，由此可见，建设项目上游区域地表水污染物无超标现象，满足《地表水环境质量标准》（GB3838-2002）中Ⅲ类标准要求</w:t>
      </w:r>
      <w:r>
        <w:rPr>
          <w:rFonts w:hint="default"/>
          <w:lang w:eastAsia="zh-CN"/>
        </w:rPr>
        <w:t>，</w:t>
      </w:r>
      <w:r>
        <w:rPr>
          <w:rFonts w:hint="default"/>
        </w:rPr>
        <w:t>区域地表水质量现状良好</w:t>
      </w:r>
      <w:r>
        <w:t>。</w:t>
      </w:r>
    </w:p>
    <w:p>
      <w:pPr>
        <w:pStyle w:val="76"/>
        <w:bidi w:val="0"/>
        <w:rPr>
          <w:rFonts w:hint="eastAsia"/>
        </w:rPr>
      </w:pPr>
      <w:bookmarkStart w:id="318" w:name="_Toc28194"/>
      <w:r>
        <w:rPr>
          <w:rFonts w:hint="eastAsia"/>
          <w:lang w:val="en-US" w:eastAsia="zh-CN"/>
        </w:rPr>
        <w:t>8.3</w:t>
      </w:r>
      <w:r>
        <w:rPr>
          <w:rFonts w:hint="eastAsia"/>
        </w:rPr>
        <w:t>拟建入河排污口情况</w:t>
      </w:r>
      <w:bookmarkEnd w:id="318"/>
    </w:p>
    <w:p>
      <w:pPr>
        <w:pStyle w:val="6"/>
        <w:bidi w:val="0"/>
        <w:jc w:val="both"/>
        <w:rPr>
          <w:rFonts w:hint="eastAsia"/>
          <w:u w:val="single"/>
          <w:lang w:val="en-US" w:eastAsia="zh-CN"/>
        </w:rPr>
      </w:pPr>
      <w:r>
        <w:rPr>
          <w:rFonts w:hint="eastAsia"/>
          <w:u w:val="single"/>
          <w:lang w:val="en-US" w:eastAsia="zh-CN"/>
        </w:rPr>
        <w:t>8.3.1入河排污口设置方案</w:t>
      </w:r>
    </w:p>
    <w:p>
      <w:pPr>
        <w:pStyle w:val="3"/>
        <w:numPr>
          <w:ilvl w:val="0"/>
          <w:numId w:val="0"/>
        </w:numPr>
        <w:ind w:left="106" w:leftChars="0"/>
        <w:jc w:val="both"/>
        <w:rPr>
          <w:rFonts w:hint="eastAsia"/>
          <w:u w:val="single"/>
          <w:lang w:val="en-US" w:eastAsia="zh-CN"/>
        </w:rPr>
      </w:pPr>
      <w:r>
        <w:rPr>
          <w:rFonts w:hint="eastAsia"/>
          <w:u w:val="single"/>
          <w:lang w:val="en-US" w:eastAsia="zh-CN"/>
        </w:rPr>
        <w:t>（</w:t>
      </w:r>
      <w:r>
        <w:rPr>
          <w:rFonts w:hint="eastAsia" w:ascii="Times New Roman" w:hAnsi="Times New Roman"/>
          <w:sz w:val="24"/>
          <w:u w:val="single"/>
          <w:lang w:val="en-US" w:eastAsia="zh-CN"/>
        </w:rPr>
        <w:t>1</w:t>
      </w:r>
      <w:r>
        <w:rPr>
          <w:rFonts w:hint="eastAsia"/>
          <w:u w:val="single"/>
          <w:lang w:val="en-US" w:eastAsia="zh-CN"/>
        </w:rPr>
        <w:t>）入河排污口位置</w:t>
      </w:r>
    </w:p>
    <w:p>
      <w:pPr>
        <w:adjustRightInd w:val="0"/>
        <w:snapToGrid w:val="0"/>
        <w:ind w:firstLine="560"/>
        <w:jc w:val="both"/>
        <w:rPr>
          <w:rFonts w:hint="eastAsia" w:hAnsi="宋体"/>
          <w:szCs w:val="28"/>
          <w:u w:val="single"/>
        </w:rPr>
      </w:pPr>
      <w:r>
        <w:rPr>
          <w:rFonts w:hAnsi="宋体"/>
          <w:szCs w:val="28"/>
          <w:u w:val="single"/>
        </w:rPr>
        <w:t>本工程入河排污口位于厂区</w:t>
      </w:r>
      <w:r>
        <w:rPr>
          <w:rFonts w:hint="eastAsia" w:hAnsi="宋体"/>
          <w:szCs w:val="28"/>
          <w:u w:val="single"/>
        </w:rPr>
        <w:t>东侧</w:t>
      </w:r>
      <w:r>
        <w:rPr>
          <w:rFonts w:hAnsi="宋体"/>
          <w:szCs w:val="28"/>
          <w:u w:val="single"/>
        </w:rPr>
        <w:t>，排污口地理坐标为</w:t>
      </w:r>
      <w:r>
        <w:rPr>
          <w:rFonts w:hint="eastAsia" w:hAnsi="宋体"/>
          <w:szCs w:val="28"/>
          <w:u w:val="single"/>
          <w:lang w:val="en-US" w:eastAsia="zh-CN"/>
        </w:rPr>
        <w:t>E</w:t>
      </w:r>
      <w:r>
        <w:rPr>
          <w:rFonts w:hint="eastAsia"/>
          <w:u w:val="single"/>
          <w:lang w:eastAsia="zh-CN"/>
        </w:rPr>
        <w:t>109°50′35.30277″，</w:t>
      </w:r>
      <w:r>
        <w:rPr>
          <w:rFonts w:hint="eastAsia"/>
          <w:u w:val="single"/>
          <w:lang w:val="en-US" w:eastAsia="zh-CN"/>
        </w:rPr>
        <w:t>N</w:t>
      </w:r>
      <w:r>
        <w:rPr>
          <w:rFonts w:hint="eastAsia"/>
          <w:u w:val="single"/>
          <w:lang w:eastAsia="zh-CN"/>
        </w:rPr>
        <w:t>28°58′3.53112″</w:t>
      </w:r>
      <w:r>
        <w:rPr>
          <w:rFonts w:hint="eastAsia" w:hAnsi="宋体"/>
          <w:szCs w:val="28"/>
          <w:u w:val="single"/>
        </w:rPr>
        <w:t>。</w:t>
      </w:r>
    </w:p>
    <w:p>
      <w:pPr>
        <w:pStyle w:val="3"/>
        <w:jc w:val="both"/>
        <w:rPr>
          <w:rFonts w:hint="eastAsia"/>
          <w:u w:val="single"/>
          <w:lang w:val="en-US" w:eastAsia="zh-CN"/>
        </w:rPr>
      </w:pPr>
      <w:r>
        <w:rPr>
          <w:rFonts w:hint="eastAsia"/>
          <w:u w:val="single"/>
          <w:lang w:val="en-US" w:eastAsia="zh-CN"/>
        </w:rPr>
        <w:t>（</w:t>
      </w:r>
      <w:r>
        <w:rPr>
          <w:rFonts w:hint="eastAsia" w:ascii="Times New Roman" w:hAnsi="Times New Roman"/>
          <w:sz w:val="24"/>
          <w:u w:val="single"/>
          <w:lang w:val="en-US" w:eastAsia="zh-CN"/>
        </w:rPr>
        <w:t>2</w:t>
      </w:r>
      <w:r>
        <w:rPr>
          <w:rFonts w:hint="eastAsia"/>
          <w:u w:val="single"/>
          <w:lang w:val="en-US" w:eastAsia="zh-CN"/>
        </w:rPr>
        <w:t>）入河排污口类型</w:t>
      </w:r>
    </w:p>
    <w:p>
      <w:pPr>
        <w:bidi w:val="0"/>
        <w:jc w:val="both"/>
        <w:rPr>
          <w:rFonts w:hint="default"/>
          <w:u w:val="single"/>
          <w:lang w:val="en-US" w:eastAsia="zh-CN"/>
        </w:rPr>
      </w:pPr>
      <w:r>
        <w:rPr>
          <w:rFonts w:hint="default"/>
          <w:u w:val="single"/>
          <w:lang w:val="en-US" w:eastAsia="zh-CN"/>
        </w:rPr>
        <w:t>工程为收集的为</w:t>
      </w:r>
      <w:r>
        <w:rPr>
          <w:rFonts w:hint="eastAsia"/>
          <w:u w:val="single"/>
          <w:lang w:val="en-US" w:eastAsia="zh-CN"/>
        </w:rPr>
        <w:t>混合</w:t>
      </w:r>
      <w:r>
        <w:rPr>
          <w:rFonts w:hint="default"/>
          <w:u w:val="single"/>
          <w:lang w:val="en-US" w:eastAsia="zh-CN"/>
        </w:rPr>
        <w:t>污水，排污口建设情况分类为新建排污口，入河排污口类型为</w:t>
      </w:r>
      <w:r>
        <w:rPr>
          <w:rFonts w:hint="eastAsia"/>
          <w:u w:val="single"/>
          <w:lang w:val="en-US" w:eastAsia="zh-CN"/>
        </w:rPr>
        <w:t>混合</w:t>
      </w:r>
      <w:r>
        <w:rPr>
          <w:rFonts w:hint="default"/>
          <w:u w:val="single"/>
          <w:lang w:val="en-US" w:eastAsia="zh-CN"/>
        </w:rPr>
        <w:t>污水入河排污口。</w:t>
      </w:r>
    </w:p>
    <w:p>
      <w:pPr>
        <w:pStyle w:val="3"/>
        <w:jc w:val="both"/>
        <w:rPr>
          <w:rFonts w:hint="default"/>
          <w:u w:val="single"/>
          <w:lang w:val="en-US" w:eastAsia="zh-CN"/>
        </w:rPr>
      </w:pPr>
      <w:r>
        <w:rPr>
          <w:rFonts w:hint="eastAsia"/>
          <w:u w:val="single"/>
          <w:lang w:val="en-US" w:eastAsia="zh-CN"/>
        </w:rPr>
        <w:t>（</w:t>
      </w:r>
      <w:r>
        <w:rPr>
          <w:rFonts w:hint="eastAsia" w:ascii="Times New Roman" w:hAnsi="Times New Roman"/>
          <w:sz w:val="24"/>
          <w:u w:val="single"/>
          <w:lang w:val="en-US" w:eastAsia="zh-CN"/>
        </w:rPr>
        <w:t>3</w:t>
      </w:r>
      <w:r>
        <w:rPr>
          <w:rFonts w:hint="eastAsia"/>
          <w:u w:val="single"/>
          <w:lang w:val="en-US" w:eastAsia="zh-CN"/>
        </w:rPr>
        <w:t>）入河排污口排放方式</w:t>
      </w:r>
    </w:p>
    <w:p>
      <w:pPr>
        <w:jc w:val="both"/>
        <w:rPr>
          <w:rFonts w:hint="default"/>
          <w:u w:val="single"/>
          <w:lang w:val="en-US" w:eastAsia="zh-CN"/>
        </w:rPr>
      </w:pPr>
      <w:r>
        <w:rPr>
          <w:rFonts w:hint="default"/>
          <w:u w:val="single"/>
          <w:lang w:val="en-US" w:eastAsia="zh-CN"/>
        </w:rPr>
        <w:t>本工程入河排污口排放方式为连续排放。</w:t>
      </w:r>
    </w:p>
    <w:p>
      <w:pPr>
        <w:pStyle w:val="3"/>
        <w:jc w:val="both"/>
        <w:rPr>
          <w:rFonts w:hint="eastAsia"/>
          <w:u w:val="single"/>
          <w:lang w:val="en-US" w:eastAsia="zh-CN"/>
        </w:rPr>
      </w:pPr>
      <w:r>
        <w:rPr>
          <w:rFonts w:hint="eastAsia"/>
          <w:u w:val="single"/>
          <w:lang w:val="en-US" w:eastAsia="zh-CN"/>
        </w:rPr>
        <w:t>（</w:t>
      </w:r>
      <w:r>
        <w:rPr>
          <w:rFonts w:hint="eastAsia" w:ascii="Times New Roman" w:hAnsi="Times New Roman"/>
          <w:sz w:val="24"/>
          <w:u w:val="single"/>
          <w:lang w:val="en-US" w:eastAsia="zh-CN"/>
        </w:rPr>
        <w:t>4</w:t>
      </w:r>
      <w:r>
        <w:rPr>
          <w:rFonts w:hint="eastAsia"/>
          <w:u w:val="single"/>
          <w:lang w:val="en-US" w:eastAsia="zh-CN"/>
        </w:rPr>
        <w:t>）入河排污口入河方式</w:t>
      </w:r>
    </w:p>
    <w:p>
      <w:pPr>
        <w:ind w:firstLine="560"/>
        <w:jc w:val="both"/>
        <w:rPr>
          <w:u w:val="single"/>
        </w:rPr>
      </w:pPr>
      <w:r>
        <w:rPr>
          <w:rFonts w:hAnsi="宋体"/>
          <w:bCs/>
          <w:snapToGrid w:val="0"/>
          <w:szCs w:val="28"/>
          <w:u w:val="single"/>
        </w:rPr>
        <w:t>尾水达到</w:t>
      </w:r>
      <w:r>
        <w:rPr>
          <w:rFonts w:hAnsi="宋体"/>
          <w:szCs w:val="28"/>
          <w:u w:val="single"/>
        </w:rPr>
        <w:t>《城镇污水处理厂污染物排放标准》（</w:t>
      </w:r>
      <w:r>
        <w:rPr>
          <w:szCs w:val="28"/>
          <w:u w:val="single"/>
        </w:rPr>
        <w:t>GB18918-2002</w:t>
      </w:r>
      <w:r>
        <w:rPr>
          <w:rFonts w:hAnsi="宋体"/>
          <w:szCs w:val="28"/>
          <w:u w:val="single"/>
        </w:rPr>
        <w:t>）一级</w:t>
      </w:r>
      <w:r>
        <w:rPr>
          <w:szCs w:val="28"/>
          <w:u w:val="single"/>
        </w:rPr>
        <w:t>A</w:t>
      </w:r>
      <w:r>
        <w:rPr>
          <w:rFonts w:hAnsi="宋体"/>
          <w:szCs w:val="28"/>
          <w:u w:val="single"/>
        </w:rPr>
        <w:t>标准限值要求</w:t>
      </w:r>
      <w:r>
        <w:rPr>
          <w:rFonts w:hint="eastAsia"/>
          <w:u w:val="single"/>
        </w:rPr>
        <w:t>通过</w:t>
      </w:r>
      <w:r>
        <w:rPr>
          <w:rFonts w:hint="eastAsia"/>
          <w:u w:val="single"/>
          <w:lang w:val="en-US" w:eastAsia="zh-CN"/>
        </w:rPr>
        <w:t>2050</w:t>
      </w:r>
      <w:r>
        <w:rPr>
          <w:u w:val="single"/>
        </w:rPr>
        <w:t>m</w:t>
      </w:r>
      <w:r>
        <w:rPr>
          <w:rFonts w:hint="eastAsia"/>
          <w:u w:val="single"/>
        </w:rPr>
        <w:t>的管道，重力</w:t>
      </w:r>
      <w:r>
        <w:rPr>
          <w:u w:val="single"/>
        </w:rPr>
        <w:t>排入厂区</w:t>
      </w:r>
      <w:r>
        <w:rPr>
          <w:rFonts w:hint="eastAsia"/>
          <w:u w:val="single"/>
        </w:rPr>
        <w:t>东</w:t>
      </w:r>
      <w:r>
        <w:rPr>
          <w:u w:val="single"/>
        </w:rPr>
        <w:t>侧的</w:t>
      </w:r>
      <w:r>
        <w:rPr>
          <w:rFonts w:hint="eastAsia"/>
          <w:u w:val="single"/>
          <w:lang w:val="en-US" w:eastAsia="zh-CN"/>
        </w:rPr>
        <w:t>猛洞河</w:t>
      </w:r>
      <w:r>
        <w:rPr>
          <w:u w:val="single"/>
        </w:rPr>
        <w:t>。</w:t>
      </w:r>
    </w:p>
    <w:p>
      <w:pPr>
        <w:pStyle w:val="3"/>
        <w:jc w:val="both"/>
        <w:rPr>
          <w:rFonts w:hint="eastAsia"/>
          <w:u w:val="single"/>
          <w:lang w:val="en-US" w:eastAsia="zh-CN"/>
        </w:rPr>
      </w:pPr>
      <w:r>
        <w:rPr>
          <w:rFonts w:hint="eastAsia"/>
          <w:u w:val="single"/>
          <w:lang w:val="en-US" w:eastAsia="zh-CN"/>
        </w:rPr>
        <w:t>（</w:t>
      </w:r>
      <w:r>
        <w:rPr>
          <w:rFonts w:hint="eastAsia" w:ascii="Times New Roman" w:hAnsi="Times New Roman"/>
          <w:sz w:val="24"/>
          <w:u w:val="single"/>
          <w:lang w:val="en-US" w:eastAsia="zh-CN"/>
        </w:rPr>
        <w:t>5</w:t>
      </w:r>
      <w:r>
        <w:rPr>
          <w:rFonts w:hint="eastAsia"/>
          <w:u w:val="single"/>
          <w:lang w:val="en-US" w:eastAsia="zh-CN"/>
        </w:rPr>
        <w:t>）入河排污口工程内容</w:t>
      </w:r>
    </w:p>
    <w:p>
      <w:pPr>
        <w:ind w:firstLine="560"/>
        <w:jc w:val="both"/>
        <w:rPr>
          <w:u w:val="none"/>
          <w:lang w:val="zh-CN"/>
        </w:rPr>
      </w:pPr>
      <w:r>
        <w:rPr>
          <w:rFonts w:hint="eastAsia"/>
          <w:u w:val="single"/>
          <w:lang w:val="zh-CN"/>
        </w:rPr>
        <w:t>排污口按照国家标准《环境保护图形标志》(GB15562.1—1995)(GB15562.2—1995)的规定，设置与之相适应的环境保护图形标志牌。具体见下图。</w:t>
      </w:r>
    </w:p>
    <w:p>
      <w:pPr>
        <w:pStyle w:val="74"/>
        <w:rPr>
          <w:u w:val="none"/>
        </w:rPr>
      </w:pPr>
      <w:r>
        <w:rPr>
          <w:u w:val="none"/>
        </w:rPr>
        <w:drawing>
          <wp:inline distT="0" distB="0" distL="114300" distR="114300">
            <wp:extent cx="2807970" cy="1882775"/>
            <wp:effectExtent l="0" t="0" r="11430" b="6985"/>
            <wp:docPr id="50"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6"/>
                    <pic:cNvPicPr>
                      <a:picLocks noChangeAspect="1"/>
                    </pic:cNvPicPr>
                  </pic:nvPicPr>
                  <pic:blipFill>
                    <a:blip r:embed="rId78"/>
                    <a:stretch>
                      <a:fillRect/>
                    </a:stretch>
                  </pic:blipFill>
                  <pic:spPr>
                    <a:xfrm>
                      <a:off x="0" y="0"/>
                      <a:ext cx="2807970" cy="1882775"/>
                    </a:xfrm>
                    <a:prstGeom prst="rect">
                      <a:avLst/>
                    </a:prstGeom>
                    <a:noFill/>
                    <a:ln>
                      <a:noFill/>
                    </a:ln>
                  </pic:spPr>
                </pic:pic>
              </a:graphicData>
            </a:graphic>
          </wp:inline>
        </w:drawing>
      </w:r>
    </w:p>
    <w:p>
      <w:pPr>
        <w:pStyle w:val="74"/>
        <w:rPr>
          <w:rFonts w:hint="eastAsia"/>
          <w:u w:val="none"/>
          <w:lang w:val="zh-CN"/>
        </w:rPr>
      </w:pPr>
      <w:r>
        <w:rPr>
          <w:u w:val="none"/>
          <w:lang w:val="zh-CN"/>
        </w:rPr>
        <w:t>图</w:t>
      </w:r>
      <w:r>
        <w:rPr>
          <w:rFonts w:hint="eastAsia"/>
          <w:u w:val="none"/>
          <w:lang w:val="en-US" w:eastAsia="zh-CN"/>
        </w:rPr>
        <w:t>8.3</w:t>
      </w:r>
      <w:r>
        <w:rPr>
          <w:u w:val="none"/>
          <w:lang w:val="zh-CN"/>
        </w:rPr>
        <w:t>-1 入河排污口</w:t>
      </w:r>
      <w:r>
        <w:rPr>
          <w:rFonts w:hint="eastAsia"/>
          <w:u w:val="none"/>
          <w:lang w:val="zh-CN"/>
        </w:rPr>
        <w:t>标识</w:t>
      </w:r>
    </w:p>
    <w:p>
      <w:pPr>
        <w:pStyle w:val="76"/>
        <w:bidi w:val="0"/>
        <w:rPr>
          <w:rFonts w:hint="eastAsia"/>
          <w:lang w:val="en-US" w:eastAsia="zh-CN"/>
        </w:rPr>
      </w:pPr>
      <w:bookmarkStart w:id="319" w:name="_Toc21664"/>
      <w:r>
        <w:rPr>
          <w:rFonts w:hint="eastAsia"/>
          <w:lang w:val="en-US" w:eastAsia="zh-CN"/>
        </w:rPr>
        <w:t>8.4</w:t>
      </w:r>
      <w:r>
        <w:rPr>
          <w:rFonts w:hint="eastAsia"/>
        </w:rPr>
        <w:t>入河排污口设置可行性分析</w:t>
      </w:r>
      <w:bookmarkEnd w:id="319"/>
    </w:p>
    <w:p>
      <w:pPr>
        <w:pStyle w:val="6"/>
        <w:bidi w:val="0"/>
        <w:jc w:val="both"/>
        <w:rPr>
          <w:rFonts w:hint="eastAsia"/>
          <w:lang w:val="en-US" w:eastAsia="zh-CN"/>
        </w:rPr>
      </w:pPr>
      <w:r>
        <w:rPr>
          <w:rFonts w:hint="eastAsia"/>
          <w:lang w:val="en-US" w:eastAsia="zh-CN"/>
        </w:rPr>
        <w:t>8.4.1水功能区（水域）对入河排污口设置基本要求</w:t>
      </w:r>
    </w:p>
    <w:p>
      <w:pPr>
        <w:pStyle w:val="69"/>
        <w:bidi w:val="0"/>
        <w:rPr>
          <w:rFonts w:hint="eastAsia"/>
          <w:lang w:val="en-US" w:eastAsia="zh-CN"/>
        </w:rPr>
      </w:pPr>
      <w:r>
        <w:rPr>
          <w:rFonts w:hint="eastAsia"/>
          <w:lang w:val="en-US" w:eastAsia="zh-CN"/>
        </w:rPr>
        <w:t>8.4.1.1《入河排污口监督管理办法》（2015 年修正本）基本要求</w:t>
      </w:r>
    </w:p>
    <w:p>
      <w:pPr>
        <w:rPr>
          <w:rFonts w:hint="eastAsia"/>
          <w:lang w:val="en-US" w:eastAsia="zh-CN"/>
        </w:rPr>
      </w:pPr>
      <w:r>
        <w:rPr>
          <w:rFonts w:hint="eastAsia"/>
          <w:lang w:val="en-US" w:eastAsia="zh-CN"/>
        </w:rPr>
        <w:t>根据《入河排污口监督管理办法》（2015 年修正本）第十四条规定，有下列情形之一的，不予同意设置入河排污口：</w:t>
      </w:r>
    </w:p>
    <w:p>
      <w:pPr>
        <w:rPr>
          <w:rFonts w:hint="eastAsia"/>
          <w:lang w:val="en-US" w:eastAsia="zh-CN"/>
        </w:rPr>
      </w:pPr>
      <w:r>
        <w:rPr>
          <w:rFonts w:hint="eastAsia"/>
          <w:lang w:val="en-US" w:eastAsia="zh-CN"/>
        </w:rPr>
        <w:t>1）在饮用水水源保护区内设置入河排污口的；</w:t>
      </w:r>
    </w:p>
    <w:p>
      <w:pPr>
        <w:rPr>
          <w:rFonts w:hint="eastAsia"/>
          <w:lang w:val="en-US" w:eastAsia="zh-CN"/>
        </w:rPr>
      </w:pPr>
      <w:r>
        <w:rPr>
          <w:rFonts w:hint="eastAsia"/>
          <w:lang w:val="en-US" w:eastAsia="zh-CN"/>
        </w:rPr>
        <w:t>2）在省级以上人民政府要求削减排污总量的水域设置入河排污口的；</w:t>
      </w:r>
    </w:p>
    <w:p>
      <w:pPr>
        <w:rPr>
          <w:rFonts w:hint="eastAsia"/>
          <w:lang w:val="en-US" w:eastAsia="zh-CN"/>
        </w:rPr>
      </w:pPr>
      <w:r>
        <w:rPr>
          <w:rFonts w:hint="eastAsia"/>
          <w:lang w:val="en-US" w:eastAsia="zh-CN"/>
        </w:rPr>
        <w:t>3）入河排污口设置可能使水域水质达不到水功能区要求的；</w:t>
      </w:r>
    </w:p>
    <w:p>
      <w:pPr>
        <w:rPr>
          <w:rFonts w:hint="eastAsia"/>
          <w:lang w:val="en-US" w:eastAsia="zh-CN"/>
        </w:rPr>
      </w:pPr>
      <w:r>
        <w:rPr>
          <w:rFonts w:hint="eastAsia"/>
          <w:lang w:val="en-US" w:eastAsia="zh-CN"/>
        </w:rPr>
        <w:t>4）入河排污口设置直接影响合法取水户用水安全的；</w:t>
      </w:r>
    </w:p>
    <w:p>
      <w:pPr>
        <w:rPr>
          <w:rFonts w:hint="eastAsia"/>
          <w:lang w:val="en-US" w:eastAsia="zh-CN"/>
        </w:rPr>
      </w:pPr>
      <w:r>
        <w:rPr>
          <w:rFonts w:hint="eastAsia"/>
          <w:lang w:val="en-US" w:eastAsia="zh-CN"/>
        </w:rPr>
        <w:t>5）入河排污口设置不符合防洪要求的；</w:t>
      </w:r>
    </w:p>
    <w:p>
      <w:pPr>
        <w:rPr>
          <w:rFonts w:hint="eastAsia"/>
          <w:lang w:val="en-US" w:eastAsia="zh-CN"/>
        </w:rPr>
      </w:pPr>
      <w:r>
        <w:rPr>
          <w:rFonts w:hint="eastAsia"/>
          <w:lang w:val="en-US" w:eastAsia="zh-CN"/>
        </w:rPr>
        <w:t>6）不符合法律、法规和国家产业政策规定的；</w:t>
      </w:r>
    </w:p>
    <w:p>
      <w:pPr>
        <w:rPr>
          <w:rFonts w:hint="eastAsia"/>
          <w:lang w:val="en-US" w:eastAsia="zh-CN"/>
        </w:rPr>
      </w:pPr>
      <w:r>
        <w:rPr>
          <w:rFonts w:hint="eastAsia"/>
          <w:lang w:val="en-US" w:eastAsia="zh-CN"/>
        </w:rPr>
        <w:t>7）其他不符合国务院水行政主管部门规定条件的。</w:t>
      </w:r>
    </w:p>
    <w:p>
      <w:pPr>
        <w:pStyle w:val="69"/>
        <w:bidi w:val="0"/>
        <w:rPr>
          <w:rFonts w:hint="eastAsia"/>
          <w:lang w:val="en-US" w:eastAsia="zh-CN"/>
        </w:rPr>
      </w:pPr>
      <w:r>
        <w:rPr>
          <w:rFonts w:hint="eastAsia"/>
          <w:lang w:val="en-US" w:eastAsia="zh-CN"/>
        </w:rPr>
        <w:t>8.4.1.2《湖南省入河排污口监督管理办法》（湘政办﹝2018﹞44 号）基本要求</w:t>
      </w:r>
    </w:p>
    <w:p>
      <w:pPr>
        <w:rPr>
          <w:rFonts w:hint="eastAsia"/>
          <w:lang w:val="en-US" w:eastAsia="zh-CN"/>
        </w:rPr>
      </w:pPr>
      <w:r>
        <w:rPr>
          <w:rFonts w:hint="eastAsia"/>
          <w:lang w:val="en-US" w:eastAsia="zh-CN"/>
        </w:rPr>
        <w:t>根据《湖南省入河排污口监督管理办法》（湘政办﹝2018﹞44 号）第十五条规定，</w:t>
      </w:r>
    </w:p>
    <w:p>
      <w:pPr>
        <w:rPr>
          <w:rFonts w:hint="eastAsia"/>
          <w:lang w:val="en-US" w:eastAsia="zh-CN"/>
        </w:rPr>
      </w:pPr>
      <w:r>
        <w:rPr>
          <w:rFonts w:hint="eastAsia"/>
          <w:lang w:val="en-US" w:eastAsia="zh-CN"/>
        </w:rPr>
        <w:t>有下列情形之一的，不予同意设置入河排污口：</w:t>
      </w:r>
    </w:p>
    <w:p>
      <w:pPr>
        <w:rPr>
          <w:rFonts w:hint="eastAsia"/>
          <w:lang w:val="en-US" w:eastAsia="zh-CN"/>
        </w:rPr>
      </w:pPr>
      <w:r>
        <w:rPr>
          <w:rFonts w:hint="eastAsia"/>
          <w:lang w:val="en-US" w:eastAsia="zh-CN"/>
        </w:rPr>
        <w:t>1）饮用水水源一级、二级保护区内；</w:t>
      </w:r>
    </w:p>
    <w:p>
      <w:pPr>
        <w:rPr>
          <w:rFonts w:hint="eastAsia"/>
          <w:lang w:val="en-US" w:eastAsia="zh-CN"/>
        </w:rPr>
      </w:pPr>
      <w:r>
        <w:rPr>
          <w:rFonts w:hint="eastAsia"/>
          <w:lang w:val="en-US" w:eastAsia="zh-CN"/>
        </w:rPr>
        <w:t>2）自然保护区核心区、缓冲区内；</w:t>
      </w:r>
    </w:p>
    <w:p>
      <w:pPr>
        <w:rPr>
          <w:rFonts w:hint="eastAsia"/>
          <w:lang w:val="en-US" w:eastAsia="zh-CN"/>
        </w:rPr>
      </w:pPr>
      <w:r>
        <w:rPr>
          <w:rFonts w:hint="eastAsia"/>
          <w:lang w:val="en-US" w:eastAsia="zh-CN"/>
        </w:rPr>
        <w:t>3）水产种质资源保护区内；</w:t>
      </w:r>
    </w:p>
    <w:p>
      <w:pPr>
        <w:rPr>
          <w:rFonts w:hint="eastAsia"/>
          <w:lang w:val="en-US" w:eastAsia="zh-CN"/>
        </w:rPr>
      </w:pPr>
      <w:r>
        <w:rPr>
          <w:rFonts w:hint="eastAsia"/>
          <w:lang w:val="en-US" w:eastAsia="zh-CN"/>
        </w:rPr>
        <w:t>4）省级以上湿地公园保育区、恢复重建区内；</w:t>
      </w:r>
    </w:p>
    <w:p>
      <w:pPr>
        <w:rPr>
          <w:rFonts w:hint="eastAsia"/>
          <w:lang w:val="en-US" w:eastAsia="zh-CN"/>
        </w:rPr>
      </w:pPr>
      <w:r>
        <w:rPr>
          <w:rFonts w:hint="eastAsia"/>
          <w:lang w:val="en-US" w:eastAsia="zh-CN"/>
        </w:rPr>
        <w:t>5）能够由污水系统接纳但拒不接入的；</w:t>
      </w:r>
    </w:p>
    <w:p>
      <w:pPr>
        <w:rPr>
          <w:rFonts w:hint="eastAsia"/>
          <w:lang w:val="en-US" w:eastAsia="zh-CN"/>
        </w:rPr>
      </w:pPr>
      <w:r>
        <w:rPr>
          <w:rFonts w:hint="eastAsia"/>
          <w:lang w:val="en-US" w:eastAsia="zh-CN"/>
        </w:rPr>
        <w:t>6）经论证不符合设置要求的；</w:t>
      </w:r>
    </w:p>
    <w:p>
      <w:pPr>
        <w:rPr>
          <w:rFonts w:hint="eastAsia"/>
          <w:lang w:val="en-US" w:eastAsia="zh-CN"/>
        </w:rPr>
      </w:pPr>
      <w:r>
        <w:rPr>
          <w:rFonts w:hint="eastAsia"/>
          <w:lang w:val="en-US" w:eastAsia="zh-CN"/>
        </w:rPr>
        <w:t>7）设置可能使水域水质达不到水功能区要求的；</w:t>
      </w:r>
    </w:p>
    <w:p>
      <w:pPr>
        <w:rPr>
          <w:rFonts w:hint="eastAsia"/>
          <w:lang w:val="en-US" w:eastAsia="zh-CN"/>
        </w:rPr>
      </w:pPr>
      <w:r>
        <w:rPr>
          <w:rFonts w:hint="eastAsia"/>
          <w:lang w:val="en-US" w:eastAsia="zh-CN"/>
        </w:rPr>
        <w:t>8）其他不符合法律法规及国家和地方有关规定的。</w:t>
      </w:r>
    </w:p>
    <w:p>
      <w:pPr>
        <w:pStyle w:val="6"/>
        <w:bidi w:val="0"/>
        <w:jc w:val="both"/>
        <w:rPr>
          <w:rFonts w:hint="eastAsia"/>
          <w:lang w:val="en-US" w:eastAsia="zh-CN"/>
        </w:rPr>
      </w:pPr>
      <w:r>
        <w:rPr>
          <w:rFonts w:hint="eastAsia"/>
          <w:lang w:val="en-US" w:eastAsia="zh-CN"/>
        </w:rPr>
        <w:t>8.4.2入河排污口设置可行性分析</w:t>
      </w:r>
    </w:p>
    <w:p>
      <w:pPr>
        <w:pStyle w:val="69"/>
        <w:bidi w:val="0"/>
        <w:rPr>
          <w:rFonts w:hint="eastAsia"/>
          <w:lang w:val="en-US" w:eastAsia="zh-CN"/>
        </w:rPr>
      </w:pPr>
      <w:r>
        <w:rPr>
          <w:rFonts w:hint="eastAsia"/>
          <w:lang w:val="en-US" w:eastAsia="zh-CN"/>
        </w:rPr>
        <w:t>8.4.2.1与入河排污口设置基本要求的符合性分析</w:t>
      </w:r>
    </w:p>
    <w:p>
      <w:pPr>
        <w:jc w:val="both"/>
        <w:rPr>
          <w:rFonts w:hint="eastAsia"/>
          <w:u w:val="single"/>
          <w:lang w:val="en-US" w:eastAsia="zh-CN"/>
        </w:rPr>
      </w:pPr>
      <w:r>
        <w:rPr>
          <w:rFonts w:hint="eastAsia"/>
          <w:u w:val="single"/>
          <w:lang w:val="en-US" w:eastAsia="zh-CN"/>
        </w:rPr>
        <w:t>（1）与《入河排污口监督管理办法》基本要求符合性分析</w:t>
      </w:r>
    </w:p>
    <w:p>
      <w:pPr>
        <w:jc w:val="both"/>
        <w:rPr>
          <w:rFonts w:hint="eastAsia"/>
          <w:u w:val="single"/>
          <w:lang w:val="en-US" w:eastAsia="zh-CN"/>
        </w:rPr>
      </w:pPr>
      <w:r>
        <w:rPr>
          <w:rFonts w:hint="eastAsia"/>
          <w:u w:val="single"/>
          <w:lang w:val="en-US" w:eastAsia="zh-CN"/>
        </w:rPr>
        <w:t>①本项目排污口地理坐标为E</w:t>
      </w:r>
      <w:r>
        <w:rPr>
          <w:rFonts w:hint="eastAsia"/>
          <w:u w:val="single"/>
          <w:lang w:eastAsia="zh-CN"/>
        </w:rPr>
        <w:t>109°50′35.30277″,</w:t>
      </w:r>
      <w:r>
        <w:rPr>
          <w:rFonts w:hint="eastAsia"/>
          <w:u w:val="single"/>
          <w:lang w:val="en-US" w:eastAsia="zh-CN"/>
        </w:rPr>
        <w:t>N</w:t>
      </w:r>
      <w:r>
        <w:rPr>
          <w:rFonts w:hint="eastAsia"/>
          <w:u w:val="single"/>
          <w:lang w:eastAsia="zh-CN"/>
        </w:rPr>
        <w:t>28°58′3.53112″</w:t>
      </w:r>
      <w:r>
        <w:rPr>
          <w:rFonts w:hint="eastAsia"/>
          <w:u w:val="single"/>
          <w:lang w:val="en-US" w:eastAsia="zh-CN"/>
        </w:rPr>
        <w:t>。受纳水体为猛洞河，该河段不属于饮用水水源保护区。</w:t>
      </w:r>
    </w:p>
    <w:p>
      <w:pPr>
        <w:jc w:val="both"/>
        <w:rPr>
          <w:rFonts w:hint="eastAsia"/>
          <w:u w:val="single"/>
          <w:lang w:val="en-US" w:eastAsia="zh-CN"/>
        </w:rPr>
      </w:pPr>
      <w:r>
        <w:rPr>
          <w:rFonts w:hint="eastAsia"/>
          <w:u w:val="single"/>
          <w:lang w:val="en-US" w:eastAsia="zh-CN"/>
        </w:rPr>
        <w:t>②根据现状补充监测结果论证范围内现状水质达到功能区水质要求。</w:t>
      </w:r>
    </w:p>
    <w:p>
      <w:pPr>
        <w:jc w:val="both"/>
        <w:rPr>
          <w:rFonts w:hint="eastAsia"/>
          <w:u w:val="single"/>
          <w:lang w:val="en-US" w:eastAsia="zh-CN"/>
        </w:rPr>
      </w:pPr>
      <w:r>
        <w:rPr>
          <w:rFonts w:hint="eastAsia"/>
          <w:u w:val="single"/>
          <w:lang w:val="en-US" w:eastAsia="zh-CN"/>
        </w:rPr>
        <w:t>③论证范围内无其他集中式城镇生活取水口，不会影响合法取水户的用水安全。</w:t>
      </w:r>
    </w:p>
    <w:p>
      <w:pPr>
        <w:jc w:val="both"/>
        <w:rPr>
          <w:rFonts w:hint="eastAsia"/>
          <w:u w:val="single"/>
          <w:lang w:val="en-US" w:eastAsia="zh-CN"/>
        </w:rPr>
      </w:pPr>
      <w:r>
        <w:rPr>
          <w:rFonts w:hint="eastAsia"/>
          <w:u w:val="single"/>
          <w:lang w:val="en-US" w:eastAsia="zh-CN"/>
        </w:rPr>
        <w:t>④本项目拟设排污口为岸边排放，基本不会对河道防洪产生影响，不存在不符合防洪要求。</w:t>
      </w:r>
    </w:p>
    <w:p>
      <w:pPr>
        <w:jc w:val="both"/>
        <w:rPr>
          <w:rFonts w:hint="eastAsia"/>
          <w:u w:val="single"/>
          <w:lang w:val="en-US" w:eastAsia="zh-CN"/>
        </w:rPr>
      </w:pPr>
      <w:r>
        <w:rPr>
          <w:rFonts w:hint="eastAsia"/>
          <w:u w:val="single"/>
          <w:lang w:val="en-US" w:eastAsia="zh-CN"/>
        </w:rPr>
        <w:t>（2）与《湖南省入河排污口监督管理办法》符合性分析</w:t>
      </w:r>
    </w:p>
    <w:p>
      <w:pPr>
        <w:jc w:val="both"/>
        <w:rPr>
          <w:rFonts w:hint="eastAsia"/>
          <w:u w:val="single"/>
          <w:lang w:val="en-US" w:eastAsia="zh-CN"/>
        </w:rPr>
      </w:pPr>
      <w:r>
        <w:rPr>
          <w:rFonts w:hint="eastAsia"/>
          <w:u w:val="single"/>
          <w:lang w:val="en-US" w:eastAsia="zh-CN"/>
        </w:rPr>
        <w:t>①排污口不属于自然保护区核心区、缓冲区内，符合设置要求。</w:t>
      </w:r>
    </w:p>
    <w:p>
      <w:pPr>
        <w:jc w:val="both"/>
        <w:rPr>
          <w:rFonts w:hint="eastAsia"/>
          <w:u w:val="single"/>
          <w:lang w:val="en-US" w:eastAsia="zh-CN"/>
        </w:rPr>
      </w:pPr>
      <w:r>
        <w:rPr>
          <w:rFonts w:hint="eastAsia"/>
          <w:u w:val="single"/>
          <w:lang w:val="en-US" w:eastAsia="zh-CN"/>
        </w:rPr>
        <w:t>②本项目排污口属新建排污口，不涉及水产种质资源保护区。</w:t>
      </w:r>
    </w:p>
    <w:p>
      <w:pPr>
        <w:jc w:val="both"/>
        <w:rPr>
          <w:rFonts w:hint="eastAsia"/>
          <w:u w:val="single"/>
          <w:lang w:val="en-US" w:eastAsia="zh-CN"/>
        </w:rPr>
      </w:pPr>
      <w:r>
        <w:rPr>
          <w:rFonts w:hint="eastAsia"/>
          <w:u w:val="single"/>
          <w:lang w:val="en-US" w:eastAsia="zh-CN"/>
        </w:rPr>
        <w:t>③本项目排污口不属于省级以上湿地公园保育区、恢复重建区内。</w:t>
      </w:r>
    </w:p>
    <w:p>
      <w:pPr>
        <w:rPr>
          <w:rFonts w:hint="eastAsia"/>
          <w:u w:val="single"/>
          <w:lang w:val="en-US" w:eastAsia="zh-CN"/>
        </w:rPr>
      </w:pPr>
      <w:r>
        <w:rPr>
          <w:rFonts w:hint="eastAsia"/>
          <w:u w:val="single"/>
          <w:lang w:val="en-US" w:eastAsia="zh-CN"/>
        </w:rPr>
        <w:t>④根据预测，项目排污会对纳污水体造成一定影响，但不会使水域水质达不到水功能区要求。</w:t>
      </w:r>
    </w:p>
    <w:p>
      <w:pPr>
        <w:rPr>
          <w:rFonts w:hint="eastAsia"/>
          <w:u w:val="single"/>
          <w:lang w:val="en-US" w:eastAsia="zh-CN"/>
        </w:rPr>
      </w:pPr>
      <w:r>
        <w:rPr>
          <w:rFonts w:hint="eastAsia"/>
          <w:u w:val="single"/>
          <w:lang w:val="en-US" w:eastAsia="zh-CN"/>
        </w:rPr>
        <w:t>⑤本项目排污口不存在其他不符合法律法规及国家和地方有关规定的。</w:t>
      </w:r>
    </w:p>
    <w:p>
      <w:pPr>
        <w:rPr>
          <w:rFonts w:hint="eastAsia"/>
          <w:u w:val="single"/>
          <w:lang w:val="en-US" w:eastAsia="zh-CN"/>
        </w:rPr>
      </w:pPr>
      <w:r>
        <w:rPr>
          <w:rFonts w:hint="eastAsia"/>
          <w:u w:val="single"/>
          <w:lang w:val="en-US" w:eastAsia="zh-CN"/>
        </w:rPr>
        <w:t>综上所述，入河排污口设置无《入河排污口监督管理办法》（2015 年修正本）和《湖南省入河排污口监督管理办法》（湘政办﹝2018﹞44 号）提出的不予同意设置入河排污口的情形。</w:t>
      </w:r>
    </w:p>
    <w:p>
      <w:pPr>
        <w:pStyle w:val="69"/>
        <w:bidi w:val="0"/>
        <w:rPr>
          <w:rFonts w:hint="eastAsia"/>
          <w:lang w:val="en-US" w:eastAsia="zh-CN"/>
        </w:rPr>
      </w:pPr>
      <w:r>
        <w:rPr>
          <w:rFonts w:hint="eastAsia"/>
          <w:lang w:val="en-US" w:eastAsia="zh-CN"/>
        </w:rPr>
        <w:t>8.4.2.2与国家法律相符性分析</w:t>
      </w:r>
    </w:p>
    <w:p>
      <w:pPr>
        <w:rPr>
          <w:rFonts w:hint="eastAsia"/>
          <w:lang w:val="en-US" w:eastAsia="zh-CN"/>
        </w:rPr>
      </w:pPr>
      <w:r>
        <w:rPr>
          <w:rFonts w:hint="eastAsia"/>
          <w:lang w:val="en-US" w:eastAsia="zh-CN"/>
        </w:rPr>
        <w:t>（1）与《渔业法》相符性分析</w:t>
      </w:r>
    </w:p>
    <w:p>
      <w:pPr>
        <w:rPr>
          <w:rFonts w:hint="eastAsia"/>
          <w:lang w:val="en-US" w:eastAsia="zh-CN"/>
        </w:rPr>
      </w:pPr>
      <w:r>
        <w:rPr>
          <w:rFonts w:hint="eastAsia"/>
          <w:lang w:val="en-US" w:eastAsia="zh-CN"/>
        </w:rPr>
        <w:t>《中华人民共和国渔业法》于 1986 年颁布之后，于2013年进行了第四次修订。</w:t>
      </w:r>
    </w:p>
    <w:p>
      <w:pPr>
        <w:rPr>
          <w:rFonts w:hint="eastAsia"/>
          <w:lang w:val="en-US" w:eastAsia="zh-CN"/>
        </w:rPr>
      </w:pPr>
      <w:r>
        <w:rPr>
          <w:rFonts w:hint="eastAsia"/>
          <w:lang w:val="en-US" w:eastAsia="zh-CN"/>
        </w:rPr>
        <w:t>根据相关规定，对建设项目的限制性规定为“第三十五条：进行水下爆破、勘探、施工作业，对渔业资源有严重影响的，作业单位应当事先同有关县级以上人民政府渔业行政主管部门协商，采取措施，防止或者减少对渔业资源的损害；造成渔业资源损失的，由有关县级以上人民政府责令赔偿”。</w:t>
      </w:r>
    </w:p>
    <w:p>
      <w:pPr>
        <w:rPr>
          <w:rFonts w:hint="eastAsia"/>
          <w:lang w:val="en-US" w:eastAsia="zh-CN"/>
        </w:rPr>
      </w:pPr>
      <w:r>
        <w:rPr>
          <w:rFonts w:hint="eastAsia"/>
          <w:lang w:val="en-US" w:eastAsia="zh-CN"/>
        </w:rPr>
        <w:t>（2）与《中华人民共和国水法》相符性分析</w:t>
      </w:r>
    </w:p>
    <w:p>
      <w:pPr>
        <w:rPr>
          <w:rFonts w:hint="eastAsia"/>
          <w:lang w:val="en-US" w:eastAsia="zh-CN"/>
        </w:rPr>
      </w:pPr>
      <w:r>
        <w:rPr>
          <w:rFonts w:hint="eastAsia"/>
          <w:lang w:val="en-US" w:eastAsia="zh-CN"/>
        </w:rPr>
        <w:t>本项目排水区不属于饮用水源保护区，不影响河道防洪，排污口设置不在《中华人民共和国水法》条文中禁止之列。因此，项目入河排污口设置满足《中华人民共和国水法》规定要求。</w:t>
      </w:r>
    </w:p>
    <w:p>
      <w:pPr>
        <w:rPr>
          <w:rFonts w:hint="eastAsia"/>
          <w:lang w:val="en-US" w:eastAsia="zh-CN"/>
        </w:rPr>
      </w:pPr>
      <w:r>
        <w:rPr>
          <w:rFonts w:hint="eastAsia"/>
          <w:lang w:val="en-US" w:eastAsia="zh-CN"/>
        </w:rPr>
        <w:t>（3）与《水功能区监督管理办法》的符合性分析</w:t>
      </w:r>
    </w:p>
    <w:p>
      <w:pPr>
        <w:rPr>
          <w:rFonts w:hint="eastAsia"/>
          <w:lang w:val="en-US" w:eastAsia="zh-CN"/>
        </w:rPr>
      </w:pPr>
      <w:r>
        <w:rPr>
          <w:rFonts w:hint="eastAsia"/>
          <w:lang w:val="en-US" w:eastAsia="zh-CN"/>
        </w:rPr>
        <w:t>根据《中华人民共和国水法》，在全国范围内对江河、湖泊、水库、运河、渠道等地表水体实行水功能区管理，水功能区划采用两级体系，一级水功能区分四类：保护区、保留区、开发利用区和缓冲区；二级区划在一级功能区划的开发利用区内分为七类：饮用水源区、工业用水区、渔业用水区、景观娱乐用水区、农业用水区、过渡区、排污控制区。</w:t>
      </w:r>
    </w:p>
    <w:p>
      <w:pPr>
        <w:rPr>
          <w:rFonts w:hint="eastAsia"/>
          <w:lang w:val="en-US" w:eastAsia="zh-CN"/>
        </w:rPr>
      </w:pPr>
      <w:r>
        <w:rPr>
          <w:rFonts w:hint="eastAsia"/>
          <w:lang w:val="en-US" w:eastAsia="zh-CN"/>
        </w:rPr>
        <w:t>根据水利部颁布，于2003年7月1日实施的《水功能区管理办法》（水资源[2003]233号文）第九条之规定：水功能区的管理应执行水功能区划确定的保护目标。保护区禁止进行不利于功能保护的活动，同时应遵守现行法律法规的规定。同时根据《湖南省一级水功能区划》和《湘西土家族苗族自治州水功能区划》，纳污水体猛洞河为《湖南省水功能区划》中“景观娱乐用水区”；《湘西土家族苗族自治州水功能区划》一级区划的“猛洞河永顺开发利用区”、二级区划的“猛洞河永顺开发利用区”，因此，入河排污口设置与水功能区划管理要求相适应。（4）与《中华人民共和国环境保护法》相符性分析</w:t>
      </w:r>
    </w:p>
    <w:p>
      <w:pPr>
        <w:jc w:val="both"/>
        <w:rPr>
          <w:rFonts w:hint="eastAsia"/>
          <w:lang w:val="en-US" w:eastAsia="zh-CN"/>
        </w:rPr>
      </w:pPr>
      <w:r>
        <w:rPr>
          <w:rFonts w:hint="eastAsia"/>
          <w:lang w:val="en-US" w:eastAsia="zh-CN"/>
        </w:rPr>
        <w:t>污水处理厂建设是工业集中区水环境保护基础工程，对猛洞河等水域水环境保护有着重要作用，是落实《中华人民共和国环境保护法》“第二十八条 地方各级人民政府应当根据环境保护目标和治理任务，采取有效措施，改善环境质量”的具体体现，因此项目建设符合《中华人民共和国环境保护法》规定要求。</w:t>
      </w:r>
    </w:p>
    <w:p>
      <w:pPr>
        <w:pStyle w:val="69"/>
        <w:bidi w:val="0"/>
        <w:rPr>
          <w:rFonts w:hint="eastAsia"/>
          <w:lang w:val="en-US" w:eastAsia="zh-CN"/>
        </w:rPr>
      </w:pPr>
      <w:r>
        <w:rPr>
          <w:rFonts w:hint="eastAsia"/>
          <w:u w:val="single"/>
          <w:lang w:val="en-US" w:eastAsia="zh-CN"/>
        </w:rPr>
        <w:t>8.4.2.3</w:t>
      </w:r>
      <w:r>
        <w:rPr>
          <w:rFonts w:hint="eastAsia" w:ascii="Times New Roman" w:hAnsi="Times New Roman"/>
          <w:color w:val="000000"/>
          <w:u w:val="single"/>
        </w:rPr>
        <w:t>排污口设置对水生态影响分析</w:t>
      </w:r>
    </w:p>
    <w:p>
      <w:pPr>
        <w:ind w:firstLine="480"/>
        <w:jc w:val="both"/>
        <w:rPr>
          <w:color w:val="auto"/>
          <w:u w:val="single"/>
          <w:lang w:val="zh-CN"/>
        </w:rPr>
      </w:pPr>
      <w:r>
        <w:rPr>
          <w:rFonts w:hint="eastAsia"/>
          <w:u w:val="single"/>
          <w:lang w:val="en-US" w:eastAsia="zh-CN"/>
        </w:rPr>
        <w:t>根据本环评论证，湖南永顺经济开发区猛洞河产业园污水处理厂建设项目的</w:t>
      </w:r>
      <w:r>
        <w:rPr>
          <w:rFonts w:hint="eastAsia"/>
          <w:color w:val="auto"/>
          <w:szCs w:val="21"/>
          <w:u w:val="single"/>
          <w:lang w:eastAsia="zh-CN"/>
        </w:rPr>
        <w:t>污水处理工艺采用“</w:t>
      </w:r>
      <w:r>
        <w:rPr>
          <w:rFonts w:hint="eastAsia"/>
          <w:color w:val="auto"/>
          <w:u w:val="single"/>
          <w:lang w:eastAsia="zh-CN"/>
        </w:rPr>
        <w:t>格栅渠</w:t>
      </w:r>
      <w:r>
        <w:rPr>
          <w:rFonts w:hint="eastAsia"/>
          <w:color w:val="auto"/>
          <w:u w:val="single"/>
        </w:rPr>
        <w:t>→沉砂池→调节池→</w:t>
      </w:r>
      <w:r>
        <w:rPr>
          <w:rFonts w:hint="eastAsia"/>
          <w:color w:val="auto"/>
          <w:u w:val="single"/>
          <w:lang w:val="en-US" w:eastAsia="zh-CN"/>
        </w:rPr>
        <w:t>MBR一体化设备</w:t>
      </w:r>
      <w:r>
        <w:rPr>
          <w:rFonts w:hint="eastAsia"/>
          <w:color w:val="auto"/>
          <w:u w:val="single"/>
        </w:rPr>
        <w:t>→紫外消毒→</w:t>
      </w:r>
      <w:r>
        <w:rPr>
          <w:rFonts w:hint="eastAsia"/>
          <w:color w:val="auto"/>
          <w:u w:val="single"/>
          <w:lang w:eastAsia="zh-CN"/>
        </w:rPr>
        <w:t>清水池”</w:t>
      </w:r>
      <w:r>
        <w:rPr>
          <w:rFonts w:hint="eastAsia"/>
          <w:color w:val="auto"/>
          <w:szCs w:val="21"/>
          <w:u w:val="single"/>
        </w:rPr>
        <w:t>工艺</w:t>
      </w:r>
      <w:r>
        <w:rPr>
          <w:color w:val="auto"/>
          <w:szCs w:val="21"/>
          <w:u w:val="single"/>
        </w:rPr>
        <w:t>。</w:t>
      </w:r>
      <w:r>
        <w:rPr>
          <w:rFonts w:hAnsi="宋体"/>
          <w:color w:val="auto"/>
          <w:u w:val="single"/>
        </w:rPr>
        <w:t>污水经过污水处理厂各处理单元处理</w:t>
      </w:r>
      <w:r>
        <w:rPr>
          <w:rFonts w:hint="eastAsia" w:hAnsi="宋体"/>
          <w:color w:val="auto"/>
          <w:u w:val="single"/>
          <w:lang w:eastAsia="zh-CN"/>
        </w:rPr>
        <w:t>后</w:t>
      </w:r>
      <w:r>
        <w:rPr>
          <w:rFonts w:hAnsi="宋体"/>
          <w:color w:val="auto"/>
          <w:u w:val="single"/>
        </w:rPr>
        <w:t>主要污染物去除效率为</w:t>
      </w:r>
      <w:r>
        <w:rPr>
          <w:rFonts w:hint="eastAsia"/>
          <w:color w:val="auto"/>
          <w:u w:val="single"/>
        </w:rPr>
        <w:t>COD约</w:t>
      </w:r>
      <w:r>
        <w:rPr>
          <w:rFonts w:hint="eastAsia"/>
          <w:color w:val="auto"/>
          <w:szCs w:val="21"/>
          <w:u w:val="single"/>
          <w:lang w:val="en-US" w:eastAsia="zh-CN"/>
        </w:rPr>
        <w:t>90</w:t>
      </w:r>
      <w:r>
        <w:rPr>
          <w:rFonts w:hint="eastAsia"/>
          <w:color w:val="auto"/>
          <w:u w:val="single"/>
        </w:rPr>
        <w:t>%</w:t>
      </w:r>
      <w:r>
        <w:rPr>
          <w:rFonts w:hint="eastAsia"/>
          <w:color w:val="auto"/>
          <w:u w:val="single"/>
          <w:lang w:eastAsia="zh-CN"/>
        </w:rPr>
        <w:t>、</w:t>
      </w:r>
      <w:r>
        <w:rPr>
          <w:rFonts w:hint="eastAsia"/>
          <w:color w:val="auto"/>
          <w:u w:val="single"/>
        </w:rPr>
        <w:t>BOD</w:t>
      </w:r>
      <w:r>
        <w:rPr>
          <w:rFonts w:hint="eastAsia"/>
          <w:color w:val="auto"/>
          <w:u w:val="single"/>
          <w:vertAlign w:val="subscript"/>
        </w:rPr>
        <w:t>5</w:t>
      </w:r>
      <w:r>
        <w:rPr>
          <w:rFonts w:hint="eastAsia"/>
          <w:color w:val="auto"/>
          <w:u w:val="single"/>
        </w:rPr>
        <w:t>约</w:t>
      </w:r>
      <w:r>
        <w:rPr>
          <w:rFonts w:hint="eastAsia"/>
          <w:color w:val="auto"/>
          <w:szCs w:val="21"/>
          <w:u w:val="single"/>
          <w:lang w:val="en-US" w:eastAsia="zh-CN"/>
        </w:rPr>
        <w:t>96.67</w:t>
      </w:r>
      <w:r>
        <w:rPr>
          <w:rFonts w:hint="eastAsia"/>
          <w:color w:val="auto"/>
          <w:u w:val="single"/>
        </w:rPr>
        <w:t>%</w:t>
      </w:r>
      <w:r>
        <w:rPr>
          <w:rFonts w:hint="eastAsia"/>
          <w:color w:val="auto"/>
          <w:u w:val="single"/>
          <w:lang w:eastAsia="zh-CN"/>
        </w:rPr>
        <w:t>、</w:t>
      </w:r>
      <w:r>
        <w:rPr>
          <w:rFonts w:hint="eastAsia"/>
          <w:color w:val="auto"/>
          <w:u w:val="single"/>
        </w:rPr>
        <w:t>SS约</w:t>
      </w:r>
      <w:r>
        <w:rPr>
          <w:rFonts w:hint="eastAsia"/>
          <w:color w:val="auto"/>
          <w:u w:val="single"/>
          <w:lang w:val="en-US" w:eastAsia="zh-CN"/>
        </w:rPr>
        <w:t>97.5</w:t>
      </w:r>
      <w:r>
        <w:rPr>
          <w:rFonts w:hint="eastAsia"/>
          <w:color w:val="auto"/>
          <w:u w:val="single"/>
        </w:rPr>
        <w:t>%</w:t>
      </w:r>
      <w:r>
        <w:rPr>
          <w:rFonts w:hint="eastAsia"/>
          <w:color w:val="auto"/>
          <w:u w:val="single"/>
          <w:lang w:eastAsia="zh-CN"/>
        </w:rPr>
        <w:t>、</w:t>
      </w:r>
      <w:r>
        <w:rPr>
          <w:rFonts w:hint="eastAsia"/>
          <w:color w:val="auto"/>
          <w:u w:val="single"/>
        </w:rPr>
        <w:t>NH</w:t>
      </w:r>
      <w:r>
        <w:rPr>
          <w:rFonts w:hint="eastAsia"/>
          <w:color w:val="auto"/>
          <w:u w:val="single"/>
          <w:vertAlign w:val="subscript"/>
        </w:rPr>
        <w:t>3</w:t>
      </w:r>
      <w:r>
        <w:rPr>
          <w:rFonts w:hint="eastAsia"/>
          <w:color w:val="auto"/>
          <w:u w:val="single"/>
        </w:rPr>
        <w:t>-N约</w:t>
      </w:r>
      <w:r>
        <w:rPr>
          <w:rFonts w:hint="eastAsia"/>
          <w:color w:val="auto"/>
          <w:szCs w:val="21"/>
          <w:u w:val="single"/>
          <w:lang w:val="en-US" w:eastAsia="zh-CN"/>
        </w:rPr>
        <w:t>80</w:t>
      </w:r>
      <w:r>
        <w:rPr>
          <w:rFonts w:hint="eastAsia"/>
          <w:color w:val="auto"/>
          <w:u w:val="single"/>
        </w:rPr>
        <w:t>%</w:t>
      </w:r>
      <w:r>
        <w:rPr>
          <w:rFonts w:hint="eastAsia"/>
          <w:color w:val="auto"/>
          <w:u w:val="single"/>
          <w:lang w:eastAsia="zh-CN"/>
        </w:rPr>
        <w:t>、</w:t>
      </w:r>
      <w:r>
        <w:rPr>
          <w:rFonts w:hint="eastAsia"/>
          <w:color w:val="auto"/>
          <w:u w:val="single"/>
        </w:rPr>
        <w:t>TP约</w:t>
      </w:r>
      <w:r>
        <w:rPr>
          <w:rFonts w:hint="eastAsia"/>
          <w:color w:val="auto"/>
          <w:u w:val="single"/>
          <w:lang w:val="en-US" w:eastAsia="zh-CN"/>
        </w:rPr>
        <w:t>90</w:t>
      </w:r>
      <w:r>
        <w:rPr>
          <w:rFonts w:hint="eastAsia"/>
          <w:color w:val="auto"/>
          <w:u w:val="single"/>
        </w:rPr>
        <w:t>%</w:t>
      </w:r>
      <w:r>
        <w:rPr>
          <w:rFonts w:hint="eastAsia"/>
          <w:color w:val="auto"/>
          <w:u w:val="single"/>
          <w:lang w:eastAsia="zh-CN"/>
        </w:rPr>
        <w:t>、</w:t>
      </w:r>
      <w:r>
        <w:rPr>
          <w:rFonts w:hint="eastAsia"/>
          <w:color w:val="auto"/>
          <w:u w:val="single"/>
          <w:lang w:val="en-US" w:eastAsia="zh-CN"/>
        </w:rPr>
        <w:t>TN约为66.67%、石油类约为95%、动植物油约为99%</w:t>
      </w:r>
      <w:r>
        <w:rPr>
          <w:rFonts w:hAnsi="宋体"/>
          <w:color w:val="auto"/>
          <w:u w:val="single"/>
        </w:rPr>
        <w:t>，污水经污水处理工艺处理后的</w:t>
      </w:r>
      <w:r>
        <w:rPr>
          <w:rFonts w:hAnsi="宋体"/>
          <w:bCs/>
          <w:snapToGrid w:val="0"/>
          <w:color w:val="auto"/>
          <w:u w:val="single"/>
        </w:rPr>
        <w:t>尾水可以达到</w:t>
      </w:r>
      <w:r>
        <w:rPr>
          <w:rFonts w:hAnsi="宋体"/>
          <w:color w:val="auto"/>
          <w:u w:val="single"/>
        </w:rPr>
        <w:t>《城镇污水处理厂污染物排放标准》</w:t>
      </w:r>
      <w:r>
        <w:rPr>
          <w:rFonts w:hint="eastAsia" w:hAnsi="宋体"/>
          <w:color w:val="auto"/>
          <w:u w:val="single"/>
        </w:rPr>
        <w:t>（GB18918-2002）一级</w:t>
      </w:r>
      <w:r>
        <w:rPr>
          <w:rFonts w:hAnsi="宋体"/>
          <w:color w:val="auto"/>
          <w:u w:val="single"/>
        </w:rPr>
        <w:t>A</w:t>
      </w:r>
      <w:r>
        <w:rPr>
          <w:rFonts w:hint="eastAsia" w:hAnsi="宋体"/>
          <w:color w:val="auto"/>
          <w:u w:val="single"/>
        </w:rPr>
        <w:t>排放标准。</w:t>
      </w:r>
      <w:r>
        <w:rPr>
          <w:color w:val="auto"/>
          <w:u w:val="single"/>
          <w:lang w:val="zh-CN"/>
        </w:rPr>
        <w:t>根据</w:t>
      </w:r>
      <w:r>
        <w:rPr>
          <w:rFonts w:hint="eastAsia"/>
          <w:color w:val="auto"/>
          <w:u w:val="single"/>
          <w:lang w:val="zh-CN"/>
        </w:rPr>
        <w:t>永顺经济开发区猛洞河产业园污水处理厂</w:t>
      </w:r>
      <w:r>
        <w:rPr>
          <w:color w:val="auto"/>
          <w:u w:val="single"/>
          <w:lang w:val="zh-CN"/>
        </w:rPr>
        <w:t>进出水设计水质污染物的削减量及排放量见表</w:t>
      </w:r>
      <w:r>
        <w:rPr>
          <w:rFonts w:hint="eastAsia"/>
          <w:color w:val="auto"/>
          <w:u w:val="single"/>
          <w:lang w:val="en-US" w:eastAsia="zh-CN"/>
        </w:rPr>
        <w:t>2.4-13</w:t>
      </w:r>
      <w:r>
        <w:rPr>
          <w:color w:val="auto"/>
          <w:u w:val="single"/>
          <w:lang w:val="zh-CN"/>
        </w:rPr>
        <w:t>。</w:t>
      </w:r>
    </w:p>
    <w:p>
      <w:pPr>
        <w:ind w:firstLine="480"/>
        <w:jc w:val="both"/>
        <w:rPr>
          <w:color w:val="auto"/>
          <w:u w:val="single"/>
          <w:lang w:val="zh-CN"/>
        </w:rPr>
      </w:pPr>
      <w:r>
        <w:rPr>
          <w:color w:val="auto"/>
          <w:u w:val="single"/>
          <w:lang w:val="zh-CN"/>
        </w:rPr>
        <w:t>工程运行之后，COD</w:t>
      </w:r>
      <w:r>
        <w:rPr>
          <w:color w:val="auto"/>
          <w:u w:val="single"/>
          <w:vertAlign w:val="subscript"/>
          <w:lang w:val="zh-CN"/>
        </w:rPr>
        <w:t>Cr</w:t>
      </w:r>
      <w:r>
        <w:rPr>
          <w:color w:val="auto"/>
          <w:u w:val="single"/>
          <w:lang w:val="zh-CN"/>
        </w:rPr>
        <w:t>由原先的</w:t>
      </w:r>
      <w:r>
        <w:rPr>
          <w:rFonts w:hint="eastAsia"/>
          <w:color w:val="auto"/>
          <w:u w:val="single"/>
          <w:lang w:val="en-US" w:eastAsia="zh-CN"/>
        </w:rPr>
        <w:t>182.5t</w:t>
      </w:r>
      <w:r>
        <w:rPr>
          <w:color w:val="auto"/>
          <w:u w:val="single"/>
          <w:lang w:val="zh-CN"/>
        </w:rPr>
        <w:t>/a削减至</w:t>
      </w:r>
      <w:r>
        <w:rPr>
          <w:rFonts w:hint="eastAsia"/>
          <w:color w:val="auto"/>
          <w:u w:val="single"/>
          <w:lang w:val="en-US" w:eastAsia="zh-CN"/>
        </w:rPr>
        <w:t>18.25</w:t>
      </w:r>
      <w:r>
        <w:rPr>
          <w:color w:val="auto"/>
          <w:u w:val="single"/>
          <w:lang w:val="zh-CN"/>
        </w:rPr>
        <w:t>t/a，削减量达到</w:t>
      </w:r>
      <w:r>
        <w:rPr>
          <w:rFonts w:hint="eastAsia"/>
          <w:color w:val="auto"/>
          <w:u w:val="single"/>
          <w:lang w:val="en-US" w:eastAsia="zh-CN"/>
        </w:rPr>
        <w:t>164.25</w:t>
      </w:r>
      <w:r>
        <w:rPr>
          <w:color w:val="auto"/>
          <w:u w:val="single"/>
          <w:lang w:val="zh-CN"/>
        </w:rPr>
        <w:t>t/a，削减率达</w:t>
      </w:r>
      <w:r>
        <w:rPr>
          <w:rFonts w:hint="eastAsia"/>
          <w:color w:val="auto"/>
          <w:u w:val="single"/>
          <w:lang w:val="en-US" w:eastAsia="zh-CN"/>
        </w:rPr>
        <w:t>90</w:t>
      </w:r>
      <w:r>
        <w:rPr>
          <w:color w:val="auto"/>
          <w:u w:val="single"/>
          <w:lang w:val="zh-CN"/>
        </w:rPr>
        <w:t>%</w:t>
      </w:r>
      <w:r>
        <w:rPr>
          <w:rFonts w:hint="eastAsia"/>
          <w:color w:val="auto"/>
          <w:u w:val="single"/>
          <w:lang w:val="zh-CN"/>
        </w:rPr>
        <w:t>；</w:t>
      </w:r>
      <w:r>
        <w:rPr>
          <w:color w:val="auto"/>
          <w:u w:val="single"/>
          <w:lang w:val="zh-CN"/>
        </w:rPr>
        <w:t>NH</w:t>
      </w:r>
      <w:r>
        <w:rPr>
          <w:color w:val="auto"/>
          <w:u w:val="single"/>
          <w:vertAlign w:val="subscript"/>
          <w:lang w:val="zh-CN"/>
        </w:rPr>
        <w:t>3</w:t>
      </w:r>
      <w:r>
        <w:rPr>
          <w:color w:val="auto"/>
          <w:u w:val="single"/>
          <w:lang w:val="zh-CN"/>
        </w:rPr>
        <w:t>-H由原先的</w:t>
      </w:r>
      <w:r>
        <w:rPr>
          <w:rFonts w:hint="eastAsia"/>
          <w:color w:val="auto"/>
          <w:u w:val="single"/>
          <w:lang w:val="en-US" w:eastAsia="zh-CN"/>
        </w:rPr>
        <w:t>9.125</w:t>
      </w:r>
      <w:r>
        <w:rPr>
          <w:color w:val="auto"/>
          <w:u w:val="single"/>
          <w:lang w:val="zh-CN"/>
        </w:rPr>
        <w:t>t/a削减至</w:t>
      </w:r>
      <w:r>
        <w:rPr>
          <w:rFonts w:hint="eastAsia"/>
          <w:color w:val="auto"/>
          <w:u w:val="single"/>
          <w:lang w:val="en-US" w:eastAsia="zh-CN"/>
        </w:rPr>
        <w:t>1.825</w:t>
      </w:r>
      <w:r>
        <w:rPr>
          <w:color w:val="auto"/>
          <w:u w:val="single"/>
          <w:lang w:val="zh-CN"/>
        </w:rPr>
        <w:t>t/a，削减量达到</w:t>
      </w:r>
      <w:r>
        <w:rPr>
          <w:rFonts w:hint="eastAsia"/>
          <w:color w:val="auto"/>
          <w:u w:val="single"/>
          <w:lang w:val="en-US" w:eastAsia="zh-CN"/>
        </w:rPr>
        <w:t>7.3</w:t>
      </w:r>
      <w:r>
        <w:rPr>
          <w:color w:val="auto"/>
          <w:u w:val="single"/>
          <w:lang w:val="zh-CN"/>
        </w:rPr>
        <w:t>t/a，削减率达</w:t>
      </w:r>
      <w:r>
        <w:rPr>
          <w:rFonts w:hint="eastAsia"/>
          <w:color w:val="auto"/>
          <w:u w:val="single"/>
          <w:lang w:val="en-US" w:eastAsia="zh-CN"/>
        </w:rPr>
        <w:t>80</w:t>
      </w:r>
      <w:r>
        <w:rPr>
          <w:color w:val="auto"/>
          <w:u w:val="single"/>
          <w:lang w:val="zh-CN"/>
        </w:rPr>
        <w:t>%</w:t>
      </w:r>
      <w:r>
        <w:rPr>
          <w:rFonts w:hint="eastAsia"/>
          <w:color w:val="auto"/>
          <w:u w:val="single"/>
          <w:lang w:val="zh-CN"/>
        </w:rPr>
        <w:t>；</w:t>
      </w:r>
      <w:r>
        <w:rPr>
          <w:color w:val="auto"/>
          <w:u w:val="single"/>
          <w:lang w:val="zh-CN"/>
        </w:rPr>
        <w:t>TP由原先的</w:t>
      </w:r>
      <w:r>
        <w:rPr>
          <w:rFonts w:hint="eastAsia"/>
          <w:color w:val="auto"/>
          <w:u w:val="single"/>
          <w:lang w:val="en-US" w:eastAsia="zh-CN"/>
        </w:rPr>
        <w:t>1.825</w:t>
      </w:r>
      <w:r>
        <w:rPr>
          <w:color w:val="auto"/>
          <w:u w:val="single"/>
          <w:lang w:val="zh-CN"/>
        </w:rPr>
        <w:t>t/a削减至</w:t>
      </w:r>
      <w:r>
        <w:rPr>
          <w:rFonts w:hint="eastAsia"/>
          <w:color w:val="auto"/>
          <w:u w:val="single"/>
          <w:lang w:val="en-US" w:eastAsia="zh-CN"/>
        </w:rPr>
        <w:t>0.1825</w:t>
      </w:r>
      <w:r>
        <w:rPr>
          <w:color w:val="auto"/>
          <w:u w:val="single"/>
          <w:lang w:val="zh-CN"/>
        </w:rPr>
        <w:t>t/a，削减量达到</w:t>
      </w:r>
      <w:r>
        <w:rPr>
          <w:rFonts w:hint="eastAsia"/>
          <w:color w:val="auto"/>
          <w:u w:val="single"/>
          <w:lang w:val="en-US" w:eastAsia="zh-CN"/>
        </w:rPr>
        <w:t>1.6425</w:t>
      </w:r>
      <w:r>
        <w:rPr>
          <w:color w:val="auto"/>
          <w:u w:val="single"/>
          <w:lang w:val="zh-CN"/>
        </w:rPr>
        <w:t>t/a，削减率达</w:t>
      </w:r>
      <w:r>
        <w:rPr>
          <w:rFonts w:hint="eastAsia"/>
          <w:color w:val="auto"/>
          <w:u w:val="single"/>
          <w:lang w:val="en-US" w:eastAsia="zh-CN"/>
        </w:rPr>
        <w:t>90</w:t>
      </w:r>
      <w:r>
        <w:rPr>
          <w:color w:val="auto"/>
          <w:u w:val="single"/>
          <w:lang w:val="zh-CN"/>
        </w:rPr>
        <w:t>%。</w:t>
      </w:r>
    </w:p>
    <w:p>
      <w:pPr>
        <w:bidi w:val="0"/>
        <w:jc w:val="both"/>
        <w:rPr>
          <w:rFonts w:hint="eastAsia"/>
          <w:lang w:val="en-US" w:eastAsia="zh-CN"/>
        </w:rPr>
      </w:pPr>
      <w:r>
        <w:rPr>
          <w:rFonts w:hint="eastAsia" w:ascii="Times New Roman" w:hAnsi="Times New Roman"/>
          <w:b w:val="0"/>
          <w:bCs w:val="0"/>
          <w:color w:val="000000"/>
          <w:u w:val="single"/>
        </w:rPr>
        <w:t>本项目不新增污染物排放，减少原有项目污染物排放量，属于环境治理项目，项目的建设有利于改善项目周边环境。</w:t>
      </w:r>
      <w:r>
        <w:rPr>
          <w:rFonts w:hint="eastAsia" w:ascii="Times New Roman" w:hAnsi="Times New Roman"/>
          <w:color w:val="000000"/>
          <w:u w:val="single"/>
        </w:rPr>
        <w:t>工程实施后，对河流整体水质将改善，不会对鱼类产卵和</w:t>
      </w:r>
      <w:r>
        <w:rPr>
          <w:rFonts w:hint="eastAsia"/>
          <w:color w:val="000000"/>
          <w:u w:val="single"/>
          <w:lang w:eastAsia="zh-CN"/>
        </w:rPr>
        <w:t>培育</w:t>
      </w:r>
      <w:r>
        <w:rPr>
          <w:rFonts w:hint="eastAsia" w:ascii="Times New Roman" w:hAnsi="Times New Roman"/>
          <w:color w:val="000000"/>
          <w:u w:val="single"/>
        </w:rPr>
        <w:t>产生明显不利影响。</w:t>
      </w:r>
    </w:p>
    <w:p>
      <w:pPr>
        <w:bidi w:val="0"/>
        <w:rPr>
          <w:rFonts w:hint="default" w:ascii="Times New Roman" w:hAnsi="Times New Roman" w:eastAsia="宋体" w:cs="Times New Roman"/>
          <w:b/>
          <w:color w:val="0D0D0D"/>
          <w:kern w:val="0"/>
          <w:sz w:val="24"/>
          <w:szCs w:val="24"/>
          <w:u w:val="single"/>
          <w:lang w:val="en-US" w:eastAsia="zh-CN" w:bidi="zh-CN"/>
        </w:rPr>
      </w:pPr>
      <w:r>
        <w:rPr>
          <w:rFonts w:hint="eastAsia" w:ascii="Times New Roman" w:hAnsi="Times New Roman" w:eastAsia="宋体" w:cs="Times New Roman"/>
          <w:b/>
          <w:color w:val="0D0D0D"/>
          <w:kern w:val="0"/>
          <w:sz w:val="24"/>
          <w:szCs w:val="24"/>
          <w:u w:val="single"/>
          <w:lang w:val="en-US" w:eastAsia="zh-CN" w:bidi="zh-CN"/>
        </w:rPr>
        <w:t>8.4.2.4排污口设置对省国控断面影响分析</w:t>
      </w:r>
    </w:p>
    <w:p>
      <w:pPr>
        <w:bidi w:val="0"/>
        <w:jc w:val="both"/>
        <w:rPr>
          <w:rFonts w:hint="eastAsia"/>
          <w:lang w:val="en-US" w:eastAsia="zh-CN"/>
        </w:rPr>
      </w:pPr>
      <w:r>
        <w:rPr>
          <w:rFonts w:hint="eastAsia"/>
          <w:u w:val="single"/>
          <w:lang w:val="en-US" w:eastAsia="zh-CN"/>
        </w:rPr>
        <w:t>根据了解，本排污口上游约2000米为永顺县污水处理厂下游(省控断面)，坐标为：东经109.83167北纬28.97694，下游约15000m为海螺电站下游300m(国控断面)，根据8.5章节的预测分析，由于排污口排污量较小，枯水期，污水经过处理后排污猛洞河时，尾水正常排放时，污水尾水COD、NH</w:t>
      </w:r>
      <w:r>
        <w:rPr>
          <w:rFonts w:hint="eastAsia"/>
          <w:u w:val="single"/>
          <w:vertAlign w:val="subscript"/>
          <w:lang w:val="en-US" w:eastAsia="zh-CN"/>
        </w:rPr>
        <w:t>3</w:t>
      </w:r>
      <w:r>
        <w:rPr>
          <w:rFonts w:hint="eastAsia"/>
          <w:u w:val="single"/>
          <w:lang w:val="en-US" w:eastAsia="zh-CN"/>
        </w:rPr>
        <w:t>-N、TP能达到《地表水环境质量标准》（GB3838-2002）Ⅲ类标准；非正常排放时，污水尾水与猛洞河混合时，COD、NH</w:t>
      </w:r>
      <w:r>
        <w:rPr>
          <w:rFonts w:hint="eastAsia"/>
          <w:u w:val="single"/>
          <w:vertAlign w:val="subscript"/>
          <w:lang w:val="en-US" w:eastAsia="zh-CN"/>
        </w:rPr>
        <w:t>3</w:t>
      </w:r>
      <w:r>
        <w:rPr>
          <w:rFonts w:hint="eastAsia"/>
          <w:u w:val="single"/>
          <w:lang w:val="en-US" w:eastAsia="zh-CN"/>
        </w:rPr>
        <w:t>-N、TP浓度也能达到《地表水环境质量标准》（GB3838-2002）Ⅲ类标准，因此对省控及国控监测断面影响不大。</w:t>
      </w:r>
    </w:p>
    <w:p>
      <w:pPr>
        <w:pStyle w:val="69"/>
        <w:bidi w:val="0"/>
        <w:rPr>
          <w:rFonts w:hint="eastAsia"/>
          <w:lang w:val="en-US" w:eastAsia="zh-CN"/>
        </w:rPr>
      </w:pPr>
      <w:r>
        <w:rPr>
          <w:rFonts w:hint="eastAsia"/>
          <w:lang w:val="en-US" w:eastAsia="zh-CN"/>
        </w:rPr>
        <w:t>8.4.2.5与第三方无纠纷</w:t>
      </w:r>
    </w:p>
    <w:p>
      <w:pPr>
        <w:bidi w:val="0"/>
        <w:jc w:val="both"/>
        <w:rPr>
          <w:rFonts w:hint="eastAsia"/>
          <w:lang w:val="en-US" w:eastAsia="zh-CN"/>
        </w:rPr>
      </w:pPr>
      <w:r>
        <w:rPr>
          <w:rFonts w:hint="eastAsia"/>
          <w:lang w:val="en-US" w:eastAsia="zh-CN"/>
        </w:rPr>
        <w:t>根据现状调查，污水排放的猛洞河河段无取水口，排污口不涉及到饮用水源保护区，排出的尾水需执行《城镇污水处理厂污染物排放标准》（GB18918-2002）一级A排放标准。不会影响周围水环境质量。</w:t>
      </w:r>
    </w:p>
    <w:p>
      <w:pPr>
        <w:bidi w:val="0"/>
        <w:jc w:val="both"/>
        <w:rPr>
          <w:rFonts w:hint="eastAsia"/>
          <w:lang w:val="en-US" w:eastAsia="zh-CN"/>
        </w:rPr>
      </w:pPr>
      <w:r>
        <w:rPr>
          <w:rFonts w:hint="eastAsia"/>
          <w:lang w:val="en-US" w:eastAsia="zh-CN"/>
        </w:rPr>
        <w:t>因此，本项目入河排污口的设置不影响第三者的合法权益。</w:t>
      </w:r>
    </w:p>
    <w:p>
      <w:pPr>
        <w:pStyle w:val="69"/>
        <w:bidi w:val="0"/>
        <w:rPr>
          <w:rFonts w:hint="eastAsia"/>
          <w:lang w:val="en-US" w:eastAsia="zh-CN"/>
        </w:rPr>
      </w:pPr>
      <w:r>
        <w:rPr>
          <w:rFonts w:hint="eastAsia"/>
          <w:lang w:val="en-US" w:eastAsia="zh-CN"/>
        </w:rPr>
        <w:t>8.4.2.6废水达标可行性分析</w:t>
      </w:r>
    </w:p>
    <w:p>
      <w:pPr>
        <w:bidi w:val="0"/>
        <w:jc w:val="both"/>
        <w:rPr>
          <w:rFonts w:hint="eastAsia"/>
          <w:lang w:val="en-US" w:eastAsia="zh-CN"/>
        </w:rPr>
      </w:pPr>
      <w:r>
        <w:rPr>
          <w:rFonts w:hint="eastAsia"/>
          <w:lang w:val="en-US" w:eastAsia="zh-CN"/>
        </w:rPr>
        <w:t>根据本环评论证，湖南永顺经济开发区猛洞河产业园污水处理厂建设项目的生化处理工艺采用“MBR工艺”，尾水可满足《城镇污水处理厂污染物排放标准》（GB18918-2002）一级A标准。</w:t>
      </w:r>
    </w:p>
    <w:p>
      <w:pPr>
        <w:pStyle w:val="6"/>
        <w:bidi w:val="0"/>
        <w:jc w:val="both"/>
        <w:rPr>
          <w:rFonts w:hint="eastAsia"/>
          <w:lang w:val="en-US" w:eastAsia="zh-CN"/>
        </w:rPr>
      </w:pPr>
      <w:r>
        <w:rPr>
          <w:rFonts w:hint="eastAsia"/>
          <w:lang w:val="en-US" w:eastAsia="zh-CN"/>
        </w:rPr>
        <w:t>8.4.3水域纳污能力及限制排放总量</w:t>
      </w:r>
    </w:p>
    <w:p>
      <w:pPr>
        <w:jc w:val="both"/>
        <w:rPr>
          <w:rFonts w:hint="default"/>
          <w:u w:val="single"/>
          <w:lang w:val="en-US" w:eastAsia="zh-CN"/>
        </w:rPr>
      </w:pPr>
      <w:r>
        <w:rPr>
          <w:rFonts w:hint="eastAsia"/>
          <w:u w:val="single"/>
          <w:lang w:val="en-US" w:eastAsia="zh-CN"/>
        </w:rPr>
        <w:t>根据《湘西自治州水功能区纳污能力核定和限排总量控制方案》中对猛洞河一级区划-猛洞河永顺开发利用区，二级区划-猛洞河永顺景观娱乐用水区水段的核算，目前COD纳污能力为315.36t/a，限制排放总量202.3t/a，氨氮纳污能力为25.23t/a，限制排放总量25.23t/a。</w:t>
      </w:r>
    </w:p>
    <w:p>
      <w:pPr>
        <w:pStyle w:val="6"/>
        <w:bidi w:val="0"/>
        <w:rPr>
          <w:rFonts w:hint="default"/>
          <w:lang w:val="en-US" w:eastAsia="zh-CN"/>
        </w:rPr>
      </w:pPr>
      <w:bookmarkStart w:id="320" w:name="_Toc30179"/>
      <w:r>
        <w:rPr>
          <w:rFonts w:hint="eastAsia"/>
          <w:u w:val="single"/>
          <w:lang w:val="en-US" w:eastAsia="zh-CN"/>
        </w:rPr>
        <w:t>8.4.4</w:t>
      </w:r>
      <w:r>
        <w:rPr>
          <w:rFonts w:ascii="Times New Roman" w:hAnsi="Times New Roman"/>
          <w:color w:val="000000"/>
          <w:u w:val="single"/>
        </w:rPr>
        <w:t>入河排污口设置可行性分析</w:t>
      </w:r>
    </w:p>
    <w:p>
      <w:pPr>
        <w:bidi w:val="0"/>
        <w:rPr>
          <w:rFonts w:hint="eastAsia"/>
          <w:lang w:val="en-US" w:eastAsia="zh-CN"/>
        </w:rPr>
      </w:pPr>
      <w:r>
        <w:rPr>
          <w:rFonts w:hint="eastAsia" w:ascii="Times New Roman" w:hAnsi="Times New Roman"/>
          <w:color w:val="000000"/>
          <w:u w:val="single"/>
          <w:lang w:val="en-US" w:eastAsia="zh-CN"/>
        </w:rPr>
        <w:t>综上，本项目</w:t>
      </w:r>
      <w:r>
        <w:rPr>
          <w:rFonts w:hint="eastAsia" w:ascii="Times New Roman" w:hAnsi="Times New Roman"/>
          <w:color w:val="000000"/>
          <w:u w:val="single"/>
        </w:rPr>
        <w:t>污水处理厂入河排污口设置符合国家法律法规和相关产业政策，符合区域产业结构布局和行业发展规划，入河排污口设置满足总量控制和入河排污口管理要求，能够实现达标排放和总量控制要求，新建入河排污口不涉及饮用水水源保护区；入河排污口设置后，不会明显增加水功能区纳污总量，待本项目实施后，所在水功能区环境改善；本项目排污口设置也不影响邻近其他取水户用水安全，不影响防洪安全，不会对周边水生生态造成重大影响。入河排污口设置无《入河排污口监督管理办法》（2015 年修正本）和《湖南省入河排污口监督管理办法》（湘政办﹝2018﹞44 号）提出的不予同意设置入河排污口的情形，该入河排污口设置可行。</w:t>
      </w:r>
    </w:p>
    <w:p>
      <w:pPr>
        <w:pStyle w:val="76"/>
        <w:bidi w:val="0"/>
        <w:rPr>
          <w:rFonts w:hint="eastAsia"/>
          <w:lang w:val="en-US" w:eastAsia="zh-CN"/>
        </w:rPr>
      </w:pPr>
      <w:r>
        <w:rPr>
          <w:rFonts w:hint="eastAsia"/>
          <w:lang w:val="en-US" w:eastAsia="zh-CN"/>
        </w:rPr>
        <w:t>8.5</w:t>
      </w:r>
      <w:r>
        <w:rPr>
          <w:rFonts w:hint="eastAsia"/>
        </w:rPr>
        <w:t>入河排污口设置合理性分析</w:t>
      </w:r>
      <w:bookmarkEnd w:id="320"/>
    </w:p>
    <w:p>
      <w:pPr>
        <w:pStyle w:val="6"/>
        <w:bidi w:val="0"/>
        <w:jc w:val="both"/>
        <w:rPr>
          <w:rFonts w:hint="eastAsia"/>
          <w:lang w:val="en-US" w:eastAsia="zh-CN"/>
        </w:rPr>
      </w:pPr>
      <w:r>
        <w:rPr>
          <w:rFonts w:hint="eastAsia"/>
          <w:lang w:val="en-US" w:eastAsia="zh-CN"/>
        </w:rPr>
        <w:t>8.5.1入河排污口设置影响范围</w:t>
      </w:r>
    </w:p>
    <w:p>
      <w:pPr>
        <w:bidi w:val="0"/>
        <w:jc w:val="both"/>
        <w:rPr>
          <w:rFonts w:hint="eastAsia"/>
          <w:lang w:val="en-US" w:eastAsia="zh-CN"/>
        </w:rPr>
      </w:pPr>
      <w:r>
        <w:rPr>
          <w:rFonts w:hint="eastAsia"/>
          <w:lang w:val="en-US" w:eastAsia="zh-CN"/>
        </w:rPr>
        <w:t>永顺经济开发区猛洞河产业园污水处理厂尾水经排水管道排入猛洞河，根据现状调查，纳污段主要功能为生活用水，无取水口和饮用水源保护区。排污口不涉及到饮用水源保护区，排出的尾水需执行《城镇污水处理厂污染物排放标准》（GB18918-2002）一级A排放标准。因此本次论证影响范围为项目排污口下游5000米水域。</w:t>
      </w:r>
    </w:p>
    <w:p>
      <w:pPr>
        <w:pStyle w:val="6"/>
        <w:bidi w:val="0"/>
        <w:jc w:val="both"/>
        <w:rPr>
          <w:rFonts w:hint="eastAsia"/>
          <w:lang w:val="en-US" w:eastAsia="zh-CN"/>
        </w:rPr>
      </w:pPr>
      <w:r>
        <w:rPr>
          <w:rFonts w:hint="eastAsia"/>
          <w:lang w:val="en-US" w:eastAsia="zh-CN"/>
        </w:rPr>
        <w:t>8.5.2位置与排放方式分析</w:t>
      </w:r>
    </w:p>
    <w:p>
      <w:pPr>
        <w:bidi w:val="0"/>
        <w:jc w:val="both"/>
        <w:rPr>
          <w:rFonts w:hint="eastAsia"/>
          <w:lang w:val="en-US" w:eastAsia="zh-CN"/>
        </w:rPr>
      </w:pPr>
      <w:r>
        <w:rPr>
          <w:rFonts w:hint="eastAsia"/>
          <w:lang w:val="en-US" w:eastAsia="zh-CN"/>
        </w:rPr>
        <w:t>本工程入河排污口位于厂区东侧猛洞河，排污口地理坐标为E</w:t>
      </w:r>
      <w:r>
        <w:rPr>
          <w:rFonts w:hint="eastAsia"/>
          <w:u w:val="none"/>
          <w:lang w:eastAsia="zh-CN"/>
        </w:rPr>
        <w:t>109°50′35.30277″,</w:t>
      </w:r>
      <w:r>
        <w:rPr>
          <w:rFonts w:hint="eastAsia"/>
          <w:u w:val="none"/>
          <w:lang w:val="en-US" w:eastAsia="zh-CN"/>
        </w:rPr>
        <w:t>N</w:t>
      </w:r>
      <w:r>
        <w:rPr>
          <w:rFonts w:hint="eastAsia"/>
          <w:u w:val="none"/>
          <w:lang w:eastAsia="zh-CN"/>
        </w:rPr>
        <w:t>28°58′3.53112″</w:t>
      </w:r>
      <w:r>
        <w:rPr>
          <w:rFonts w:hint="eastAsia"/>
          <w:lang w:val="en-US" w:eastAsia="zh-CN"/>
        </w:rPr>
        <w:t>。</w:t>
      </w:r>
    </w:p>
    <w:p>
      <w:pPr>
        <w:pStyle w:val="6"/>
        <w:bidi w:val="0"/>
        <w:jc w:val="both"/>
        <w:rPr>
          <w:rFonts w:hint="eastAsia"/>
          <w:lang w:val="en-US" w:eastAsia="zh-CN"/>
        </w:rPr>
      </w:pPr>
      <w:r>
        <w:rPr>
          <w:rFonts w:hint="eastAsia"/>
          <w:lang w:val="en-US" w:eastAsia="zh-CN"/>
        </w:rPr>
        <w:t>8.5.3排放时期分析</w:t>
      </w:r>
    </w:p>
    <w:p>
      <w:pPr>
        <w:pStyle w:val="3"/>
        <w:rPr>
          <w:rFonts w:hint="eastAsia"/>
          <w:lang w:val="en-US" w:eastAsia="zh-CN"/>
        </w:rPr>
      </w:pPr>
      <w:r>
        <w:rPr>
          <w:rFonts w:hint="eastAsia"/>
          <w:lang w:val="en-US" w:eastAsia="zh-CN"/>
        </w:rPr>
        <w:t>本项目污水处理厂排放时期为全天连续排放。</w:t>
      </w:r>
    </w:p>
    <w:p>
      <w:pPr>
        <w:pStyle w:val="6"/>
        <w:bidi w:val="0"/>
        <w:jc w:val="both"/>
        <w:rPr>
          <w:rFonts w:hint="eastAsia"/>
          <w:lang w:val="en-US" w:eastAsia="zh-CN"/>
        </w:rPr>
      </w:pPr>
      <w:r>
        <w:rPr>
          <w:rFonts w:hint="eastAsia"/>
          <w:lang w:val="en-US" w:eastAsia="zh-CN"/>
        </w:rPr>
        <w:t>8.5.4对水功能区水质影响分析</w:t>
      </w:r>
    </w:p>
    <w:p>
      <w:pPr>
        <w:pStyle w:val="69"/>
        <w:bidi w:val="0"/>
        <w:rPr>
          <w:rFonts w:hint="eastAsia"/>
          <w:lang w:val="en-US" w:eastAsia="zh-CN"/>
        </w:rPr>
      </w:pPr>
      <w:r>
        <w:rPr>
          <w:rFonts w:hint="eastAsia"/>
          <w:lang w:val="en-US" w:eastAsia="zh-CN"/>
        </w:rPr>
        <w:t>8.5.4.1预测因子</w:t>
      </w:r>
    </w:p>
    <w:p>
      <w:pPr>
        <w:bidi w:val="0"/>
        <w:rPr>
          <w:rFonts w:hint="eastAsia"/>
          <w:lang w:val="en-US" w:eastAsia="zh-CN"/>
        </w:rPr>
      </w:pPr>
      <w:r>
        <w:rPr>
          <w:rFonts w:hint="eastAsia"/>
          <w:lang w:val="en-US" w:eastAsia="zh-CN"/>
        </w:rPr>
        <w:t>根据项目排污特征，本次评价选取污染因子COD、NH</w:t>
      </w:r>
      <w:r>
        <w:rPr>
          <w:rFonts w:hint="eastAsia"/>
          <w:vertAlign w:val="subscript"/>
          <w:lang w:val="en-US" w:eastAsia="zh-CN"/>
        </w:rPr>
        <w:t>3</w:t>
      </w:r>
      <w:r>
        <w:rPr>
          <w:rFonts w:hint="eastAsia"/>
          <w:lang w:val="en-US" w:eastAsia="zh-CN"/>
        </w:rPr>
        <w:t>-N、TP作为预测因子。</w:t>
      </w:r>
    </w:p>
    <w:p>
      <w:pPr>
        <w:pStyle w:val="69"/>
        <w:bidi w:val="0"/>
        <w:rPr>
          <w:rFonts w:hint="eastAsia"/>
          <w:lang w:val="en-US" w:eastAsia="zh-CN"/>
        </w:rPr>
      </w:pPr>
      <w:r>
        <w:rPr>
          <w:rFonts w:hint="eastAsia"/>
          <w:lang w:val="en-US" w:eastAsia="zh-CN"/>
        </w:rPr>
        <w:t>8.5.4.2混合区模型STREAMIX I</w:t>
      </w:r>
    </w:p>
    <w:p>
      <w:pPr>
        <w:bidi w:val="0"/>
        <w:jc w:val="both"/>
        <w:rPr>
          <w:rFonts w:hint="eastAsia"/>
          <w:lang w:val="en-US" w:eastAsia="zh-CN"/>
        </w:rPr>
      </w:pPr>
      <w:r>
        <w:rPr>
          <w:rFonts w:hint="eastAsia"/>
          <w:lang w:val="en-US" w:eastAsia="zh-CN"/>
        </w:rPr>
        <w:t>本项目排污受纳水体为猛洞河。评价等级为二级，因此采用《入河排污口设置论证报告技术导则》（征求意见稿）中的混合区模型STREAMIX I计算排污口排放对水功能区水质的影响。</w:t>
      </w:r>
    </w:p>
    <w:p>
      <w:pPr>
        <w:ind w:firstLine="560"/>
        <w:rPr>
          <w:u w:val="none"/>
        </w:rPr>
      </w:pPr>
      <w:r>
        <w:rPr>
          <w:rFonts w:hint="eastAsia"/>
          <w:u w:val="none"/>
        </w:rPr>
        <w:t>羽流宽度：</w:t>
      </w:r>
    </w:p>
    <w:p>
      <w:pPr>
        <w:ind w:firstLine="560"/>
        <w:jc w:val="right"/>
        <w:rPr>
          <w:rFonts w:cs="宋体"/>
          <w:kern w:val="0"/>
          <w:szCs w:val="28"/>
          <w:u w:val="none"/>
        </w:rPr>
      </w:pPr>
      <w:r>
        <w:rPr>
          <w:position w:val="-26"/>
          <w:szCs w:val="24"/>
          <w:u w:val="none"/>
        </w:rPr>
        <w:object>
          <v:shape id="_x0000_i1044" o:spt="75" type="#_x0000_t75" style="height:34.85pt;width:140.75pt;" o:ole="t" filled="f" o:preferrelative="t" stroked="f" coordsize="21600,21600">
            <v:path/>
            <v:fill on="f" alignshape="1" focussize="0,0"/>
            <v:stroke on="f"/>
            <v:imagedata r:id="rId80" o:title=""/>
            <o:lock v:ext="edit" aspectratio="t"/>
            <w10:wrap type="none"/>
            <w10:anchorlock/>
          </v:shape>
          <o:OLEObject Type="Embed" ProgID="Equation.3" ShapeID="_x0000_i1044" DrawAspect="Content" ObjectID="_1468075742" r:id="rId79">
            <o:LockedField>false</o:LockedField>
          </o:OLEObject>
        </w:object>
      </w:r>
      <w:r>
        <w:rPr>
          <w:rFonts w:hint="eastAsia" w:cs="宋体"/>
          <w:kern w:val="0"/>
          <w:szCs w:val="28"/>
          <w:u w:val="none"/>
        </w:rPr>
        <w:t xml:space="preserve">              </w:t>
      </w:r>
      <w:r>
        <w:rPr>
          <w:rFonts w:hint="eastAsia"/>
          <w:u w:val="none"/>
        </w:rPr>
        <w:t>（1）</w:t>
      </w:r>
    </w:p>
    <w:p>
      <w:pPr>
        <w:ind w:firstLine="560"/>
        <w:rPr>
          <w:u w:val="none"/>
        </w:rPr>
      </w:pPr>
      <w:r>
        <w:rPr>
          <w:rFonts w:hint="eastAsia"/>
          <w:u w:val="none"/>
        </w:rPr>
        <w:t>混合区平均浓度：</w:t>
      </w:r>
    </w:p>
    <w:p>
      <w:pPr>
        <w:ind w:firstLine="560"/>
        <w:jc w:val="right"/>
        <w:rPr>
          <w:rFonts w:cs="宋体"/>
          <w:kern w:val="0"/>
          <w:szCs w:val="28"/>
          <w:u w:val="none"/>
        </w:rPr>
      </w:pPr>
      <w:r>
        <w:rPr>
          <w:position w:val="-54"/>
          <w:szCs w:val="24"/>
          <w:u w:val="none"/>
        </w:rPr>
        <w:object>
          <v:shape id="_x0000_i1045" o:spt="75" type="#_x0000_t75" style="height:62pt;width:271.15pt;" o:ole="t" filled="f" o:preferrelative="t" stroked="f" coordsize="21600,21600">
            <v:path/>
            <v:fill on="f" alignshape="1" focussize="0,0"/>
            <v:stroke on="f"/>
            <v:imagedata r:id="rId82" o:title=""/>
            <o:lock v:ext="edit" aspectratio="t"/>
            <w10:wrap type="none"/>
            <w10:anchorlock/>
          </v:shape>
          <o:OLEObject Type="Embed" ProgID="Equation.3" ShapeID="_x0000_i1045" DrawAspect="Content" ObjectID="_1468075743" r:id="rId81">
            <o:LockedField>false</o:LockedField>
          </o:OLEObject>
        </w:object>
      </w:r>
      <w:r>
        <w:rPr>
          <w:rFonts w:hint="eastAsia" w:cs="宋体"/>
          <w:kern w:val="0"/>
          <w:szCs w:val="28"/>
          <w:u w:val="none"/>
        </w:rPr>
        <w:t xml:space="preserve">   </w:t>
      </w:r>
      <w:r>
        <w:rPr>
          <w:rFonts w:hint="eastAsia"/>
          <w:u w:val="none"/>
        </w:rPr>
        <w:t>（2）</w:t>
      </w:r>
    </w:p>
    <w:p>
      <w:pPr>
        <w:ind w:firstLine="560"/>
        <w:rPr>
          <w:u w:val="none"/>
        </w:rPr>
      </w:pPr>
      <w:r>
        <w:rPr>
          <w:rFonts w:hint="eastAsia"/>
          <w:u w:val="none"/>
        </w:rPr>
        <w:t>对应于浓度极值</w:t>
      </w:r>
      <w:r>
        <w:rPr>
          <w:u w:val="none"/>
        </w:rPr>
        <w:object>
          <v:shape id="_x0000_i1046" o:spt="75" type="#_x0000_t75" style="height:18.15pt;width:58.25pt;" o:ole="t" filled="f" o:preferrelative="t" stroked="f" coordsize="21600,21600">
            <v:path/>
            <v:fill on="f" focussize="0,0"/>
            <v:stroke on="f"/>
            <v:imagedata r:id="rId84" o:title=""/>
            <o:lock v:ext="edit" aspectratio="t"/>
            <w10:wrap type="none"/>
            <w10:anchorlock/>
          </v:shape>
          <o:OLEObject Type="Embed" ProgID="Equation.3" ShapeID="_x0000_i1046" DrawAspect="Content" ObjectID="_1468075744" r:id="rId83">
            <o:LockedField>false</o:LockedField>
          </o:OLEObject>
        </w:object>
      </w:r>
      <w:r>
        <w:rPr>
          <w:rFonts w:hint="eastAsia"/>
          <w:u w:val="none"/>
        </w:rPr>
        <w:t>的羽流宽度：</w:t>
      </w:r>
    </w:p>
    <w:p>
      <w:pPr>
        <w:ind w:firstLine="560"/>
        <w:jc w:val="right"/>
        <w:rPr>
          <w:u w:val="none"/>
        </w:rPr>
      </w:pPr>
      <w:r>
        <w:rPr>
          <w:position w:val="-26"/>
          <w:szCs w:val="24"/>
          <w:u w:val="none"/>
        </w:rPr>
        <w:object>
          <v:shape id="_x0000_i1047" o:spt="75" type="#_x0000_t75" style="height:35pt;width:134pt;" o:ole="t" filled="f" o:preferrelative="t" stroked="f" coordsize="21600,21600">
            <v:path/>
            <v:fill on="f" alignshape="1" focussize="0,0"/>
            <v:stroke on="f"/>
            <v:imagedata r:id="rId86" o:title=""/>
            <o:lock v:ext="edit" aspectratio="t"/>
            <w10:wrap type="none"/>
            <w10:anchorlock/>
          </v:shape>
          <o:OLEObject Type="Embed" ProgID="Equation.3" ShapeID="_x0000_i1047" DrawAspect="Content" ObjectID="_1468075745" r:id="rId85">
            <o:LockedField>false</o:LockedField>
          </o:OLEObject>
        </w:object>
      </w:r>
      <w:r>
        <w:rPr>
          <w:rFonts w:hint="eastAsia"/>
          <w:u w:val="none"/>
        </w:rPr>
        <w:t xml:space="preserve">                 （3）</w:t>
      </w:r>
    </w:p>
    <w:p>
      <w:pPr>
        <w:ind w:firstLine="560"/>
        <w:rPr>
          <w:u w:val="none"/>
        </w:rPr>
      </w:pPr>
      <w:r>
        <w:rPr>
          <w:rFonts w:hint="eastAsia"/>
          <w:u w:val="none"/>
        </w:rPr>
        <w:t>混合区浓度极值：</w:t>
      </w:r>
    </w:p>
    <w:p>
      <w:pPr>
        <w:ind w:firstLine="560"/>
        <w:jc w:val="right"/>
        <w:rPr>
          <w:u w:val="none"/>
        </w:rPr>
      </w:pPr>
      <w:r>
        <w:rPr>
          <w:position w:val="-56"/>
          <w:szCs w:val="24"/>
          <w:u w:val="none"/>
        </w:rPr>
        <w:object>
          <v:shape id="_x0000_i1048" o:spt="75" type="#_x0000_t75" style="height:65.7pt;width:271.65pt;" o:ole="t" filled="f" o:preferrelative="t" stroked="f" coordsize="21600,21600">
            <v:path/>
            <v:fill on="f" alignshape="1" focussize="0,0"/>
            <v:stroke on="f"/>
            <v:imagedata r:id="rId88" o:title=""/>
            <o:lock v:ext="edit" aspectratio="t"/>
            <w10:wrap type="none"/>
            <w10:anchorlock/>
          </v:shape>
          <o:OLEObject Type="Embed" ProgID="Equation.3" ShapeID="_x0000_i1048" DrawAspect="Content" ObjectID="_1468075746" r:id="rId87">
            <o:LockedField>false</o:LockedField>
          </o:OLEObject>
        </w:object>
      </w:r>
      <w:r>
        <w:rPr>
          <w:rFonts w:hint="eastAsia"/>
          <w:u w:val="none"/>
        </w:rPr>
        <w:t xml:space="preserve">  </w:t>
      </w:r>
      <w:r>
        <w:rPr>
          <w:u w:val="none"/>
        </w:rPr>
        <w:t xml:space="preserve"> </w:t>
      </w:r>
      <w:r>
        <w:rPr>
          <w:rFonts w:hint="eastAsia"/>
          <w:u w:val="none"/>
        </w:rPr>
        <w:t>（4）</w:t>
      </w:r>
    </w:p>
    <w:p>
      <w:pPr>
        <w:ind w:firstLine="560"/>
        <w:rPr>
          <w:u w:val="none"/>
        </w:rPr>
      </w:pPr>
      <w:r>
        <w:rPr>
          <w:rFonts w:hint="eastAsia"/>
          <w:u w:val="none"/>
        </w:rPr>
        <w:t>其中:</w:t>
      </w:r>
    </w:p>
    <w:p>
      <w:pPr>
        <w:ind w:firstLine="560"/>
        <w:jc w:val="right"/>
        <w:rPr>
          <w:u w:val="none"/>
        </w:rPr>
      </w:pPr>
      <w:r>
        <w:rPr>
          <w:position w:val="-14"/>
          <w:szCs w:val="24"/>
          <w:u w:val="none"/>
        </w:rPr>
        <w:object>
          <v:shape id="_x0000_i1049" o:spt="75" type="#_x0000_t75" style="height:20pt;width:53.2pt;" o:ole="t" filled="f" o:preferrelative="t" stroked="f" coordsize="21600,21600">
            <v:path/>
            <v:fill on="f" alignshape="1" focussize="0,0"/>
            <v:stroke on="f"/>
            <v:imagedata r:id="rId90" o:title=""/>
            <o:lock v:ext="edit" aspectratio="t"/>
            <w10:wrap type="none"/>
            <w10:anchorlock/>
          </v:shape>
          <o:OLEObject Type="Embed" ProgID="Equation.3" ShapeID="_x0000_i1049" DrawAspect="Content" ObjectID="_1468075747" r:id="rId89">
            <o:LockedField>false</o:LockedField>
          </o:OLEObject>
        </w:object>
      </w:r>
      <w:r>
        <w:rPr>
          <w:rFonts w:hint="eastAsia"/>
          <w:u w:val="none"/>
        </w:rPr>
        <w:t xml:space="preserve">                         （5）</w:t>
      </w:r>
    </w:p>
    <w:p>
      <w:pPr>
        <w:ind w:firstLine="560"/>
        <w:jc w:val="right"/>
        <w:rPr>
          <w:u w:val="none"/>
        </w:rPr>
      </w:pPr>
      <w:r>
        <w:rPr>
          <w:position w:val="-12"/>
          <w:szCs w:val="24"/>
          <w:u w:val="none"/>
        </w:rPr>
        <w:object>
          <v:shape id="_x0000_i1050" o:spt="75" type="#_x0000_t75" style="height:20pt;width:98.3pt;" o:ole="t" filled="f" o:preferrelative="t" stroked="f" coordsize="21600,21600">
            <v:path/>
            <v:fill on="f" alignshape="1" focussize="0,0"/>
            <v:stroke on="f"/>
            <v:imagedata r:id="rId92" o:title=""/>
            <o:lock v:ext="edit" aspectratio="t"/>
            <w10:wrap type="none"/>
            <w10:anchorlock/>
          </v:shape>
          <o:OLEObject Type="Embed" ProgID="Equation.3" ShapeID="_x0000_i1050" DrawAspect="Content" ObjectID="_1468075748" r:id="rId91">
            <o:LockedField>false</o:LockedField>
          </o:OLEObject>
        </w:object>
      </w:r>
      <w:r>
        <w:rPr>
          <w:rFonts w:hint="eastAsia"/>
          <w:u w:val="none"/>
        </w:rPr>
        <w:t xml:space="preserve">                    （6）</w:t>
      </w:r>
    </w:p>
    <w:p>
      <w:pPr>
        <w:ind w:firstLine="560"/>
        <w:rPr>
          <w:rFonts w:hint="eastAsia"/>
          <w:u w:val="none"/>
        </w:rPr>
      </w:pPr>
      <w:r>
        <w:rPr>
          <w:rFonts w:hint="eastAsia"/>
          <w:u w:val="none"/>
        </w:rPr>
        <w:t xml:space="preserve">式中  </w:t>
      </w:r>
      <w:r>
        <w:rPr>
          <w:u w:val="none"/>
        </w:rPr>
        <w:object>
          <v:shape id="_x0000_i1051" o:spt="75" type="#_x0000_t75" style="height:11.25pt;width:8.75pt;" o:ole="t" filled="f" o:preferrelative="t" stroked="f" coordsize="21600,21600">
            <v:path/>
            <v:fill on="f" focussize="0,0"/>
            <v:stroke on="f"/>
            <v:imagedata r:id="rId94" o:title=""/>
            <o:lock v:ext="edit" aspectratio="t"/>
            <w10:wrap type="none"/>
            <w10:anchorlock/>
          </v:shape>
          <o:OLEObject Type="Embed" ProgID="Equation.3" ShapeID="_x0000_i1051" DrawAspect="Content" ObjectID="_1468075749" r:id="rId93">
            <o:LockedField>false</o:LockedField>
          </o:OLEObject>
        </w:object>
      </w:r>
      <w:r>
        <w:rPr>
          <w:rFonts w:hint="eastAsia"/>
          <w:u w:val="none"/>
        </w:rPr>
        <w:t>—河道不规则因子（无量纲），顺直矩型河道取0.1，渠化河道及灌渠取0.3，弱游荡性自然河道取0.6，剧烈游荡性河道取1.0，弯曲达到90°以上取值大于1；</w:t>
      </w:r>
    </w:p>
    <w:p>
      <w:pPr>
        <w:ind w:firstLine="560"/>
        <w:rPr>
          <w:rFonts w:hint="eastAsia"/>
          <w:u w:val="none"/>
        </w:rPr>
      </w:pPr>
      <w:r>
        <w:rPr>
          <w:u w:val="none"/>
        </w:rPr>
        <w:object>
          <v:shape id="_x0000_i1052" o:spt="75" type="#_x0000_t75" style="height:16.3pt;width:13.75pt;" o:ole="t" filled="f" o:preferrelative="t" stroked="f" coordsize="21600,21600">
            <v:path/>
            <v:fill on="f" focussize="0,0"/>
            <v:stroke on="f"/>
            <v:imagedata r:id="rId96" o:title=""/>
            <o:lock v:ext="edit" aspectratio="t"/>
            <w10:wrap type="none"/>
            <w10:anchorlock/>
          </v:shape>
          <o:OLEObject Type="Embed" ProgID="Equation.3" ShapeID="_x0000_i1052" DrawAspect="Content" ObjectID="_1468075750" r:id="rId95">
            <o:LockedField>false</o:LockedField>
          </o:OLEObject>
        </w:object>
      </w:r>
      <w:r>
        <w:rPr>
          <w:rFonts w:hint="eastAsia"/>
          <w:u w:val="none"/>
        </w:rPr>
        <w:t>—剪切流速（摩擦流速）（m/s）；</w:t>
      </w:r>
      <w:r>
        <w:rPr>
          <w:u w:val="none"/>
        </w:rPr>
        <w:object>
          <v:shape id="_x0000_i1053" o:spt="75" type="#_x0000_t75" style="height:13.15pt;width:10pt;" o:ole="t" filled="f" o:preferrelative="t" stroked="f" coordsize="21600,21600">
            <v:path/>
            <v:fill on="f" focussize="0,0"/>
            <v:stroke on="f"/>
            <v:imagedata r:id="rId98" o:title=""/>
            <o:lock v:ext="edit" aspectratio="t"/>
            <w10:wrap type="none"/>
            <w10:anchorlock/>
          </v:shape>
          <o:OLEObject Type="Embed" ProgID="Equation.3" ShapeID="_x0000_i1053" DrawAspect="Content" ObjectID="_1468075751" r:id="rId97">
            <o:LockedField>false</o:LockedField>
          </o:OLEObject>
        </w:object>
      </w:r>
      <w:r>
        <w:rPr>
          <w:rFonts w:hint="eastAsia"/>
          <w:u w:val="none"/>
        </w:rPr>
        <w:t>—重力加速度（m/s</w:t>
      </w:r>
      <w:r>
        <w:rPr>
          <w:rFonts w:hint="eastAsia"/>
          <w:u w:val="none"/>
          <w:vertAlign w:val="superscript"/>
        </w:rPr>
        <w:t>2</w:t>
      </w:r>
      <w:r>
        <w:rPr>
          <w:rFonts w:hint="eastAsia"/>
          <w:u w:val="none"/>
        </w:rPr>
        <w:t>）；</w:t>
      </w:r>
    </w:p>
    <w:p>
      <w:pPr>
        <w:ind w:firstLine="560"/>
        <w:rPr>
          <w:rFonts w:hint="eastAsia"/>
          <w:u w:val="none"/>
        </w:rPr>
      </w:pPr>
      <w:r>
        <w:rPr>
          <w:u w:val="none"/>
        </w:rPr>
        <w:object>
          <v:shape id="_x0000_i1054" o:spt="75" type="#_x0000_t75" style="height:13.75pt;width:10pt;" o:ole="t" filled="f" o:preferrelative="t" stroked="f" coordsize="21600,21600">
            <v:path/>
            <v:fill on="f" focussize="0,0"/>
            <v:stroke on="f"/>
            <v:imagedata r:id="rId100" o:title=""/>
            <o:lock v:ext="edit" aspectratio="t"/>
            <w10:wrap type="none"/>
            <w10:anchorlock/>
          </v:shape>
          <o:OLEObject Type="Embed" ProgID="Equation.3" ShapeID="_x0000_i1054" DrawAspect="Content" ObjectID="_1468075752" r:id="rId99">
            <o:LockedField>false</o:LockedField>
          </o:OLEObject>
        </w:object>
      </w:r>
      <w:r>
        <w:rPr>
          <w:rFonts w:hint="eastAsia"/>
          <w:u w:val="none"/>
        </w:rPr>
        <w:t>—排污口下游临界枯水流量时的水深（m）；</w:t>
      </w:r>
    </w:p>
    <w:p>
      <w:pPr>
        <w:ind w:firstLine="560"/>
        <w:rPr>
          <w:rFonts w:hint="eastAsia"/>
          <w:u w:val="none"/>
        </w:rPr>
      </w:pPr>
      <w:r>
        <w:rPr>
          <w:u w:val="none"/>
        </w:rPr>
        <w:object>
          <v:shape id="_x0000_i1055" o:spt="75" type="#_x0000_t75" style="height:11.25pt;width:8.15pt;" o:ole="t" filled="f" o:preferrelative="t" stroked="f" coordsize="21600,21600">
            <v:path/>
            <v:fill on="f" focussize="0,0"/>
            <v:stroke on="f"/>
            <v:imagedata r:id="rId102" o:title=""/>
            <o:lock v:ext="edit" aspectratio="t"/>
            <w10:wrap type="none"/>
            <w10:anchorlock/>
          </v:shape>
          <o:OLEObject Type="Embed" ProgID="Equation.3" ShapeID="_x0000_i1055" DrawAspect="Content" ObjectID="_1468075753" r:id="rId101">
            <o:LockedField>false</o:LockedField>
          </o:OLEObject>
        </w:object>
      </w:r>
      <w:r>
        <w:rPr>
          <w:rFonts w:hint="eastAsia"/>
          <w:u w:val="none"/>
        </w:rPr>
        <w:t>—排污口下游河道坡降（m/m）；</w:t>
      </w:r>
    </w:p>
    <w:p>
      <w:pPr>
        <w:ind w:firstLine="560"/>
        <w:rPr>
          <w:rFonts w:hint="eastAsia"/>
          <w:u w:val="none"/>
        </w:rPr>
      </w:pPr>
      <w:r>
        <w:rPr>
          <w:u w:val="none"/>
        </w:rPr>
        <w:object>
          <v:shape id="_x0000_i1056" o:spt="75" type="#_x0000_t75" style="height:18.8pt;width:55.7pt;" o:ole="t" filled="f" o:preferrelative="t" stroked="f" coordsize="21600,21600">
            <v:path/>
            <v:fill on="f" focussize="0,0"/>
            <v:stroke on="f"/>
            <v:imagedata r:id="rId104" o:title=""/>
            <o:lock v:ext="edit" aspectratio="t"/>
            <w10:wrap type="none"/>
            <w10:anchorlock/>
          </v:shape>
          <o:OLEObject Type="Embed" ProgID="Equation.3" ShapeID="_x0000_i1056" DrawAspect="Content" ObjectID="_1468075754" r:id="rId103">
            <o:LockedField>false</o:LockedField>
          </o:OLEObject>
        </w:object>
      </w:r>
      <w:r>
        <w:rPr>
          <w:rFonts w:hint="eastAsia"/>
          <w:u w:val="none"/>
        </w:rPr>
        <w:t>—混合区中的平</w:t>
      </w:r>
      <w:r>
        <w:rPr>
          <w:rFonts w:hint="eastAsia"/>
          <w:u w:val="none"/>
          <w:lang w:val="en-US" w:eastAsia="zh-CN"/>
        </w:rPr>
        <w:t>==</w:t>
      </w:r>
      <w:r>
        <w:rPr>
          <w:rFonts w:hint="eastAsia"/>
          <w:u w:val="none"/>
        </w:rPr>
        <w:t>均浓度；</w:t>
      </w:r>
    </w:p>
    <w:p>
      <w:pPr>
        <w:ind w:firstLine="560"/>
        <w:rPr>
          <w:rFonts w:hint="eastAsia"/>
          <w:u w:val="none"/>
        </w:rPr>
      </w:pPr>
      <w:r>
        <w:rPr>
          <w:u w:val="none"/>
        </w:rPr>
        <w:object>
          <v:shape id="_x0000_i1057" o:spt="75" type="#_x0000_t75" style="height:18.15pt;width:56.95pt;" o:ole="t" filled="f" o:preferrelative="t" stroked="f" coordsize="21600,21600">
            <v:path/>
            <v:fill on="f" focussize="0,0"/>
            <v:stroke on="f"/>
            <v:imagedata r:id="rId106" o:title=""/>
            <o:lock v:ext="edit" aspectratio="t"/>
            <w10:wrap type="none"/>
            <w10:anchorlock/>
          </v:shape>
          <o:OLEObject Type="Embed" ProgID="Equation.3" ShapeID="_x0000_i1057" DrawAspect="Content" ObjectID="_1468075755" r:id="rId105">
            <o:LockedField>false</o:LockedField>
          </o:OLEObject>
        </w:object>
      </w:r>
      <w:r>
        <w:rPr>
          <w:rFonts w:hint="eastAsia"/>
          <w:u w:val="none"/>
        </w:rPr>
        <w:t>—混合区中的浓度极值；</w:t>
      </w:r>
      <w:r>
        <w:rPr>
          <w:u w:val="none"/>
        </w:rPr>
        <w:object>
          <v:shape id="_x0000_i1058" o:spt="75" type="#_x0000_t75" style="height:18.15pt;width:21.3pt;" o:ole="t" filled="f" o:preferrelative="t" stroked="f" coordsize="21600,21600">
            <v:path/>
            <v:fill on="f" focussize="0,0"/>
            <v:stroke on="f"/>
            <v:imagedata r:id="rId108" o:title=""/>
            <o:lock v:ext="edit" aspectratio="t"/>
            <w10:wrap type="none"/>
            <w10:anchorlock/>
          </v:shape>
          <o:OLEObject Type="Embed" ProgID="Equation.3" ShapeID="_x0000_i1058" DrawAspect="Content" ObjectID="_1468075756" r:id="rId107">
            <o:LockedField>false</o:LockedField>
          </o:OLEObject>
        </w:object>
      </w:r>
      <w:r>
        <w:rPr>
          <w:rFonts w:hint="eastAsia"/>
          <w:u w:val="none"/>
        </w:rPr>
        <w:t>—排水浓度（mg/L）；</w:t>
      </w:r>
    </w:p>
    <w:p>
      <w:pPr>
        <w:ind w:firstLine="560"/>
        <w:rPr>
          <w:rFonts w:hint="eastAsia"/>
          <w:u w:val="none"/>
        </w:rPr>
      </w:pPr>
      <w:r>
        <w:rPr>
          <w:u w:val="none"/>
        </w:rPr>
        <w:object>
          <v:shape id="_x0000_i1059" o:spt="75" type="#_x0000_t75" style="height:18.15pt;width:21.9pt;" o:ole="t" filled="f" o:preferrelative="t" stroked="f" coordsize="21600,21600">
            <v:path/>
            <v:fill on="f" focussize="0,0"/>
            <v:stroke on="f"/>
            <v:imagedata r:id="rId110" o:title=""/>
            <o:lock v:ext="edit" aspectratio="t"/>
            <w10:wrap type="none"/>
            <w10:anchorlock/>
          </v:shape>
          <o:OLEObject Type="Embed" ProgID="Equation.3" ShapeID="_x0000_i1059" DrawAspect="Content" ObjectID="_1468075757" r:id="rId109">
            <o:LockedField>false</o:LockedField>
          </o:OLEObject>
        </w:object>
      </w:r>
      <w:r>
        <w:rPr>
          <w:rFonts w:hint="eastAsia"/>
          <w:u w:val="none"/>
        </w:rPr>
        <w:t>—排水流量（m</w:t>
      </w:r>
      <w:r>
        <w:rPr>
          <w:rFonts w:hint="eastAsia"/>
          <w:u w:val="none"/>
          <w:vertAlign w:val="superscript"/>
        </w:rPr>
        <w:t>3</w:t>
      </w:r>
      <w:r>
        <w:rPr>
          <w:rFonts w:hint="eastAsia"/>
          <w:u w:val="none"/>
        </w:rPr>
        <w:t>/s）；</w:t>
      </w:r>
    </w:p>
    <w:p>
      <w:pPr>
        <w:ind w:firstLine="560"/>
        <w:rPr>
          <w:rFonts w:hint="eastAsia"/>
          <w:u w:val="none"/>
        </w:rPr>
      </w:pPr>
      <w:r>
        <w:rPr>
          <w:u w:val="none"/>
        </w:rPr>
        <w:object>
          <v:shape id="_x0000_i1060" o:spt="75" type="#_x0000_t75" style="height:18.8pt;width:20.05pt;" o:ole="t" filled="f" o:preferrelative="t" stroked="f" coordsize="21600,21600">
            <v:path/>
            <v:fill on="f" focussize="0,0"/>
            <v:stroke on="f"/>
            <v:imagedata r:id="rId112" o:title=""/>
            <o:lock v:ext="edit" aspectratio="t"/>
            <w10:wrap type="none"/>
            <w10:anchorlock/>
          </v:shape>
          <o:OLEObject Type="Embed" ProgID="Equation.3" ShapeID="_x0000_i1060" DrawAspect="Content" ObjectID="_1468075758" r:id="rId111">
            <o:LockedField>false</o:LockedField>
          </o:OLEObject>
        </w:object>
      </w:r>
      <w:r>
        <w:rPr>
          <w:rFonts w:hint="eastAsia"/>
          <w:u w:val="none"/>
        </w:rPr>
        <w:t>—上游来水浓度（mg/L）；</w:t>
      </w:r>
    </w:p>
    <w:p>
      <w:pPr>
        <w:ind w:firstLine="560"/>
        <w:rPr>
          <w:rFonts w:hint="eastAsia"/>
          <w:u w:val="none"/>
        </w:rPr>
      </w:pPr>
      <w:r>
        <w:rPr>
          <w:u w:val="none"/>
        </w:rPr>
        <w:object>
          <v:shape id="_x0000_i1061" o:spt="75" type="#_x0000_t75" style="height:18.8pt;width:21.3pt;" o:ole="t" filled="f" o:preferrelative="t" stroked="f" coordsize="21600,21600">
            <v:path/>
            <v:fill on="f" focussize="0,0"/>
            <v:stroke on="f"/>
            <v:imagedata r:id="rId114" o:title=""/>
            <o:lock v:ext="edit" aspectratio="t"/>
            <w10:wrap type="none"/>
            <w10:anchorlock/>
          </v:shape>
          <o:OLEObject Type="Embed" ProgID="Equation.3" ShapeID="_x0000_i1061" DrawAspect="Content" ObjectID="_1468075759" r:id="rId113">
            <o:LockedField>false</o:LockedField>
          </o:OLEObject>
        </w:object>
      </w:r>
      <w:r>
        <w:rPr>
          <w:rFonts w:hint="eastAsia"/>
          <w:u w:val="none"/>
        </w:rPr>
        <w:t>—临界条件下的上游枯水流量（m</w:t>
      </w:r>
      <w:r>
        <w:rPr>
          <w:rFonts w:hint="eastAsia"/>
          <w:u w:val="none"/>
          <w:vertAlign w:val="superscript"/>
        </w:rPr>
        <w:t>3</w:t>
      </w:r>
      <w:r>
        <w:rPr>
          <w:rFonts w:hint="eastAsia"/>
          <w:u w:val="none"/>
        </w:rPr>
        <w:t>/s）；</w:t>
      </w:r>
    </w:p>
    <w:p>
      <w:pPr>
        <w:ind w:firstLine="560"/>
        <w:rPr>
          <w:rFonts w:hint="eastAsia"/>
          <w:u w:val="none"/>
        </w:rPr>
      </w:pPr>
      <w:r>
        <w:rPr>
          <w:u w:val="none"/>
        </w:rPr>
        <w:object>
          <v:shape id="_x0000_i1062" o:spt="75" type="#_x0000_t75" style="height:13.75pt;width:16.3pt;" o:ole="t" filled="f" o:preferrelative="t" stroked="f" coordsize="21600,21600">
            <v:path/>
            <v:fill on="f" focussize="0,0"/>
            <v:stroke on="f"/>
            <v:imagedata r:id="rId116" o:title=""/>
            <o:lock v:ext="edit" aspectratio="t"/>
            <w10:wrap type="none"/>
            <w10:anchorlock/>
          </v:shape>
          <o:OLEObject Type="Embed" ProgID="Equation.3" ShapeID="_x0000_i1062" DrawAspect="Content" ObjectID="_1468075760" r:id="rId115">
            <o:LockedField>false</o:LockedField>
          </o:OLEObject>
        </w:object>
      </w:r>
      <w:r>
        <w:rPr>
          <w:rFonts w:hint="eastAsia"/>
          <w:u w:val="none"/>
        </w:rPr>
        <w:t>—排污口下游对应于设计枯水流量条件的河流宽度（m）；</w:t>
      </w:r>
    </w:p>
    <w:p>
      <w:pPr>
        <w:ind w:firstLine="560"/>
        <w:rPr>
          <w:rFonts w:hint="eastAsia"/>
          <w:u w:val="none"/>
        </w:rPr>
      </w:pPr>
      <w:r>
        <w:rPr>
          <w:u w:val="none"/>
        </w:rPr>
        <w:object>
          <v:shape id="_x0000_i1063" o:spt="75" type="#_x0000_t75" style="height:16.9pt;width:26.3pt;" o:ole="t" filled="f" o:preferrelative="t" stroked="f" coordsize="21600,21600">
            <v:path/>
            <v:fill on="f" focussize="0,0"/>
            <v:stroke on="f"/>
            <v:imagedata r:id="rId118" o:title=""/>
            <o:lock v:ext="edit" aspectratio="t"/>
            <w10:wrap type="none"/>
            <w10:anchorlock/>
          </v:shape>
          <o:OLEObject Type="Embed" ProgID="Equation.3" ShapeID="_x0000_i1063" DrawAspect="Content" ObjectID="_1468075761" r:id="rId117">
            <o:LockedField>false</o:LockedField>
          </o:OLEObject>
        </w:object>
      </w:r>
      <w:r>
        <w:rPr>
          <w:rFonts w:hint="eastAsia"/>
          <w:u w:val="none"/>
        </w:rPr>
        <w:t>—羽流宽度（m）；</w:t>
      </w:r>
    </w:p>
    <w:p>
      <w:pPr>
        <w:ind w:firstLine="560"/>
        <w:rPr>
          <w:rFonts w:hint="eastAsia"/>
          <w:u w:val="none"/>
        </w:rPr>
      </w:pPr>
      <w:r>
        <w:rPr>
          <w:u w:val="none"/>
        </w:rPr>
        <w:object>
          <v:shape id="_x0000_i1064" o:spt="75" type="#_x0000_t75" style="height:18.15pt;width:26.3pt;" o:ole="t" filled="f" o:preferrelative="t" stroked="f" coordsize="21600,21600">
            <v:path/>
            <v:fill on="f" focussize="0,0"/>
            <v:stroke on="f"/>
            <v:imagedata r:id="rId120" o:title=""/>
            <o:lock v:ext="edit" aspectratio="t"/>
            <w10:wrap type="none"/>
            <w10:anchorlock/>
          </v:shape>
          <o:OLEObject Type="Embed" ProgID="Equation.3" ShapeID="_x0000_i1064" DrawAspect="Content" ObjectID="_1468075762" r:id="rId119">
            <o:LockedField>false</o:LockedField>
          </o:OLEObject>
        </w:object>
      </w:r>
      <w:r>
        <w:rPr>
          <w:rFonts w:hint="eastAsia"/>
          <w:u w:val="none"/>
        </w:rPr>
        <w:t>—与混合区浓度极值对应的宽度，无实际物理意义；</w:t>
      </w:r>
    </w:p>
    <w:p>
      <w:pPr>
        <w:ind w:firstLine="560"/>
        <w:rPr>
          <w:rFonts w:hint="eastAsia"/>
          <w:u w:val="none"/>
        </w:rPr>
      </w:pPr>
      <w:r>
        <w:rPr>
          <w:u w:val="none"/>
        </w:rPr>
        <w:object>
          <v:shape id="_x0000_i1065" o:spt="75" type="#_x0000_t75" style="height:13.15pt;width:10pt;" o:ole="t" filled="f" o:preferrelative="t" stroked="f" coordsize="21600,21600">
            <v:path/>
            <v:fill on="f" focussize="0,0"/>
            <v:stroke on="f"/>
            <v:imagedata r:id="rId122" o:title=""/>
            <o:lock v:ext="edit" aspectratio="t"/>
            <w10:wrap type="none"/>
            <w10:anchorlock/>
          </v:shape>
          <o:OLEObject Type="Embed" ProgID="Equation.3" ShapeID="_x0000_i1065" DrawAspect="Content" ObjectID="_1468075763" r:id="rId121">
            <o:LockedField>false</o:LockedField>
          </o:OLEObject>
        </w:object>
      </w:r>
      <w:r>
        <w:rPr>
          <w:rFonts w:hint="eastAsia"/>
          <w:u w:val="none"/>
        </w:rPr>
        <w:t>—岸边到排污口的距离（m），等于或小于河宽1/2；</w:t>
      </w:r>
    </w:p>
    <w:p>
      <w:pPr>
        <w:ind w:firstLine="560"/>
        <w:rPr>
          <w:rFonts w:hint="eastAsia"/>
          <w:u w:val="none"/>
        </w:rPr>
      </w:pPr>
      <w:r>
        <w:rPr>
          <w:u w:val="none"/>
        </w:rPr>
        <w:object>
          <v:shape id="_x0000_i1066" o:spt="75" type="#_x0000_t75" style="height:13.15pt;width:13.15pt;" o:ole="t" filled="f" o:preferrelative="t" stroked="f" coordsize="21600,21600">
            <v:path/>
            <v:fill on="f" focussize="0,0"/>
            <v:stroke on="f"/>
            <v:imagedata r:id="rId124" o:title=""/>
            <o:lock v:ext="edit" aspectratio="t"/>
            <w10:wrap type="none"/>
            <w10:anchorlock/>
          </v:shape>
          <o:OLEObject Type="Embed" ProgID="Equation.3" ShapeID="_x0000_i1066" DrawAspect="Content" ObjectID="_1468075764" r:id="rId123">
            <o:LockedField>false</o:LockedField>
          </o:OLEObject>
        </w:object>
      </w:r>
      <w:r>
        <w:rPr>
          <w:rFonts w:hint="eastAsia"/>
          <w:u w:val="none"/>
        </w:rPr>
        <w:t>—排污口下游距离（m）；</w:t>
      </w:r>
    </w:p>
    <w:p>
      <w:pPr>
        <w:ind w:firstLine="560"/>
        <w:rPr>
          <w:rFonts w:hint="eastAsia"/>
          <w:u w:val="none"/>
        </w:rPr>
      </w:pPr>
      <w:r>
        <w:rPr>
          <w:u w:val="none"/>
        </w:rPr>
        <w:object>
          <v:shape id="_x0000_i1067" o:spt="75" type="#_x0000_t75" style="height:11.25pt;width:10pt;" o:ole="t" filled="f" o:preferrelative="t" stroked="f" coordsize="21600,21600">
            <v:path/>
            <v:fill on="f" focussize="0,0"/>
            <v:stroke on="f"/>
            <v:imagedata r:id="rId126" o:title=""/>
            <o:lock v:ext="edit" aspectratio="t"/>
            <w10:wrap type="none"/>
            <w10:anchorlock/>
          </v:shape>
          <o:OLEObject Type="Embed" ProgID="Equation.3" ShapeID="_x0000_i1067" DrawAspect="Content" ObjectID="_1468075765" r:id="rId125">
            <o:LockedField>false</o:LockedField>
          </o:OLEObject>
        </w:object>
      </w:r>
      <w:r>
        <w:rPr>
          <w:rFonts w:hint="eastAsia"/>
          <w:u w:val="none"/>
        </w:rPr>
        <w:t>—排污口下游流速（m/s）。</w:t>
      </w:r>
    </w:p>
    <w:p>
      <w:pPr>
        <w:ind w:firstLine="560"/>
        <w:rPr>
          <w:u w:val="none"/>
        </w:rPr>
      </w:pPr>
      <w:r>
        <w:rPr>
          <w:rFonts w:hint="eastAsia"/>
          <w:u w:val="none"/>
        </w:rPr>
        <w:t xml:space="preserve">混合区模型STREAMIX </w:t>
      </w:r>
      <w:r>
        <w:rPr>
          <w:u w:val="none"/>
        </w:rPr>
        <w:fldChar w:fldCharType="begin"/>
      </w:r>
      <w:r>
        <w:rPr>
          <w:u w:val="none"/>
        </w:rPr>
        <w:instrText xml:space="preserve"> </w:instrText>
      </w:r>
      <w:r>
        <w:rPr>
          <w:rFonts w:hint="eastAsia"/>
          <w:u w:val="none"/>
        </w:rPr>
        <w:instrText xml:space="preserve">= 1 \* ROMAN</w:instrText>
      </w:r>
      <w:r>
        <w:rPr>
          <w:u w:val="none"/>
        </w:rPr>
        <w:instrText xml:space="preserve"> </w:instrText>
      </w:r>
      <w:r>
        <w:rPr>
          <w:u w:val="none"/>
        </w:rPr>
        <w:fldChar w:fldCharType="separate"/>
      </w:r>
      <w:r>
        <w:rPr>
          <w:u w:val="none"/>
        </w:rPr>
        <w:t>I</w:t>
      </w:r>
      <w:r>
        <w:rPr>
          <w:u w:val="none"/>
        </w:rPr>
        <w:fldChar w:fldCharType="end"/>
      </w:r>
      <w:r>
        <w:rPr>
          <w:rFonts w:hint="eastAsia"/>
          <w:u w:val="none"/>
        </w:rPr>
        <w:t>可以与下述的河流一维水质模型配合使用：</w:t>
      </w:r>
    </w:p>
    <w:p>
      <w:pPr>
        <w:ind w:firstLine="560"/>
        <w:jc w:val="right"/>
        <w:rPr>
          <w:u w:val="none"/>
        </w:rPr>
      </w:pPr>
      <w:r>
        <w:rPr>
          <w:position w:val="-28"/>
          <w:szCs w:val="24"/>
          <w:u w:val="none"/>
        </w:rPr>
        <w:object>
          <v:shape id="_x0000_i1068" o:spt="75" type="#_x0000_t75" style="height:33.8pt;width:102.05pt;" o:ole="t" filled="f" o:preferrelative="t" stroked="f" coordsize="21600,21600">
            <v:path/>
            <v:fill on="f" alignshape="1" focussize="0,0"/>
            <v:stroke on="f"/>
            <v:imagedata r:id="rId128" o:title=""/>
            <o:lock v:ext="edit" aspectratio="t"/>
            <w10:wrap type="none"/>
            <w10:anchorlock/>
          </v:shape>
          <o:OLEObject Type="Embed" ProgID="Equation.3" ShapeID="_x0000_i1068" DrawAspect="Content" ObjectID="_1468075766" r:id="rId127">
            <o:LockedField>false</o:LockedField>
          </o:OLEObject>
        </w:object>
      </w:r>
      <w:r>
        <w:rPr>
          <w:rFonts w:hint="eastAsia"/>
          <w:u w:val="none"/>
        </w:rPr>
        <w:t xml:space="preserve">                      （7）</w:t>
      </w:r>
    </w:p>
    <w:p>
      <w:pPr>
        <w:ind w:firstLine="560"/>
        <w:rPr>
          <w:rFonts w:hint="eastAsia"/>
          <w:u w:val="none"/>
        </w:rPr>
      </w:pPr>
      <w:r>
        <w:rPr>
          <w:rFonts w:hint="eastAsia"/>
          <w:u w:val="none"/>
        </w:rPr>
        <w:t xml:space="preserve">式中  </w:t>
      </w:r>
      <w:r>
        <w:rPr>
          <w:position w:val="-12"/>
          <w:u w:val="none"/>
        </w:rPr>
        <w:object>
          <v:shape id="_x0000_i1069" o:spt="75" type="#_x0000_t75" style="height:18.4pt;width:14.6pt;" o:ole="t" filled="f" o:preferrelative="t" stroked="f" coordsize="21600,21600">
            <v:path/>
            <v:fill on="f" alignshape="1" focussize="0,0"/>
            <v:stroke on="f"/>
            <v:imagedata r:id="rId130" o:title=""/>
            <o:lock v:ext="edit" aspectratio="t"/>
            <w10:wrap type="none"/>
            <w10:anchorlock/>
          </v:shape>
          <o:OLEObject Type="Embed" ProgID="Equation.3" ShapeID="_x0000_i1069" DrawAspect="Content" ObjectID="_1468075767" r:id="rId129">
            <o:LockedField>false</o:LockedField>
          </o:OLEObject>
        </w:object>
      </w:r>
      <w:r>
        <w:rPr>
          <w:rFonts w:hint="eastAsia"/>
          <w:u w:val="none"/>
        </w:rPr>
        <w:t>—初始断面的污染物浓度，mg/L；</w:t>
      </w:r>
    </w:p>
    <w:p>
      <w:pPr>
        <w:ind w:firstLine="560"/>
        <w:rPr>
          <w:u w:val="none"/>
        </w:rPr>
      </w:pPr>
      <w:r>
        <w:rPr>
          <w:u w:val="none"/>
        </w:rPr>
        <w:object>
          <v:shape id="_x0000_i1070" o:spt="75" type="#_x0000_t75" style="height:18.4pt;width:15.55pt;" o:ole="t" filled="f" o:preferrelative="t" stroked="f" coordsize="21600,21600">
            <v:path/>
            <v:fill on="f" alignshape="1" focussize="0,0"/>
            <v:stroke on="f"/>
            <v:imagedata r:id="rId132" o:title=""/>
            <o:lock v:ext="edit" aspectratio="t"/>
            <w10:wrap type="none"/>
            <w10:anchorlock/>
          </v:shape>
          <o:OLEObject Type="Embed" ProgID="Equation.3" ShapeID="_x0000_i1070" DrawAspect="Content" ObjectID="_1468075768" r:id="rId131">
            <o:LockedField>false</o:LockedField>
          </o:OLEObject>
        </w:object>
      </w:r>
      <w:r>
        <w:rPr>
          <w:rFonts w:hint="eastAsia"/>
          <w:u w:val="none"/>
        </w:rPr>
        <w:t>—流经</w:t>
      </w:r>
      <w:r>
        <w:rPr>
          <w:u w:val="none"/>
        </w:rPr>
        <w:t>x</w:t>
      </w:r>
      <w:r>
        <w:rPr>
          <w:rFonts w:hint="eastAsia"/>
          <w:u w:val="none"/>
        </w:rPr>
        <w:t>距离后的污染物浓度，mg/L；</w:t>
      </w:r>
    </w:p>
    <w:p>
      <w:pPr>
        <w:ind w:firstLine="560"/>
        <w:rPr>
          <w:u w:val="none"/>
        </w:rPr>
      </w:pPr>
      <w:r>
        <w:rPr>
          <w:u w:val="none"/>
        </w:rPr>
        <w:object>
          <v:shape id="_x0000_i1071" o:spt="75" type="#_x0000_t75" style="height:11.25pt;width:9.7pt;" o:ole="t" filled="f" o:preferrelative="t" stroked="f" coordsize="21600,21600">
            <v:path/>
            <v:fill on="f" alignshape="1" focussize="0,0"/>
            <v:stroke on="f"/>
            <v:imagedata r:id="rId134" o:title=""/>
            <o:lock v:ext="edit" aspectratio="t"/>
            <w10:wrap type="none"/>
            <w10:anchorlock/>
          </v:shape>
          <o:OLEObject Type="Embed" ProgID="Equation.3" ShapeID="_x0000_i1071" DrawAspect="Content" ObjectID="_1468075769" r:id="rId133">
            <o:LockedField>false</o:LockedField>
          </o:OLEObject>
        </w:object>
      </w:r>
      <w:r>
        <w:rPr>
          <w:rFonts w:hint="eastAsia"/>
          <w:u w:val="none"/>
        </w:rPr>
        <w:t>—沿河段的纵向距离，m；</w:t>
      </w:r>
    </w:p>
    <w:p>
      <w:pPr>
        <w:ind w:firstLine="560"/>
        <w:rPr>
          <w:u w:val="none"/>
        </w:rPr>
      </w:pPr>
      <w:r>
        <w:rPr>
          <w:position w:val="-6"/>
          <w:u w:val="none"/>
        </w:rPr>
        <w:object>
          <v:shape id="_x0000_i1072" o:spt="75" type="#_x0000_t75" style="height:11.25pt;width:9.7pt;" o:ole="t" filled="f" o:preferrelative="t" stroked="f" coordsize="21600,21600">
            <v:path/>
            <v:fill on="f" alignshape="1" focussize="0,0"/>
            <v:stroke on="f"/>
            <v:imagedata r:id="rId136" o:title=""/>
            <o:lock v:ext="edit" aspectratio="t"/>
            <w10:wrap type="none"/>
            <w10:anchorlock/>
          </v:shape>
          <o:OLEObject Type="Embed" ProgID="Equation.3" ShapeID="_x0000_i1072" DrawAspect="Content" ObjectID="_1468075770" r:id="rId135">
            <o:LockedField>false</o:LockedField>
          </o:OLEObject>
        </w:object>
      </w:r>
      <w:r>
        <w:rPr>
          <w:rFonts w:hint="eastAsia"/>
          <w:u w:val="none"/>
        </w:rPr>
        <w:t>—设计流量下研究河段的平均流速（即，水污染物输移时间示踪试验中确定的重心速度），m/s；</w:t>
      </w:r>
    </w:p>
    <w:p>
      <w:pPr>
        <w:rPr>
          <w:rFonts w:hint="eastAsia"/>
          <w:u w:val="none"/>
        </w:rPr>
      </w:pPr>
      <w:r>
        <w:rPr>
          <w:position w:val="-4"/>
          <w:u w:val="none"/>
        </w:rPr>
        <w:object>
          <v:shape id="_x0000_i1073" o:spt="75" type="#_x0000_t75" style="height:13.3pt;width:12.65pt;" o:ole="t" filled="f" o:preferrelative="t" stroked="f" coordsize="21600,21600">
            <v:path/>
            <v:fill on="f" alignshape="1" focussize="0,0"/>
            <v:stroke on="f"/>
            <v:imagedata r:id="rId138" o:title=""/>
            <o:lock v:ext="edit" aspectratio="t"/>
            <w10:wrap type="none"/>
            <w10:anchorlock/>
          </v:shape>
          <o:OLEObject Type="Embed" ProgID="Equation.3" ShapeID="_x0000_i1073" DrawAspect="Content" ObjectID="_1468075771" r:id="rId137">
            <o:LockedField>false</o:LockedField>
          </o:OLEObject>
        </w:object>
      </w:r>
      <w:r>
        <w:rPr>
          <w:rFonts w:hint="eastAsia"/>
          <w:u w:val="none"/>
        </w:rPr>
        <w:t>—污染物综合衰减系数，1/s。</w:t>
      </w:r>
    </w:p>
    <w:p>
      <w:pPr>
        <w:spacing w:line="348" w:lineRule="auto"/>
        <w:ind w:firstLine="560"/>
        <w:rPr>
          <w:color w:val="000000"/>
          <w:u w:val="none"/>
        </w:rPr>
      </w:pPr>
      <w:r>
        <w:rPr>
          <w:rFonts w:hint="eastAsia"/>
          <w:color w:val="000000"/>
          <w:u w:val="none"/>
        </w:rPr>
        <w:t>采用导则推荐的混合过程段长度计算公式。</w:t>
      </w:r>
    </w:p>
    <w:p>
      <w:pPr>
        <w:spacing w:line="348" w:lineRule="auto"/>
        <w:ind w:firstLine="0" w:firstLineChars="0"/>
        <w:jc w:val="center"/>
        <w:rPr>
          <w:color w:val="000000"/>
          <w:u w:val="none"/>
        </w:rPr>
      </w:pPr>
      <w:r>
        <w:rPr>
          <w:color w:val="000000"/>
          <w:u w:val="none"/>
        </w:rPr>
        <w:drawing>
          <wp:inline distT="0" distB="0" distL="114300" distR="114300">
            <wp:extent cx="3019425" cy="561975"/>
            <wp:effectExtent l="0" t="0" r="13335" b="1905"/>
            <wp:docPr id="5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4"/>
                    <pic:cNvPicPr>
                      <a:picLocks noChangeAspect="1"/>
                    </pic:cNvPicPr>
                  </pic:nvPicPr>
                  <pic:blipFill>
                    <a:blip r:embed="rId139"/>
                    <a:stretch>
                      <a:fillRect/>
                    </a:stretch>
                  </pic:blipFill>
                  <pic:spPr>
                    <a:xfrm>
                      <a:off x="0" y="0"/>
                      <a:ext cx="3019425" cy="561975"/>
                    </a:xfrm>
                    <a:prstGeom prst="rect">
                      <a:avLst/>
                    </a:prstGeom>
                    <a:noFill/>
                    <a:ln>
                      <a:noFill/>
                    </a:ln>
                  </pic:spPr>
                </pic:pic>
              </a:graphicData>
            </a:graphic>
          </wp:inline>
        </w:drawing>
      </w:r>
    </w:p>
    <w:p>
      <w:pPr>
        <w:spacing w:line="348" w:lineRule="auto"/>
        <w:ind w:firstLine="560"/>
        <w:rPr>
          <w:color w:val="000000"/>
          <w:u w:val="none"/>
        </w:rPr>
      </w:pPr>
      <w:r>
        <w:rPr>
          <w:rFonts w:hint="eastAsia"/>
          <w:color w:val="000000"/>
          <w:u w:val="none"/>
        </w:rPr>
        <w:t>式中：</w:t>
      </w:r>
      <w:r>
        <w:rPr>
          <w:color w:val="000000"/>
          <w:u w:val="none"/>
        </w:rPr>
        <w:t>Lm</w:t>
      </w:r>
      <w:r>
        <w:rPr>
          <w:rFonts w:hint="eastAsia"/>
          <w:color w:val="000000"/>
          <w:u w:val="none"/>
        </w:rPr>
        <w:t>——混合段长度，</w:t>
      </w:r>
      <w:r>
        <w:rPr>
          <w:color w:val="000000"/>
          <w:u w:val="none"/>
        </w:rPr>
        <w:t>m</w:t>
      </w:r>
      <w:r>
        <w:rPr>
          <w:rFonts w:hint="eastAsia"/>
          <w:color w:val="000000"/>
          <w:u w:val="none"/>
        </w:rPr>
        <w:t>；</w:t>
      </w:r>
    </w:p>
    <w:p>
      <w:pPr>
        <w:spacing w:line="348" w:lineRule="auto"/>
        <w:ind w:firstLine="560"/>
        <w:rPr>
          <w:color w:val="000000"/>
          <w:u w:val="none"/>
        </w:rPr>
      </w:pPr>
      <w:r>
        <w:rPr>
          <w:color w:val="000000"/>
          <w:u w:val="none"/>
        </w:rPr>
        <w:t>B</w:t>
      </w:r>
      <w:r>
        <w:rPr>
          <w:rFonts w:hint="eastAsia"/>
          <w:color w:val="000000"/>
          <w:u w:val="none"/>
        </w:rPr>
        <w:t>——水面宽度，本项目取</w:t>
      </w:r>
      <w:r>
        <w:rPr>
          <w:rFonts w:hint="eastAsia"/>
          <w:color w:val="000000"/>
          <w:u w:val="none"/>
          <w:lang w:val="en-US" w:eastAsia="zh-CN"/>
        </w:rPr>
        <w:t>50</w:t>
      </w:r>
      <w:r>
        <w:rPr>
          <w:color w:val="000000"/>
          <w:u w:val="none"/>
        </w:rPr>
        <w:t>m</w:t>
      </w:r>
      <w:r>
        <w:rPr>
          <w:rFonts w:hint="eastAsia"/>
          <w:color w:val="000000"/>
          <w:u w:val="none"/>
        </w:rPr>
        <w:t>；</w:t>
      </w:r>
    </w:p>
    <w:p>
      <w:pPr>
        <w:spacing w:line="348" w:lineRule="auto"/>
        <w:ind w:firstLine="560"/>
        <w:jc w:val="both"/>
        <w:rPr>
          <w:color w:val="000000"/>
          <w:u w:val="none"/>
        </w:rPr>
      </w:pPr>
      <w:r>
        <w:rPr>
          <w:color w:val="000000"/>
          <w:u w:val="none"/>
        </w:rPr>
        <w:t>a</w:t>
      </w:r>
      <w:r>
        <w:rPr>
          <w:rFonts w:hint="eastAsia"/>
          <w:color w:val="000000"/>
          <w:u w:val="none"/>
        </w:rPr>
        <w:t>——排放口到岸边的距离，本项目为岸边排放，取</w:t>
      </w:r>
      <w:r>
        <w:rPr>
          <w:color w:val="000000"/>
          <w:u w:val="none"/>
        </w:rPr>
        <w:t>0m</w:t>
      </w:r>
      <w:r>
        <w:rPr>
          <w:rFonts w:hint="eastAsia"/>
          <w:color w:val="000000"/>
          <w:u w:val="none"/>
        </w:rPr>
        <w:t>；</w:t>
      </w:r>
    </w:p>
    <w:p>
      <w:pPr>
        <w:spacing w:line="348" w:lineRule="auto"/>
        <w:ind w:firstLine="560"/>
        <w:jc w:val="both"/>
        <w:rPr>
          <w:color w:val="000000"/>
          <w:u w:val="none"/>
        </w:rPr>
      </w:pPr>
      <w:r>
        <w:rPr>
          <w:color w:val="000000"/>
          <w:u w:val="none"/>
        </w:rPr>
        <w:t>u</w:t>
      </w:r>
      <w:r>
        <w:rPr>
          <w:rFonts w:hint="eastAsia"/>
          <w:color w:val="000000"/>
          <w:u w:val="none"/>
        </w:rPr>
        <w:t>——断面流速，枯水期</w:t>
      </w:r>
      <w:r>
        <w:rPr>
          <w:rFonts w:hint="eastAsia"/>
          <w:color w:val="000000"/>
          <w:u w:val="none"/>
          <w:lang w:val="en-US" w:eastAsia="zh-CN"/>
        </w:rPr>
        <w:t>猛洞河</w:t>
      </w:r>
      <w:r>
        <w:rPr>
          <w:rFonts w:hint="eastAsia"/>
          <w:color w:val="000000"/>
          <w:u w:val="none"/>
        </w:rPr>
        <w:t>为</w:t>
      </w:r>
      <w:r>
        <w:rPr>
          <w:rFonts w:hint="eastAsia"/>
          <w:color w:val="000000"/>
          <w:u w:val="none"/>
          <w:lang w:val="en-US" w:eastAsia="zh-CN"/>
        </w:rPr>
        <w:t>0.134</w:t>
      </w:r>
      <w:r>
        <w:rPr>
          <w:color w:val="000000"/>
          <w:u w:val="none"/>
        </w:rPr>
        <w:t>m/s</w:t>
      </w:r>
      <w:r>
        <w:rPr>
          <w:rFonts w:hint="eastAsia"/>
          <w:color w:val="000000"/>
          <w:u w:val="none"/>
        </w:rPr>
        <w:t>；</w:t>
      </w:r>
    </w:p>
    <w:p>
      <w:pPr>
        <w:kinsoku w:val="0"/>
        <w:spacing w:line="348" w:lineRule="auto"/>
        <w:ind w:firstLine="560"/>
        <w:jc w:val="both"/>
        <w:rPr>
          <w:color w:val="000000"/>
          <w:u w:val="none"/>
        </w:rPr>
      </w:pPr>
      <w:r>
        <w:rPr>
          <w:color w:val="000000"/>
          <w:u w:val="none"/>
        </w:rPr>
        <w:t>E</w:t>
      </w:r>
      <w:r>
        <w:rPr>
          <w:color w:val="000000"/>
          <w:u w:val="none"/>
          <w:vertAlign w:val="subscript"/>
        </w:rPr>
        <w:t>y</w:t>
      </w:r>
      <w:r>
        <w:rPr>
          <w:rFonts w:hint="eastAsia"/>
          <w:color w:val="000000"/>
          <w:u w:val="none"/>
        </w:rPr>
        <w:t>——污染物横向扩散系数，</w:t>
      </w:r>
      <w:r>
        <w:rPr>
          <w:color w:val="000000"/>
          <w:u w:val="none"/>
        </w:rPr>
        <w:t>m</w:t>
      </w:r>
      <w:r>
        <w:rPr>
          <w:color w:val="000000"/>
          <w:u w:val="none"/>
          <w:vertAlign w:val="superscript"/>
        </w:rPr>
        <w:t>2</w:t>
      </w:r>
      <w:r>
        <w:rPr>
          <w:color w:val="000000"/>
          <w:u w:val="none"/>
        </w:rPr>
        <w:t>/s</w:t>
      </w:r>
      <w:r>
        <w:rPr>
          <w:rFonts w:hint="eastAsia"/>
          <w:color w:val="000000"/>
          <w:u w:val="none"/>
        </w:rPr>
        <w:t>，用泰勒（</w:t>
      </w:r>
      <w:r>
        <w:rPr>
          <w:color w:val="000000"/>
          <w:u w:val="none"/>
        </w:rPr>
        <w:t>Taylor</w:t>
      </w:r>
      <w:r>
        <w:rPr>
          <w:rFonts w:hint="eastAsia"/>
          <w:color w:val="000000"/>
          <w:u w:val="none"/>
        </w:rPr>
        <w:t>）法求</w:t>
      </w:r>
      <w:r>
        <w:rPr>
          <w:color w:val="000000"/>
          <w:u w:val="none"/>
        </w:rPr>
        <w:t>E</w:t>
      </w:r>
      <w:r>
        <w:rPr>
          <w:color w:val="000000"/>
          <w:u w:val="none"/>
          <w:vertAlign w:val="subscript"/>
        </w:rPr>
        <w:t>y</w:t>
      </w:r>
      <w:r>
        <w:rPr>
          <w:rFonts w:hint="eastAsia"/>
          <w:color w:val="000000"/>
          <w:u w:val="none"/>
        </w:rPr>
        <w:t>，</w:t>
      </w:r>
      <w:r>
        <w:rPr>
          <w:color w:val="000000"/>
          <w:u w:val="none"/>
        </w:rPr>
        <w:t>E</w:t>
      </w:r>
      <w:r>
        <w:rPr>
          <w:color w:val="000000"/>
          <w:u w:val="none"/>
          <w:vertAlign w:val="subscript"/>
        </w:rPr>
        <w:t>y</w:t>
      </w:r>
      <w:r>
        <w:rPr>
          <w:color w:val="000000"/>
          <w:u w:val="none"/>
        </w:rPr>
        <w:t>=(0.058H+0.0065B)(gHI)</w:t>
      </w:r>
      <w:r>
        <w:rPr>
          <w:color w:val="000000"/>
          <w:u w:val="none"/>
          <w:vertAlign w:val="superscript"/>
        </w:rPr>
        <w:t>1/2</w:t>
      </w:r>
      <w:r>
        <w:rPr>
          <w:rFonts w:hint="eastAsia"/>
          <w:color w:val="000000"/>
          <w:u w:val="none"/>
        </w:rPr>
        <w:t>，求得</w:t>
      </w:r>
      <w:r>
        <w:rPr>
          <w:rFonts w:hint="eastAsia"/>
          <w:color w:val="000000"/>
          <w:u w:val="none"/>
          <w:lang w:val="en-US" w:eastAsia="zh-CN"/>
        </w:rPr>
        <w:t>猛</w:t>
      </w:r>
      <w:r>
        <w:rPr>
          <w:rFonts w:hint="eastAsia"/>
          <w:color w:val="auto"/>
          <w:u w:val="none"/>
          <w:lang w:val="en-US" w:eastAsia="zh-CN"/>
        </w:rPr>
        <w:t>洞河</w:t>
      </w:r>
      <w:r>
        <w:rPr>
          <w:rFonts w:hint="eastAsia"/>
          <w:color w:val="auto"/>
          <w:u w:val="none"/>
        </w:rPr>
        <w:t>为</w:t>
      </w:r>
      <w:r>
        <w:rPr>
          <w:rFonts w:hint="eastAsia"/>
          <w:color w:val="auto"/>
          <w:u w:val="none"/>
          <w:lang w:val="en-US" w:eastAsia="zh-CN"/>
        </w:rPr>
        <w:t>2.15</w:t>
      </w:r>
      <w:r>
        <w:rPr>
          <w:color w:val="auto"/>
          <w:u w:val="none"/>
        </w:rPr>
        <w:t>m</w:t>
      </w:r>
      <w:r>
        <w:rPr>
          <w:color w:val="auto"/>
          <w:u w:val="none"/>
          <w:vertAlign w:val="superscript"/>
        </w:rPr>
        <w:t>2</w:t>
      </w:r>
      <w:r>
        <w:rPr>
          <w:color w:val="auto"/>
          <w:u w:val="none"/>
        </w:rPr>
        <w:t>/s</w:t>
      </w:r>
      <w:r>
        <w:rPr>
          <w:rFonts w:hint="eastAsia"/>
          <w:color w:val="auto"/>
          <w:u w:val="none"/>
        </w:rPr>
        <w:t>；</w:t>
      </w:r>
    </w:p>
    <w:p>
      <w:pPr>
        <w:ind w:firstLine="560"/>
        <w:jc w:val="both"/>
        <w:rPr>
          <w:rFonts w:hint="eastAsia"/>
          <w:color w:val="auto"/>
          <w:u w:val="none"/>
        </w:rPr>
      </w:pPr>
      <w:r>
        <w:rPr>
          <w:rFonts w:hint="eastAsia"/>
          <w:color w:val="auto"/>
          <w:u w:val="none"/>
        </w:rPr>
        <w:t>由上述公式计算出，</w:t>
      </w:r>
      <w:r>
        <w:rPr>
          <w:rFonts w:hint="eastAsia"/>
          <w:color w:val="auto"/>
          <w:u w:val="none"/>
          <w:lang w:val="en-US" w:eastAsia="zh-CN"/>
        </w:rPr>
        <w:t>猛洞河</w:t>
      </w:r>
      <w:r>
        <w:rPr>
          <w:rFonts w:hint="eastAsia"/>
          <w:color w:val="auto"/>
          <w:u w:val="none"/>
        </w:rPr>
        <w:t>枯水期混合过程段长度为</w:t>
      </w:r>
      <w:r>
        <w:rPr>
          <w:rFonts w:hint="eastAsia"/>
          <w:color w:val="auto"/>
          <w:u w:val="none"/>
          <w:lang w:val="en-US" w:eastAsia="zh-CN"/>
        </w:rPr>
        <w:t>68.77</w:t>
      </w:r>
      <w:r>
        <w:rPr>
          <w:rFonts w:hint="eastAsia"/>
          <w:color w:val="auto"/>
          <w:u w:val="none"/>
        </w:rPr>
        <w:t>m，因此污水排放入</w:t>
      </w:r>
      <w:r>
        <w:rPr>
          <w:rFonts w:hint="eastAsia"/>
          <w:color w:val="auto"/>
          <w:u w:val="none"/>
          <w:lang w:val="en-US" w:eastAsia="zh-CN"/>
        </w:rPr>
        <w:t>猛洞河</w:t>
      </w:r>
      <w:r>
        <w:rPr>
          <w:rFonts w:hint="eastAsia"/>
          <w:color w:val="auto"/>
          <w:u w:val="none"/>
        </w:rPr>
        <w:t>江后，不可能马上混合均匀，会形成一</w:t>
      </w:r>
      <w:r>
        <w:rPr>
          <w:rFonts w:hint="eastAsia"/>
          <w:color w:val="auto"/>
          <w:u w:val="none"/>
          <w:lang w:val="en-US" w:eastAsia="zh-CN"/>
        </w:rPr>
        <w:t>段</w:t>
      </w:r>
      <w:r>
        <w:rPr>
          <w:rFonts w:hint="eastAsia"/>
          <w:color w:val="auto"/>
          <w:u w:val="none"/>
        </w:rPr>
        <w:t>污染带。</w:t>
      </w:r>
    </w:p>
    <w:p>
      <w:pPr>
        <w:pStyle w:val="69"/>
        <w:bidi w:val="0"/>
        <w:jc w:val="both"/>
        <w:rPr>
          <w:rFonts w:hint="eastAsia"/>
          <w:lang w:val="en-US" w:eastAsia="zh-CN"/>
        </w:rPr>
      </w:pPr>
      <w:r>
        <w:rPr>
          <w:rFonts w:hint="eastAsia"/>
          <w:lang w:val="en-US" w:eastAsia="zh-CN"/>
        </w:rPr>
        <w:t>8.5.4.3预测时段</w:t>
      </w:r>
    </w:p>
    <w:p>
      <w:pPr>
        <w:bidi w:val="0"/>
        <w:jc w:val="both"/>
        <w:rPr>
          <w:rFonts w:hint="eastAsia"/>
          <w:lang w:val="en-US" w:eastAsia="zh-CN"/>
        </w:rPr>
      </w:pPr>
      <w:r>
        <w:rPr>
          <w:rFonts w:hint="eastAsia"/>
          <w:lang w:val="en-US" w:eastAsia="zh-CN"/>
        </w:rPr>
        <w:t>本次预测分正常排放和非正常排放两种情况。</w:t>
      </w:r>
    </w:p>
    <w:p>
      <w:pPr>
        <w:pStyle w:val="69"/>
        <w:bidi w:val="0"/>
        <w:rPr>
          <w:rFonts w:hint="eastAsia"/>
          <w:u w:val="single"/>
          <w:lang w:val="en-US" w:eastAsia="zh-CN"/>
        </w:rPr>
      </w:pPr>
      <w:r>
        <w:rPr>
          <w:rFonts w:hint="eastAsia"/>
          <w:u w:val="single"/>
          <w:lang w:val="en-US" w:eastAsia="zh-CN"/>
        </w:rPr>
        <w:t>8.5.4.4预测参数的选择</w:t>
      </w:r>
    </w:p>
    <w:p>
      <w:pPr>
        <w:ind w:firstLine="560"/>
        <w:rPr>
          <w:color w:val="auto"/>
          <w:u w:val="single"/>
        </w:rPr>
      </w:pPr>
      <w:r>
        <w:rPr>
          <w:rFonts w:hint="eastAsia" w:hAnsi="宋体"/>
          <w:color w:val="auto"/>
          <w:u w:val="single"/>
        </w:rPr>
        <w:t>（1）</w:t>
      </w:r>
      <w:r>
        <w:rPr>
          <w:rFonts w:hAnsi="宋体"/>
          <w:color w:val="auto"/>
          <w:u w:val="single"/>
        </w:rPr>
        <w:t>初使断面入流流量</w:t>
      </w:r>
      <w:r>
        <w:rPr>
          <w:color w:val="auto"/>
          <w:u w:val="single"/>
        </w:rPr>
        <w:t>(Q)</w:t>
      </w:r>
    </w:p>
    <w:p>
      <w:pPr>
        <w:ind w:firstLine="560"/>
        <w:jc w:val="both"/>
        <w:rPr>
          <w:rFonts w:hint="default" w:ascii="Times New Roman" w:hAnsi="宋体" w:eastAsia="宋体" w:cs="Times New Roman"/>
          <w:color w:val="auto"/>
          <w:u w:val="single"/>
          <w:lang w:val="en-US" w:eastAsia="zh-CN"/>
        </w:rPr>
      </w:pPr>
      <w:r>
        <w:rPr>
          <w:rFonts w:hint="eastAsia" w:ascii="Times New Roman" w:hAnsi="宋体" w:eastAsia="宋体" w:cs="Times New Roman"/>
          <w:color w:val="auto"/>
          <w:u w:val="single"/>
        </w:rPr>
        <w:t>猛洞河评价河段水文参数</w:t>
      </w:r>
      <w:r>
        <w:rPr>
          <w:rFonts w:hint="eastAsia" w:ascii="Times New Roman" w:hAnsi="宋体" w:eastAsia="宋体" w:cs="Times New Roman"/>
          <w:color w:val="auto"/>
          <w:u w:val="single"/>
          <w:lang w:eastAsia="zh-CN"/>
        </w:rPr>
        <w:t>见</w:t>
      </w:r>
      <w:r>
        <w:rPr>
          <w:rFonts w:hint="eastAsia" w:ascii="Times New Roman" w:hAnsi="宋体" w:eastAsia="宋体" w:cs="Times New Roman"/>
          <w:color w:val="auto"/>
          <w:u w:val="single"/>
        </w:rPr>
        <w:t>表</w:t>
      </w:r>
      <w:r>
        <w:rPr>
          <w:rFonts w:hint="eastAsia" w:ascii="Times New Roman" w:hAnsi="宋体" w:eastAsia="宋体" w:cs="Times New Roman"/>
          <w:color w:val="auto"/>
          <w:u w:val="single"/>
          <w:lang w:val="en-US" w:eastAsia="zh-CN"/>
        </w:rPr>
        <w:t>8.5-1，</w:t>
      </w:r>
      <w:r>
        <w:rPr>
          <w:rFonts w:hint="eastAsia" w:ascii="Times New Roman" w:hAnsi="宋体" w:eastAsia="宋体" w:cs="Times New Roman"/>
          <w:color w:val="auto"/>
          <w:u w:val="single"/>
          <w:lang w:eastAsia="zh-CN"/>
        </w:rPr>
        <w:t>污染物背景值取取</w:t>
      </w:r>
      <w:r>
        <w:rPr>
          <w:rFonts w:hint="eastAsia" w:ascii="Times New Roman" w:hAnsi="宋体" w:eastAsia="宋体" w:cs="Times New Roman"/>
          <w:color w:val="auto"/>
          <w:u w:val="single"/>
        </w:rPr>
        <w:t>岔那污水处理厂排污口</w:t>
      </w:r>
      <w:r>
        <w:rPr>
          <w:rFonts w:hint="eastAsia" w:ascii="Times New Roman" w:hAnsi="宋体" w:eastAsia="宋体" w:cs="Times New Roman"/>
          <w:color w:val="auto"/>
          <w:u w:val="single"/>
          <w:lang w:eastAsia="zh-CN"/>
        </w:rPr>
        <w:t>下游</w:t>
      </w:r>
      <w:r>
        <w:rPr>
          <w:rFonts w:hint="eastAsia" w:ascii="Times New Roman" w:hAnsi="宋体" w:eastAsia="宋体" w:cs="Times New Roman"/>
          <w:color w:val="auto"/>
          <w:u w:val="single"/>
          <w:lang w:val="en-US" w:eastAsia="zh-CN"/>
        </w:rPr>
        <w:t>2</w:t>
      </w:r>
      <w:r>
        <w:rPr>
          <w:rFonts w:hint="eastAsia" w:ascii="Times New Roman" w:hAnsi="宋体" w:eastAsia="宋体" w:cs="Times New Roman"/>
          <w:color w:val="auto"/>
          <w:u w:val="single"/>
        </w:rPr>
        <w:t>00m</w:t>
      </w:r>
      <w:r>
        <w:rPr>
          <w:rFonts w:hint="eastAsia" w:ascii="Times New Roman" w:hAnsi="宋体" w:eastAsia="宋体" w:cs="Times New Roman"/>
          <w:color w:val="auto"/>
          <w:u w:val="single"/>
          <w:lang w:eastAsia="zh-CN"/>
        </w:rPr>
        <w:t>永顺县常规</w:t>
      </w:r>
      <w:r>
        <w:rPr>
          <w:rFonts w:hint="eastAsia" w:ascii="Times New Roman" w:hAnsi="宋体" w:eastAsia="宋体" w:cs="Times New Roman"/>
          <w:color w:val="auto"/>
          <w:u w:val="single"/>
        </w:rPr>
        <w:t>监测断面监测数</w:t>
      </w:r>
      <w:r>
        <w:rPr>
          <w:rFonts w:hint="eastAsia" w:ascii="Times New Roman" w:hAnsi="宋体" w:eastAsia="宋体" w:cs="Times New Roman"/>
          <w:color w:val="auto"/>
          <w:u w:val="single"/>
          <w:lang w:eastAsia="zh-CN"/>
        </w:rPr>
        <w:t>最大均</w:t>
      </w:r>
      <w:r>
        <w:rPr>
          <w:rFonts w:hint="eastAsia" w:ascii="Times New Roman" w:hAnsi="宋体" w:eastAsia="宋体" w:cs="Times New Roman"/>
          <w:color w:val="auto"/>
          <w:u w:val="single"/>
        </w:rPr>
        <w:t>值</w:t>
      </w:r>
      <w:r>
        <w:rPr>
          <w:rFonts w:hint="eastAsia" w:ascii="Times New Roman" w:hAnsi="宋体" w:eastAsia="宋体" w:cs="Times New Roman"/>
          <w:color w:val="auto"/>
          <w:u w:val="single"/>
          <w:lang w:eastAsia="zh-CN"/>
        </w:rPr>
        <w:t>（</w:t>
      </w:r>
      <w:r>
        <w:rPr>
          <w:rFonts w:hint="eastAsia" w:ascii="Times New Roman" w:hAnsi="宋体" w:eastAsia="宋体" w:cs="Times New Roman"/>
          <w:color w:val="auto"/>
          <w:u w:val="single"/>
          <w:lang w:val="en-US" w:eastAsia="zh-CN"/>
        </w:rPr>
        <w:t>监测断面至本排污口无其他排污口</w:t>
      </w:r>
      <w:r>
        <w:rPr>
          <w:rFonts w:hint="eastAsia" w:ascii="Times New Roman" w:hAnsi="宋体" w:eastAsia="宋体" w:cs="Times New Roman"/>
          <w:color w:val="auto"/>
          <w:u w:val="single"/>
          <w:lang w:eastAsia="zh-CN"/>
        </w:rPr>
        <w:t>）。</w:t>
      </w:r>
      <w:r>
        <w:rPr>
          <w:rFonts w:hint="eastAsia" w:hAnsi="宋体" w:cs="Times New Roman"/>
          <w:color w:val="auto"/>
          <w:u w:val="single"/>
          <w:lang w:eastAsia="zh-CN"/>
        </w:rPr>
        <w:t>猛洞河水文参数由湘西州水文监测站提供。</w:t>
      </w:r>
    </w:p>
    <w:p>
      <w:pPr>
        <w:snapToGrid w:val="0"/>
        <w:spacing w:line="240" w:lineRule="auto"/>
        <w:jc w:val="center"/>
        <w:rPr>
          <w:rFonts w:hint="eastAsia" w:ascii="Times New Roman" w:hAnsi="宋体" w:eastAsia="宋体" w:cs="Times New Roman"/>
          <w:b/>
          <w:color w:val="auto"/>
          <w:kern w:val="2"/>
          <w:sz w:val="24"/>
          <w:szCs w:val="21"/>
          <w:u w:val="single"/>
          <w:lang w:val="en-US" w:eastAsia="zh-CN" w:bidi="ar-SA"/>
        </w:rPr>
      </w:pPr>
      <w:r>
        <w:rPr>
          <w:rFonts w:hint="eastAsia" w:ascii="Times New Roman" w:hAnsi="宋体" w:eastAsia="宋体" w:cs="Times New Roman"/>
          <w:b/>
          <w:color w:val="auto"/>
          <w:kern w:val="2"/>
          <w:sz w:val="24"/>
          <w:szCs w:val="21"/>
          <w:u w:val="single"/>
          <w:lang w:val="en-US" w:eastAsia="zh-CN" w:bidi="ar-SA"/>
        </w:rPr>
        <w:t>表8.5-1  猛洞河水文参数</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790"/>
        <w:gridCol w:w="1790"/>
        <w:gridCol w:w="1707"/>
        <w:gridCol w:w="1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参数</w:t>
            </w:r>
          </w:p>
        </w:tc>
        <w:tc>
          <w:tcPr>
            <w:tcW w:w="1479"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流速（m/s）</w:t>
            </w:r>
          </w:p>
        </w:tc>
        <w:tc>
          <w:tcPr>
            <w:tcW w:w="1479"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流量（m</w:t>
            </w:r>
            <w:r>
              <w:rPr>
                <w:rFonts w:hint="eastAsia" w:ascii="Times New Roman" w:hAnsi="Times New Roman" w:eastAsia="宋体" w:cs="Times New Roman"/>
                <w:color w:val="auto"/>
                <w:u w:val="single"/>
                <w:vertAlign w:val="superscript"/>
              </w:rPr>
              <w:t>3</w:t>
            </w:r>
            <w:r>
              <w:rPr>
                <w:rFonts w:hint="eastAsia" w:ascii="Times New Roman" w:hAnsi="Times New Roman" w:eastAsia="宋体" w:cs="Times New Roman"/>
                <w:color w:val="auto"/>
                <w:u w:val="single"/>
              </w:rPr>
              <w:t>/s）</w:t>
            </w:r>
          </w:p>
        </w:tc>
        <w:tc>
          <w:tcPr>
            <w:tcW w:w="1411"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河宽（m）</w:t>
            </w:r>
          </w:p>
        </w:tc>
        <w:tc>
          <w:tcPr>
            <w:tcW w:w="1547"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河流水深（m）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平水期</w:t>
            </w:r>
          </w:p>
        </w:tc>
        <w:tc>
          <w:tcPr>
            <w:tcW w:w="1479"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0.1</w:t>
            </w:r>
            <w:r>
              <w:rPr>
                <w:rFonts w:hint="eastAsia" w:ascii="Times New Roman" w:hAnsi="Times New Roman" w:eastAsia="宋体" w:cs="Times New Roman"/>
                <w:color w:val="auto"/>
                <w:u w:val="single"/>
                <w:lang w:val="en-US" w:eastAsia="zh-CN"/>
              </w:rPr>
              <w:t>38</w:t>
            </w:r>
          </w:p>
        </w:tc>
        <w:tc>
          <w:tcPr>
            <w:tcW w:w="1479"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lang w:val="en-US" w:eastAsia="zh-CN"/>
              </w:rPr>
              <w:t>27.6</w:t>
            </w:r>
          </w:p>
        </w:tc>
        <w:tc>
          <w:tcPr>
            <w:tcW w:w="1411"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80</w:t>
            </w:r>
          </w:p>
        </w:tc>
        <w:tc>
          <w:tcPr>
            <w:tcW w:w="1547"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2.</w:t>
            </w:r>
            <w:r>
              <w:rPr>
                <w:rFonts w:hint="eastAsia" w:ascii="Times New Roman" w:hAnsi="Times New Roman" w:eastAsia="宋体" w:cs="Times New Roman"/>
                <w:color w:val="auto"/>
                <w:u w:val="singl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枯水期</w:t>
            </w:r>
          </w:p>
        </w:tc>
        <w:tc>
          <w:tcPr>
            <w:tcW w:w="1479"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0.</w:t>
            </w:r>
            <w:r>
              <w:rPr>
                <w:rFonts w:hint="eastAsia" w:ascii="Times New Roman" w:hAnsi="Times New Roman" w:eastAsia="宋体" w:cs="Times New Roman"/>
                <w:color w:val="auto"/>
                <w:u w:val="single"/>
                <w:lang w:val="en-US" w:eastAsia="zh-CN"/>
              </w:rPr>
              <w:t>134</w:t>
            </w:r>
          </w:p>
        </w:tc>
        <w:tc>
          <w:tcPr>
            <w:tcW w:w="1479"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lang w:val="en-US" w:eastAsia="zh-CN"/>
              </w:rPr>
              <w:t>14.7</w:t>
            </w:r>
          </w:p>
        </w:tc>
        <w:tc>
          <w:tcPr>
            <w:tcW w:w="1411"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lang w:val="en-US" w:eastAsia="zh-CN"/>
              </w:rPr>
              <w:t>5</w:t>
            </w:r>
            <w:r>
              <w:rPr>
                <w:rFonts w:hint="eastAsia" w:ascii="Times New Roman" w:hAnsi="Times New Roman" w:eastAsia="宋体" w:cs="Times New Roman"/>
                <w:color w:val="auto"/>
                <w:u w:val="single"/>
              </w:rPr>
              <w:t>0</w:t>
            </w:r>
          </w:p>
        </w:tc>
        <w:tc>
          <w:tcPr>
            <w:tcW w:w="1547" w:type="dxa"/>
            <w:noWrap w:val="0"/>
            <w:vAlign w:val="center"/>
          </w:tcPr>
          <w:p>
            <w:pPr>
              <w:pStyle w:val="73"/>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lang w:val="en-US" w:eastAsia="zh-CN"/>
              </w:rPr>
              <w:t>2.2</w:t>
            </w:r>
          </w:p>
        </w:tc>
      </w:tr>
    </w:tbl>
    <w:p>
      <w:pPr>
        <w:numPr>
          <w:ilvl w:val="0"/>
          <w:numId w:val="0"/>
        </w:numPr>
        <w:ind w:firstLine="480" w:firstLineChars="200"/>
        <w:jc w:val="both"/>
        <w:rPr>
          <w:rFonts w:hAnsi="宋体"/>
          <w:color w:val="auto"/>
          <w:u w:val="single"/>
        </w:rPr>
      </w:pPr>
      <w:r>
        <w:rPr>
          <w:rFonts w:hint="eastAsia" w:hAnsi="宋体"/>
          <w:color w:val="auto"/>
          <w:u w:val="single"/>
        </w:rPr>
        <w:t>（</w:t>
      </w:r>
      <w:r>
        <w:rPr>
          <w:rFonts w:hint="eastAsia" w:hAnsi="宋体"/>
          <w:color w:val="auto"/>
          <w:u w:val="single"/>
          <w:lang w:val="en-US" w:eastAsia="zh-CN"/>
        </w:rPr>
        <w:t>2</w:t>
      </w:r>
      <w:r>
        <w:rPr>
          <w:rFonts w:hint="eastAsia" w:hAnsi="宋体"/>
          <w:color w:val="auto"/>
          <w:u w:val="single"/>
        </w:rPr>
        <w:t>）</w:t>
      </w:r>
      <w:r>
        <w:rPr>
          <w:rFonts w:hAnsi="宋体"/>
          <w:color w:val="auto"/>
          <w:u w:val="single"/>
        </w:rPr>
        <w:t>污水排放流量（</w:t>
      </w:r>
      <w:r>
        <w:rPr>
          <w:color w:val="auto"/>
          <w:u w:val="single"/>
        </w:rPr>
        <w:t>Q</w:t>
      </w:r>
      <w:r>
        <w:rPr>
          <w:color w:val="auto"/>
          <w:u w:val="single"/>
          <w:vertAlign w:val="subscript"/>
        </w:rPr>
        <w:t>p</w:t>
      </w:r>
      <w:r>
        <w:rPr>
          <w:rFonts w:hAnsi="宋体"/>
          <w:color w:val="auto"/>
          <w:u w:val="single"/>
        </w:rPr>
        <w:t>）</w:t>
      </w:r>
    </w:p>
    <w:p>
      <w:pPr>
        <w:numPr>
          <w:ilvl w:val="0"/>
          <w:numId w:val="0"/>
        </w:numPr>
        <w:ind w:left="480" w:leftChars="0" w:firstLine="240" w:firstLineChars="100"/>
        <w:jc w:val="both"/>
        <w:rPr>
          <w:color w:val="auto"/>
          <w:u w:val="single"/>
        </w:rPr>
      </w:pPr>
      <w:r>
        <w:rPr>
          <w:rFonts w:hAnsi="宋体"/>
          <w:color w:val="auto"/>
          <w:u w:val="single"/>
        </w:rPr>
        <w:t>排放流量为</w:t>
      </w:r>
      <w:r>
        <w:rPr>
          <w:rFonts w:hint="eastAsia"/>
          <w:color w:val="auto"/>
          <w:u w:val="single"/>
          <w:lang w:val="en-US" w:eastAsia="zh-CN"/>
        </w:rPr>
        <w:t>1000</w:t>
      </w:r>
      <w:r>
        <w:rPr>
          <w:color w:val="auto"/>
          <w:u w:val="single"/>
        </w:rPr>
        <w:t>m</w:t>
      </w:r>
      <w:r>
        <w:rPr>
          <w:color w:val="auto"/>
          <w:u w:val="single"/>
          <w:vertAlign w:val="superscript"/>
        </w:rPr>
        <w:t>3</w:t>
      </w:r>
      <w:r>
        <w:rPr>
          <w:color w:val="auto"/>
          <w:u w:val="single"/>
        </w:rPr>
        <w:t>/d</w:t>
      </w:r>
      <w:r>
        <w:rPr>
          <w:rFonts w:hAnsi="宋体"/>
          <w:color w:val="auto"/>
          <w:u w:val="single"/>
        </w:rPr>
        <w:t>，即</w:t>
      </w:r>
      <w:r>
        <w:rPr>
          <w:color w:val="auto"/>
          <w:u w:val="single"/>
        </w:rPr>
        <w:t>0.</w:t>
      </w:r>
      <w:r>
        <w:rPr>
          <w:rFonts w:hint="eastAsia"/>
          <w:color w:val="auto"/>
          <w:u w:val="single"/>
          <w:lang w:val="en-US" w:eastAsia="zh-CN"/>
        </w:rPr>
        <w:t>0116</w:t>
      </w:r>
      <w:r>
        <w:rPr>
          <w:color w:val="auto"/>
          <w:u w:val="single"/>
        </w:rPr>
        <w:t>m</w:t>
      </w:r>
      <w:r>
        <w:rPr>
          <w:color w:val="auto"/>
          <w:u w:val="single"/>
          <w:vertAlign w:val="superscript"/>
        </w:rPr>
        <w:t>3</w:t>
      </w:r>
      <w:r>
        <w:rPr>
          <w:color w:val="auto"/>
          <w:u w:val="single"/>
        </w:rPr>
        <w:t>/s</w:t>
      </w:r>
      <w:r>
        <w:rPr>
          <w:rFonts w:hAnsi="宋体"/>
          <w:color w:val="auto"/>
          <w:u w:val="single"/>
        </w:rPr>
        <w:t>。</w:t>
      </w:r>
    </w:p>
    <w:p>
      <w:pPr>
        <w:ind w:firstLine="560"/>
        <w:jc w:val="both"/>
        <w:rPr>
          <w:color w:val="auto"/>
          <w:u w:val="single"/>
        </w:rPr>
      </w:pPr>
      <w:r>
        <w:rPr>
          <w:rFonts w:hint="eastAsia" w:hAnsi="宋体"/>
          <w:color w:val="auto"/>
          <w:u w:val="single"/>
        </w:rPr>
        <w:t>（3）</w:t>
      </w:r>
      <w:r>
        <w:rPr>
          <w:rFonts w:hAnsi="宋体"/>
          <w:color w:val="auto"/>
          <w:u w:val="single"/>
        </w:rPr>
        <w:t>水质目标值（</w:t>
      </w:r>
      <w:r>
        <w:rPr>
          <w:color w:val="auto"/>
          <w:u w:val="single"/>
        </w:rPr>
        <w:t>C</w:t>
      </w:r>
      <w:r>
        <w:rPr>
          <w:color w:val="auto"/>
          <w:u w:val="single"/>
          <w:vertAlign w:val="subscript"/>
        </w:rPr>
        <w:t>s</w:t>
      </w:r>
      <w:r>
        <w:rPr>
          <w:rFonts w:hAnsi="宋体"/>
          <w:color w:val="auto"/>
          <w:u w:val="single"/>
        </w:rPr>
        <w:t>）</w:t>
      </w:r>
    </w:p>
    <w:p>
      <w:pPr>
        <w:ind w:firstLine="560"/>
        <w:jc w:val="both"/>
        <w:rPr>
          <w:color w:val="auto"/>
          <w:u w:val="single"/>
        </w:rPr>
      </w:pPr>
      <w:r>
        <w:rPr>
          <w:rFonts w:hAnsi="宋体"/>
          <w:color w:val="auto"/>
          <w:u w:val="single"/>
        </w:rPr>
        <w:t>《地表水环境质量标准》（</w:t>
      </w:r>
      <w:r>
        <w:rPr>
          <w:color w:val="auto"/>
          <w:u w:val="single"/>
        </w:rPr>
        <w:t>GB3838-2002</w:t>
      </w:r>
      <w:r>
        <w:rPr>
          <w:rFonts w:hAnsi="宋体"/>
          <w:color w:val="auto"/>
          <w:u w:val="single"/>
        </w:rPr>
        <w:t>）中规定的</w:t>
      </w:r>
      <w:r>
        <w:rPr>
          <w:rFonts w:hint="eastAsia" w:ascii="宋体" w:hAnsi="宋体" w:cs="宋体"/>
          <w:color w:val="auto"/>
          <w:u w:val="single"/>
          <w:lang w:eastAsia="zh-CN"/>
        </w:rPr>
        <w:t>Ⅲ</w:t>
      </w:r>
      <w:r>
        <w:rPr>
          <w:rFonts w:hAnsi="宋体"/>
          <w:color w:val="auto"/>
          <w:u w:val="single"/>
        </w:rPr>
        <w:t>类水水质标准：</w:t>
      </w:r>
      <w:r>
        <w:rPr>
          <w:color w:val="auto"/>
          <w:u w:val="single"/>
        </w:rPr>
        <w:t xml:space="preserve">COD </w:t>
      </w:r>
      <w:r>
        <w:rPr>
          <w:rFonts w:hint="eastAsia"/>
          <w:color w:val="auto"/>
          <w:u w:val="single"/>
          <w:lang w:val="en-US" w:eastAsia="zh-CN"/>
        </w:rPr>
        <w:t>20</w:t>
      </w:r>
      <w:r>
        <w:rPr>
          <w:color w:val="auto"/>
          <w:u w:val="single"/>
        </w:rPr>
        <w:t>mg/L</w:t>
      </w:r>
      <w:r>
        <w:rPr>
          <w:rFonts w:hAnsi="宋体"/>
          <w:color w:val="auto"/>
          <w:u w:val="single"/>
        </w:rPr>
        <w:t>、</w:t>
      </w:r>
      <w:r>
        <w:rPr>
          <w:color w:val="auto"/>
          <w:u w:val="single"/>
        </w:rPr>
        <w:t>NH</w:t>
      </w:r>
      <w:r>
        <w:rPr>
          <w:color w:val="auto"/>
          <w:u w:val="single"/>
          <w:vertAlign w:val="subscript"/>
        </w:rPr>
        <w:t>3</w:t>
      </w:r>
      <w:r>
        <w:rPr>
          <w:color w:val="auto"/>
          <w:u w:val="single"/>
        </w:rPr>
        <w:t>-N</w:t>
      </w:r>
      <w:r>
        <w:rPr>
          <w:rFonts w:hint="eastAsia"/>
          <w:color w:val="auto"/>
          <w:u w:val="single"/>
          <w:lang w:val="en-US" w:eastAsia="zh-CN"/>
        </w:rPr>
        <w:t xml:space="preserve"> 1</w:t>
      </w:r>
      <w:r>
        <w:rPr>
          <w:color w:val="auto"/>
          <w:u w:val="single"/>
        </w:rPr>
        <w:t>mg/L</w:t>
      </w:r>
      <w:r>
        <w:rPr>
          <w:rFonts w:hint="eastAsia"/>
          <w:color w:val="auto"/>
          <w:u w:val="single"/>
          <w:lang w:eastAsia="zh-CN"/>
        </w:rPr>
        <w:t>、</w:t>
      </w:r>
      <w:r>
        <w:rPr>
          <w:rFonts w:hint="eastAsia"/>
          <w:color w:val="auto"/>
          <w:u w:val="single"/>
          <w:lang w:val="en-US" w:eastAsia="zh-CN"/>
        </w:rPr>
        <w:t>TP 0.2</w:t>
      </w:r>
      <w:r>
        <w:rPr>
          <w:color w:val="auto"/>
          <w:u w:val="single"/>
        </w:rPr>
        <w:t>mg/L</w:t>
      </w:r>
      <w:r>
        <w:rPr>
          <w:rFonts w:hAnsi="宋体"/>
          <w:color w:val="auto"/>
          <w:u w:val="single"/>
        </w:rPr>
        <w:t>。</w:t>
      </w:r>
    </w:p>
    <w:p>
      <w:pPr>
        <w:ind w:firstLine="560"/>
        <w:jc w:val="both"/>
        <w:rPr>
          <w:color w:val="auto"/>
          <w:u w:val="single"/>
        </w:rPr>
      </w:pPr>
      <w:r>
        <w:rPr>
          <w:rFonts w:hint="eastAsia" w:hAnsi="宋体"/>
          <w:color w:val="auto"/>
          <w:u w:val="single"/>
        </w:rPr>
        <w:t>（4）</w:t>
      </w:r>
      <w:r>
        <w:rPr>
          <w:rFonts w:hAnsi="宋体"/>
          <w:color w:val="auto"/>
          <w:u w:val="single"/>
        </w:rPr>
        <w:t>初始浓度值（</w:t>
      </w:r>
      <w:r>
        <w:rPr>
          <w:color w:val="auto"/>
          <w:u w:val="single"/>
        </w:rPr>
        <w:t>C</w:t>
      </w:r>
      <w:r>
        <w:rPr>
          <w:color w:val="auto"/>
          <w:u w:val="single"/>
          <w:vertAlign w:val="subscript"/>
        </w:rPr>
        <w:t>o</w:t>
      </w:r>
      <w:r>
        <w:rPr>
          <w:rFonts w:hAnsi="宋体"/>
          <w:color w:val="auto"/>
          <w:u w:val="single"/>
        </w:rPr>
        <w:t>）</w:t>
      </w:r>
    </w:p>
    <w:p>
      <w:pPr>
        <w:ind w:firstLine="560"/>
        <w:jc w:val="both"/>
        <w:rPr>
          <w:rFonts w:hAnsi="宋体"/>
          <w:color w:val="auto"/>
          <w:u w:val="single"/>
        </w:rPr>
      </w:pPr>
      <w:r>
        <w:rPr>
          <w:rFonts w:hAnsi="宋体"/>
          <w:color w:val="auto"/>
          <w:u w:val="single"/>
        </w:rPr>
        <w:t>采用</w:t>
      </w:r>
      <w:r>
        <w:rPr>
          <w:rFonts w:hint="eastAsia" w:hAnsi="宋体"/>
          <w:color w:val="auto"/>
          <w:u w:val="single"/>
        </w:rPr>
        <w:t>排污口上游</w:t>
      </w:r>
      <w:r>
        <w:rPr>
          <w:rFonts w:hint="eastAsia" w:hAnsi="宋体"/>
          <w:color w:val="auto"/>
          <w:u w:val="single"/>
          <w:lang w:val="en-US" w:eastAsia="zh-CN"/>
        </w:rPr>
        <w:t>500</w:t>
      </w:r>
      <w:r>
        <w:rPr>
          <w:rFonts w:hAnsi="宋体"/>
          <w:color w:val="auto"/>
          <w:u w:val="single"/>
        </w:rPr>
        <w:t>m</w:t>
      </w:r>
      <w:r>
        <w:rPr>
          <w:rFonts w:hint="eastAsia" w:hAnsi="宋体"/>
          <w:color w:val="auto"/>
          <w:u w:val="single"/>
        </w:rPr>
        <w:t>处的浓度值：</w:t>
      </w:r>
      <w:r>
        <w:rPr>
          <w:color w:val="auto"/>
          <w:u w:val="single"/>
        </w:rPr>
        <w:t>COD</w:t>
      </w:r>
      <w:r>
        <w:rPr>
          <w:color w:val="auto"/>
          <w:u w:val="single"/>
          <w:vertAlign w:val="subscript"/>
        </w:rPr>
        <w:t xml:space="preserve"> </w:t>
      </w:r>
      <w:r>
        <w:rPr>
          <w:rFonts w:hint="eastAsia"/>
          <w:color w:val="auto"/>
          <w:u w:val="single"/>
          <w:lang w:val="en-US" w:eastAsia="zh-CN"/>
        </w:rPr>
        <w:t>13</w:t>
      </w:r>
      <w:r>
        <w:rPr>
          <w:color w:val="auto"/>
          <w:u w:val="single"/>
        </w:rPr>
        <w:t>mg/L</w:t>
      </w:r>
      <w:r>
        <w:rPr>
          <w:rFonts w:hAnsi="宋体"/>
          <w:color w:val="auto"/>
          <w:u w:val="single"/>
        </w:rPr>
        <w:t>、</w:t>
      </w:r>
      <w:r>
        <w:rPr>
          <w:color w:val="auto"/>
          <w:u w:val="single"/>
        </w:rPr>
        <w:t>NH</w:t>
      </w:r>
      <w:r>
        <w:rPr>
          <w:color w:val="auto"/>
          <w:u w:val="single"/>
          <w:vertAlign w:val="subscript"/>
        </w:rPr>
        <w:t>3</w:t>
      </w:r>
      <w:r>
        <w:rPr>
          <w:color w:val="auto"/>
          <w:u w:val="single"/>
        </w:rPr>
        <w:t>-N</w:t>
      </w:r>
      <w:r>
        <w:rPr>
          <w:rFonts w:hint="eastAsia"/>
          <w:color w:val="auto"/>
          <w:u w:val="single"/>
          <w:lang w:val="en-US" w:eastAsia="zh-CN"/>
        </w:rPr>
        <w:t xml:space="preserve"> </w:t>
      </w:r>
      <w:r>
        <w:rPr>
          <w:rFonts w:hint="eastAsia"/>
          <w:u w:val="single"/>
          <w:lang w:val="en-US" w:eastAsia="zh-CN"/>
        </w:rPr>
        <w:t>0.3</w:t>
      </w:r>
      <w:r>
        <w:rPr>
          <w:color w:val="auto"/>
          <w:u w:val="single"/>
        </w:rPr>
        <w:t>mg/L</w:t>
      </w:r>
      <w:r>
        <w:rPr>
          <w:rFonts w:hint="eastAsia"/>
          <w:color w:val="auto"/>
          <w:u w:val="single"/>
          <w:lang w:eastAsia="zh-CN"/>
        </w:rPr>
        <w:t>、</w:t>
      </w:r>
      <w:r>
        <w:rPr>
          <w:rFonts w:hint="eastAsia"/>
          <w:color w:val="auto"/>
          <w:u w:val="single"/>
          <w:lang w:val="en-US" w:eastAsia="zh-CN"/>
        </w:rPr>
        <w:t>TP 0.06</w:t>
      </w:r>
      <w:r>
        <w:rPr>
          <w:color w:val="auto"/>
          <w:u w:val="single"/>
        </w:rPr>
        <w:t>mg/L</w:t>
      </w:r>
      <w:r>
        <w:rPr>
          <w:rFonts w:hAnsi="宋体"/>
          <w:color w:val="auto"/>
          <w:u w:val="single"/>
        </w:rPr>
        <w:t>。</w:t>
      </w:r>
    </w:p>
    <w:p>
      <w:pPr>
        <w:bidi w:val="0"/>
        <w:jc w:val="both"/>
        <w:rPr>
          <w:rFonts w:hint="eastAsia"/>
          <w:u w:val="single"/>
          <w:lang w:val="en-US" w:eastAsia="zh-CN"/>
        </w:rPr>
      </w:pPr>
      <w:r>
        <w:rPr>
          <w:rFonts w:hint="eastAsia"/>
          <w:u w:val="single"/>
          <w:lang w:val="en-US" w:eastAsia="zh-CN"/>
        </w:rPr>
        <w:t>根据排水去向，正常运行期经污水管排入猛洞河污水水量为1000m</w:t>
      </w:r>
      <w:r>
        <w:rPr>
          <w:rFonts w:hint="eastAsia"/>
          <w:u w:val="single"/>
          <w:vertAlign w:val="superscript"/>
          <w:lang w:val="en-US" w:eastAsia="zh-CN"/>
        </w:rPr>
        <w:t>3</w:t>
      </w:r>
      <w:r>
        <w:rPr>
          <w:rFonts w:hint="eastAsia"/>
          <w:u w:val="single"/>
          <w:lang w:val="en-US" w:eastAsia="zh-CN"/>
        </w:rPr>
        <w:t>/d。污水排放标准按一级A类标准控制，该区域水质按《地表水环境质量标准》（GB3838-2002）Ⅲ类标准控制，即COD：20 mg/L；NH</w:t>
      </w:r>
      <w:r>
        <w:rPr>
          <w:rFonts w:hint="eastAsia"/>
          <w:u w:val="single"/>
          <w:vertAlign w:val="subscript"/>
          <w:lang w:val="en-US" w:eastAsia="zh-CN"/>
        </w:rPr>
        <w:t>3</w:t>
      </w:r>
      <w:r>
        <w:rPr>
          <w:rFonts w:hint="eastAsia"/>
          <w:u w:val="single"/>
          <w:lang w:val="en-US" w:eastAsia="zh-CN"/>
        </w:rPr>
        <w:t>-N：1 mg/L；TP：0.2mg/L。</w:t>
      </w:r>
    </w:p>
    <w:p>
      <w:pPr>
        <w:bidi w:val="0"/>
        <w:jc w:val="both"/>
        <w:rPr>
          <w:rFonts w:hint="eastAsia"/>
          <w:u w:val="single"/>
          <w:lang w:val="en-US" w:eastAsia="zh-CN"/>
        </w:rPr>
      </w:pPr>
      <w:r>
        <w:rPr>
          <w:rFonts w:hint="eastAsia"/>
          <w:u w:val="single"/>
          <w:lang w:val="en-US" w:eastAsia="zh-CN"/>
        </w:rPr>
        <w:t>模型计算时H按枯水期进行计算，参数具体见下表。</w:t>
      </w:r>
    </w:p>
    <w:p>
      <w:pPr>
        <w:pStyle w:val="74"/>
        <w:rPr>
          <w:color w:val="auto"/>
          <w:u w:val="single"/>
        </w:rPr>
      </w:pPr>
      <w:r>
        <w:rPr>
          <w:color w:val="auto"/>
          <w:u w:val="single"/>
        </w:rPr>
        <w:t xml:space="preserve">表 </w:t>
      </w:r>
      <w:r>
        <w:rPr>
          <w:rFonts w:hint="eastAsia"/>
          <w:color w:val="auto"/>
          <w:u w:val="single"/>
          <w:lang w:val="en-US" w:eastAsia="zh-CN"/>
        </w:rPr>
        <w:t>8.5</w:t>
      </w:r>
      <w:r>
        <w:rPr>
          <w:color w:val="auto"/>
          <w:u w:val="single"/>
        </w:rPr>
        <w:noBreakHyphen/>
      </w:r>
      <w:r>
        <w:rPr>
          <w:rFonts w:hint="eastAsia"/>
          <w:color w:val="auto"/>
          <w:u w:val="single"/>
          <w:lang w:val="en-US" w:eastAsia="zh-CN"/>
        </w:rPr>
        <w:t>2</w:t>
      </w:r>
      <w:r>
        <w:rPr>
          <w:color w:val="auto"/>
          <w:u w:val="single"/>
        </w:rPr>
        <w:t>水质预测参数选定（枯水期）</w:t>
      </w:r>
    </w:p>
    <w:tbl>
      <w:tblPr>
        <w:tblStyle w:val="36"/>
        <w:tblW w:w="50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70"/>
        <w:gridCol w:w="12"/>
        <w:gridCol w:w="1300"/>
        <w:gridCol w:w="1323"/>
        <w:gridCol w:w="1701"/>
        <w:gridCol w:w="1413"/>
        <w:gridCol w:w="16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5" w:hRule="exact"/>
          <w:jc w:val="center"/>
        </w:trPr>
        <w:tc>
          <w:tcPr>
            <w:tcW w:w="732" w:type="pct"/>
            <w:tcBorders>
              <w:top w:val="single" w:color="auto" w:sz="12" w:space="0"/>
              <w:left w:val="single" w:color="auto" w:sz="8" w:space="0"/>
              <w:bottom w:val="single" w:color="auto" w:sz="8" w:space="0"/>
              <w:right w:val="single" w:color="auto" w:sz="4" w:space="0"/>
            </w:tcBorders>
            <w:noWrap w:val="0"/>
            <w:vAlign w:val="center"/>
          </w:tcPr>
          <w:p>
            <w:pPr>
              <w:pStyle w:val="73"/>
              <w:rPr>
                <w:rFonts w:ascii="Times New Roman" w:hAnsi="Times New Roman"/>
                <w:b w:val="0"/>
                <w:bCs/>
                <w:color w:val="auto"/>
                <w:sz w:val="21"/>
                <w:szCs w:val="21"/>
                <w:u w:val="single"/>
              </w:rPr>
            </w:pPr>
          </w:p>
        </w:tc>
        <w:tc>
          <w:tcPr>
            <w:tcW w:w="755" w:type="pct"/>
            <w:gridSpan w:val="2"/>
            <w:tcBorders>
              <w:top w:val="single" w:color="auto" w:sz="12" w:space="0"/>
              <w:left w:val="single" w:color="auto" w:sz="4" w:space="0"/>
              <w:bottom w:val="single" w:color="auto" w:sz="8" w:space="0"/>
              <w:right w:val="single" w:color="auto" w:sz="4" w:space="0"/>
            </w:tcBorders>
            <w:noWrap w:val="0"/>
            <w:vAlign w:val="center"/>
          </w:tcPr>
          <w:p>
            <w:pPr>
              <w:pStyle w:val="73"/>
              <w:rPr>
                <w:rFonts w:ascii="Times New Roman" w:hAnsi="Times New Roman"/>
                <w:b w:val="0"/>
                <w:bCs/>
                <w:color w:val="auto"/>
                <w:sz w:val="21"/>
                <w:szCs w:val="21"/>
                <w:u w:val="single"/>
              </w:rPr>
            </w:pPr>
          </w:p>
        </w:tc>
        <w:tc>
          <w:tcPr>
            <w:tcW w:w="1742" w:type="pct"/>
            <w:gridSpan w:val="2"/>
            <w:tcBorders>
              <w:top w:val="single" w:color="auto" w:sz="12" w:space="0"/>
              <w:left w:val="single" w:color="auto" w:sz="4" w:space="0"/>
              <w:bottom w:val="single" w:color="auto" w:sz="8" w:space="0"/>
              <w:right w:val="single" w:color="auto" w:sz="4"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正常排放</w:t>
            </w:r>
          </w:p>
        </w:tc>
        <w:tc>
          <w:tcPr>
            <w:tcW w:w="1769" w:type="pct"/>
            <w:gridSpan w:val="2"/>
            <w:tcBorders>
              <w:top w:val="single" w:color="auto" w:sz="12" w:space="0"/>
              <w:left w:val="single" w:color="auto" w:sz="4"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非正常排放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tcBorders>
              <w:top w:val="single" w:color="auto" w:sz="8" w:space="0"/>
              <w:left w:val="single" w:color="auto" w:sz="8" w:space="0"/>
              <w:bottom w:val="single" w:color="auto" w:sz="8" w:space="0"/>
              <w:right w:val="single" w:color="auto" w:sz="4"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参数</w:t>
            </w:r>
          </w:p>
        </w:tc>
        <w:tc>
          <w:tcPr>
            <w:tcW w:w="749" w:type="pct"/>
            <w:tcBorders>
              <w:top w:val="single" w:color="auto" w:sz="8" w:space="0"/>
              <w:left w:val="single" w:color="auto" w:sz="4" w:space="0"/>
              <w:bottom w:val="single" w:color="auto" w:sz="8" w:space="0"/>
              <w:right w:val="single" w:color="auto" w:sz="4"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单位</w:t>
            </w:r>
          </w:p>
        </w:tc>
        <w:tc>
          <w:tcPr>
            <w:tcW w:w="1742" w:type="pct"/>
            <w:gridSpan w:val="2"/>
            <w:tcBorders>
              <w:top w:val="single" w:color="auto" w:sz="8" w:space="0"/>
              <w:left w:val="single" w:color="auto" w:sz="4"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取值</w:t>
            </w:r>
          </w:p>
        </w:tc>
        <w:tc>
          <w:tcPr>
            <w:tcW w:w="1769" w:type="pct"/>
            <w:gridSpan w:val="2"/>
            <w:tcBorders>
              <w:top w:val="single" w:color="auto" w:sz="8" w:space="0"/>
              <w:left w:val="single" w:color="auto" w:sz="4"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取值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tcBorders>
              <w:top w:val="single" w:color="auto" w:sz="8" w:space="0"/>
              <w:left w:val="single" w:color="auto" w:sz="8" w:space="0"/>
              <w:bottom w:val="single" w:color="auto" w:sz="8" w:space="0"/>
              <w:right w:val="single" w:color="auto" w:sz="4"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c</w:t>
            </w:r>
          </w:p>
        </w:tc>
        <w:tc>
          <w:tcPr>
            <w:tcW w:w="749" w:type="pct"/>
            <w:tcBorders>
              <w:top w:val="single" w:color="auto" w:sz="8" w:space="0"/>
              <w:left w:val="single" w:color="auto" w:sz="4" w:space="0"/>
              <w:bottom w:val="single" w:color="auto" w:sz="8" w:space="0"/>
              <w:right w:val="single" w:color="auto" w:sz="4" w:space="0"/>
            </w:tcBorders>
            <w:noWrap w:val="0"/>
            <w:vAlign w:val="center"/>
          </w:tcPr>
          <w:p>
            <w:pPr>
              <w:pStyle w:val="73"/>
              <w:rPr>
                <w:rFonts w:ascii="Times New Roman" w:hAnsi="Times New Roman"/>
                <w:b w:val="0"/>
                <w:bCs/>
                <w:color w:val="auto"/>
                <w:sz w:val="21"/>
                <w:szCs w:val="21"/>
                <w:u w:val="single"/>
              </w:rPr>
            </w:pPr>
            <w:r>
              <w:rPr>
                <w:rFonts w:hint="eastAsia" w:ascii="Times New Roman" w:hAnsi="Times New Roman"/>
                <w:b w:val="0"/>
                <w:bCs/>
                <w:color w:val="auto"/>
                <w:sz w:val="21"/>
                <w:szCs w:val="21"/>
                <w:u w:val="single"/>
              </w:rPr>
              <w:t>/</w:t>
            </w:r>
          </w:p>
        </w:tc>
        <w:tc>
          <w:tcPr>
            <w:tcW w:w="1742" w:type="pct"/>
            <w:gridSpan w:val="2"/>
            <w:tcBorders>
              <w:top w:val="single" w:color="auto" w:sz="8" w:space="0"/>
              <w:left w:val="single" w:color="auto" w:sz="4"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hint="eastAsia" w:ascii="Times New Roman" w:hAnsi="Times New Roman"/>
                <w:b w:val="0"/>
                <w:bCs/>
                <w:color w:val="auto"/>
                <w:sz w:val="21"/>
                <w:szCs w:val="21"/>
                <w:u w:val="single"/>
              </w:rPr>
              <w:t>0</w:t>
            </w:r>
            <w:r>
              <w:rPr>
                <w:rFonts w:ascii="Times New Roman" w:hAnsi="Times New Roman"/>
                <w:b w:val="0"/>
                <w:bCs/>
                <w:color w:val="auto"/>
                <w:sz w:val="21"/>
                <w:szCs w:val="21"/>
                <w:u w:val="single"/>
              </w:rPr>
              <w:t>.6</w:t>
            </w:r>
          </w:p>
        </w:tc>
        <w:tc>
          <w:tcPr>
            <w:tcW w:w="1769" w:type="pct"/>
            <w:gridSpan w:val="2"/>
            <w:tcBorders>
              <w:top w:val="single" w:color="auto" w:sz="8" w:space="0"/>
              <w:left w:val="single" w:color="auto" w:sz="4"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hint="eastAsia" w:ascii="Times New Roman" w:hAnsi="Times New Roman"/>
                <w:b w:val="0"/>
                <w:bCs/>
                <w:color w:val="auto"/>
                <w:sz w:val="21"/>
                <w:szCs w:val="21"/>
                <w:u w:val="single"/>
              </w:rPr>
              <w:t>0</w:t>
            </w:r>
            <w:r>
              <w:rPr>
                <w:rFonts w:ascii="Times New Roman" w:hAnsi="Times New Roman"/>
                <w:b w:val="0"/>
                <w:bCs/>
                <w:color w:val="auto"/>
                <w:sz w:val="21"/>
                <w:szCs w:val="21"/>
                <w:u w:val="single"/>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vMerge w:val="restart"/>
            <w:tcBorders>
              <w:top w:val="single" w:color="auto" w:sz="8" w:space="0"/>
              <w:left w:val="single" w:color="auto" w:sz="8" w:space="0"/>
              <w:bottom w:val="single" w:color="auto" w:sz="8" w:space="0"/>
              <w:right w:val="single" w:color="auto" w:sz="4" w:space="0"/>
            </w:tcBorders>
            <w:noWrap w:val="0"/>
            <w:vAlign w:val="center"/>
          </w:tcPr>
          <w:p>
            <w:pPr>
              <w:pStyle w:val="73"/>
              <w:rPr>
                <w:rFonts w:ascii="Times New Roman" w:hAnsi="Times New Roman"/>
                <w:b w:val="0"/>
                <w:bCs/>
                <w:color w:val="0000FF"/>
                <w:sz w:val="21"/>
                <w:szCs w:val="21"/>
                <w:u w:val="single"/>
              </w:rPr>
            </w:pPr>
            <w:r>
              <w:rPr>
                <w:rFonts w:ascii="Times New Roman" w:hAnsi="Times New Roman"/>
                <w:b w:val="0"/>
                <w:bCs/>
                <w:color w:val="0000FF"/>
                <w:sz w:val="21"/>
                <w:szCs w:val="21"/>
                <w:u w:val="single"/>
              </w:rPr>
              <w:object>
                <v:shape id="_x0000_i1074" o:spt="75" type="#_x0000_t75" style="height:18pt;width:30pt;" o:ole="t" filled="f" o:preferrelative="t" stroked="f" coordsize="21600,21600">
                  <v:path/>
                  <v:fill on="f" focussize="0,0"/>
                  <v:stroke on="f"/>
                  <v:imagedata r:id="rId108" o:title=""/>
                  <o:lock v:ext="edit" aspectratio="t"/>
                  <w10:wrap type="none"/>
                  <w10:anchorlock/>
                </v:shape>
                <o:OLEObject Type="Embed" ProgID="Equation.3" ShapeID="_x0000_i1074" DrawAspect="Content" ObjectID="_1468075772" r:id="rId140">
                  <o:LockedField>false</o:LockedField>
                </o:OLEObject>
              </w:object>
            </w:r>
          </w:p>
        </w:tc>
        <w:tc>
          <w:tcPr>
            <w:tcW w:w="749" w:type="pct"/>
            <w:vMerge w:val="restart"/>
            <w:tcBorders>
              <w:top w:val="single" w:color="auto" w:sz="8" w:space="0"/>
              <w:left w:val="single" w:color="auto" w:sz="4" w:space="0"/>
              <w:bottom w:val="single" w:color="auto" w:sz="8" w:space="0"/>
              <w:right w:val="single" w:color="auto" w:sz="4"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mg/L</w:t>
            </w:r>
          </w:p>
        </w:tc>
        <w:tc>
          <w:tcPr>
            <w:tcW w:w="762" w:type="pct"/>
            <w:tcBorders>
              <w:top w:val="single" w:color="auto" w:sz="8" w:space="0"/>
              <w:left w:val="single" w:color="auto" w:sz="4"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COD</w:t>
            </w:r>
          </w:p>
        </w:tc>
        <w:tc>
          <w:tcPr>
            <w:tcW w:w="979"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5</w:t>
            </w:r>
            <w:r>
              <w:rPr>
                <w:rFonts w:hint="eastAsia" w:ascii="Times New Roman" w:hAnsi="Times New Roman"/>
                <w:b w:val="0"/>
                <w:bCs/>
                <w:color w:val="auto"/>
                <w:sz w:val="21"/>
                <w:szCs w:val="21"/>
                <w:u w:val="single"/>
              </w:rPr>
              <w:t>0</w:t>
            </w:r>
          </w:p>
        </w:tc>
        <w:tc>
          <w:tcPr>
            <w:tcW w:w="814"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COD</w:t>
            </w:r>
          </w:p>
        </w:tc>
        <w:tc>
          <w:tcPr>
            <w:tcW w:w="955" w:type="pct"/>
            <w:tcBorders>
              <w:top w:val="single" w:color="auto" w:sz="8" w:space="0"/>
              <w:left w:val="single" w:color="auto" w:sz="8" w:space="0"/>
              <w:bottom w:val="single" w:color="auto" w:sz="8" w:space="0"/>
              <w:right w:val="single" w:color="auto" w:sz="8" w:space="0"/>
            </w:tcBorders>
            <w:noWrap w:val="0"/>
            <w:vAlign w:val="center"/>
          </w:tcPr>
          <w:p>
            <w:pPr>
              <w:pStyle w:val="73"/>
              <w:rPr>
                <w:rFonts w:hint="default" w:ascii="Times New Roman" w:hAnsi="Times New Roman" w:eastAsia="宋体"/>
                <w:b w:val="0"/>
                <w:bCs/>
                <w:color w:val="auto"/>
                <w:sz w:val="21"/>
                <w:szCs w:val="21"/>
                <w:u w:val="single"/>
                <w:lang w:val="en-US" w:eastAsia="zh-CN"/>
              </w:rPr>
            </w:pPr>
            <w:r>
              <w:rPr>
                <w:rFonts w:ascii="Times New Roman" w:hAnsi="Times New Roman"/>
                <w:b w:val="0"/>
                <w:bCs/>
                <w:color w:val="auto"/>
                <w:sz w:val="21"/>
                <w:szCs w:val="21"/>
                <w:u w:val="single"/>
              </w:rPr>
              <w:t>3</w:t>
            </w:r>
            <w:r>
              <w:rPr>
                <w:rFonts w:hint="eastAsia" w:ascii="Times New Roman" w:hAnsi="Times New Roman"/>
                <w:b w:val="0"/>
                <w:bCs/>
                <w:color w:val="auto"/>
                <w:sz w:val="21"/>
                <w:szCs w:val="21"/>
                <w:u w:val="single"/>
                <w:lang w:val="en-US" w:eastAsia="zh-CN"/>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vMerge w:val="continue"/>
            <w:tcBorders>
              <w:top w:val="single" w:color="auto" w:sz="8" w:space="0"/>
              <w:left w:val="single" w:color="auto" w:sz="8" w:space="0"/>
              <w:bottom w:val="single" w:color="auto" w:sz="8" w:space="0"/>
              <w:right w:val="single" w:color="auto" w:sz="4" w:space="0"/>
            </w:tcBorders>
            <w:noWrap w:val="0"/>
            <w:vAlign w:val="center"/>
          </w:tcPr>
          <w:p>
            <w:pPr>
              <w:pStyle w:val="73"/>
              <w:rPr>
                <w:rFonts w:ascii="Times New Roman" w:hAnsi="Times New Roman"/>
                <w:b w:val="0"/>
                <w:bCs/>
                <w:color w:val="0000FF"/>
                <w:sz w:val="21"/>
                <w:szCs w:val="21"/>
                <w:u w:val="single"/>
              </w:rPr>
            </w:pPr>
          </w:p>
        </w:tc>
        <w:tc>
          <w:tcPr>
            <w:tcW w:w="749" w:type="pct"/>
            <w:vMerge w:val="continue"/>
            <w:tcBorders>
              <w:top w:val="single" w:color="auto" w:sz="8" w:space="0"/>
              <w:left w:val="single" w:color="auto" w:sz="4" w:space="0"/>
              <w:bottom w:val="single" w:color="auto" w:sz="8" w:space="0"/>
              <w:right w:val="single" w:color="auto" w:sz="4" w:space="0"/>
            </w:tcBorders>
            <w:noWrap w:val="0"/>
            <w:vAlign w:val="center"/>
          </w:tcPr>
          <w:p>
            <w:pPr>
              <w:pStyle w:val="73"/>
              <w:rPr>
                <w:rFonts w:ascii="Times New Roman" w:hAnsi="Times New Roman"/>
                <w:b w:val="0"/>
                <w:bCs/>
                <w:color w:val="auto"/>
                <w:sz w:val="21"/>
                <w:szCs w:val="21"/>
                <w:u w:val="single"/>
              </w:rPr>
            </w:pPr>
          </w:p>
        </w:tc>
        <w:tc>
          <w:tcPr>
            <w:tcW w:w="762" w:type="pct"/>
            <w:tcBorders>
              <w:top w:val="single" w:color="auto" w:sz="8" w:space="0"/>
              <w:left w:val="single" w:color="auto" w:sz="4"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NH</w:t>
            </w:r>
            <w:r>
              <w:rPr>
                <w:rFonts w:ascii="Times New Roman" w:hAnsi="Times New Roman"/>
                <w:b w:val="0"/>
                <w:bCs/>
                <w:color w:val="auto"/>
                <w:sz w:val="21"/>
                <w:szCs w:val="21"/>
                <w:u w:val="single"/>
                <w:vertAlign w:val="subscript"/>
              </w:rPr>
              <w:t>3</w:t>
            </w:r>
            <w:r>
              <w:rPr>
                <w:rFonts w:ascii="Times New Roman" w:hAnsi="Times New Roman"/>
                <w:b w:val="0"/>
                <w:bCs/>
                <w:color w:val="auto"/>
                <w:sz w:val="21"/>
                <w:szCs w:val="21"/>
                <w:u w:val="single"/>
              </w:rPr>
              <w:t>-N</w:t>
            </w:r>
          </w:p>
        </w:tc>
        <w:tc>
          <w:tcPr>
            <w:tcW w:w="979"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5</w:t>
            </w:r>
          </w:p>
        </w:tc>
        <w:tc>
          <w:tcPr>
            <w:tcW w:w="814"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NH</w:t>
            </w:r>
            <w:r>
              <w:rPr>
                <w:rFonts w:ascii="Times New Roman" w:hAnsi="Times New Roman"/>
                <w:b w:val="0"/>
                <w:bCs/>
                <w:color w:val="auto"/>
                <w:sz w:val="21"/>
                <w:szCs w:val="21"/>
                <w:u w:val="single"/>
                <w:vertAlign w:val="subscript"/>
              </w:rPr>
              <w:t>3</w:t>
            </w:r>
            <w:r>
              <w:rPr>
                <w:rFonts w:ascii="Times New Roman" w:hAnsi="Times New Roman"/>
                <w:b w:val="0"/>
                <w:bCs/>
                <w:color w:val="auto"/>
                <w:sz w:val="21"/>
                <w:szCs w:val="21"/>
                <w:u w:val="single"/>
              </w:rPr>
              <w:t>-N</w:t>
            </w:r>
          </w:p>
        </w:tc>
        <w:tc>
          <w:tcPr>
            <w:tcW w:w="955" w:type="pct"/>
            <w:tcBorders>
              <w:top w:val="single" w:color="auto" w:sz="8" w:space="0"/>
              <w:left w:val="single" w:color="auto" w:sz="8" w:space="0"/>
              <w:bottom w:val="single" w:color="auto" w:sz="8" w:space="0"/>
              <w:right w:val="single" w:color="auto" w:sz="8" w:space="0"/>
            </w:tcBorders>
            <w:noWrap w:val="0"/>
            <w:vAlign w:val="center"/>
          </w:tcPr>
          <w:p>
            <w:pPr>
              <w:pStyle w:val="73"/>
              <w:rPr>
                <w:rFonts w:hint="default" w:ascii="Times New Roman" w:hAnsi="Times New Roman" w:eastAsia="宋体"/>
                <w:b w:val="0"/>
                <w:bCs/>
                <w:color w:val="auto"/>
                <w:sz w:val="21"/>
                <w:szCs w:val="21"/>
                <w:u w:val="single"/>
                <w:lang w:val="en-US" w:eastAsia="zh-CN"/>
              </w:rPr>
            </w:pPr>
            <w:r>
              <w:rPr>
                <w:rFonts w:hint="eastAsia" w:ascii="Times New Roman" w:hAnsi="Times New Roman"/>
                <w:b w:val="0"/>
                <w:bCs/>
                <w:color w:val="auto"/>
                <w:sz w:val="21"/>
                <w:szCs w:val="21"/>
                <w:u w:val="single"/>
                <w:lang w:val="en-US" w:eastAsia="zh-CN"/>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vMerge w:val="continue"/>
            <w:tcBorders>
              <w:top w:val="single" w:color="auto" w:sz="8" w:space="0"/>
              <w:left w:val="single" w:color="auto" w:sz="8" w:space="0"/>
              <w:bottom w:val="single" w:color="auto" w:sz="8" w:space="0"/>
              <w:right w:val="single" w:color="auto" w:sz="4" w:space="0"/>
            </w:tcBorders>
            <w:noWrap w:val="0"/>
            <w:vAlign w:val="center"/>
          </w:tcPr>
          <w:p>
            <w:pPr>
              <w:pStyle w:val="73"/>
              <w:rPr>
                <w:rFonts w:ascii="Times New Roman" w:hAnsi="Times New Roman"/>
                <w:b w:val="0"/>
                <w:bCs/>
                <w:color w:val="0000FF"/>
                <w:sz w:val="21"/>
                <w:szCs w:val="21"/>
                <w:u w:val="single"/>
              </w:rPr>
            </w:pPr>
          </w:p>
        </w:tc>
        <w:tc>
          <w:tcPr>
            <w:tcW w:w="749" w:type="pct"/>
            <w:vMerge w:val="continue"/>
            <w:tcBorders>
              <w:top w:val="single" w:color="auto" w:sz="8" w:space="0"/>
              <w:left w:val="single" w:color="auto" w:sz="4" w:space="0"/>
              <w:bottom w:val="single" w:color="auto" w:sz="8" w:space="0"/>
              <w:right w:val="single" w:color="auto" w:sz="4" w:space="0"/>
            </w:tcBorders>
            <w:noWrap w:val="0"/>
            <w:vAlign w:val="center"/>
          </w:tcPr>
          <w:p>
            <w:pPr>
              <w:pStyle w:val="73"/>
              <w:rPr>
                <w:rFonts w:ascii="Times New Roman" w:hAnsi="Times New Roman"/>
                <w:b w:val="0"/>
                <w:bCs/>
                <w:color w:val="auto"/>
                <w:sz w:val="21"/>
                <w:szCs w:val="21"/>
                <w:u w:val="single"/>
              </w:rPr>
            </w:pPr>
          </w:p>
        </w:tc>
        <w:tc>
          <w:tcPr>
            <w:tcW w:w="762" w:type="pct"/>
            <w:tcBorders>
              <w:top w:val="single" w:color="auto" w:sz="8" w:space="0"/>
              <w:left w:val="single" w:color="auto" w:sz="4"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TP</w:t>
            </w:r>
          </w:p>
        </w:tc>
        <w:tc>
          <w:tcPr>
            <w:tcW w:w="979"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0.5</w:t>
            </w:r>
          </w:p>
        </w:tc>
        <w:tc>
          <w:tcPr>
            <w:tcW w:w="814"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TP</w:t>
            </w:r>
          </w:p>
        </w:tc>
        <w:tc>
          <w:tcPr>
            <w:tcW w:w="955" w:type="pct"/>
            <w:tcBorders>
              <w:top w:val="single" w:color="auto" w:sz="8" w:space="0"/>
              <w:left w:val="single" w:color="auto" w:sz="8" w:space="0"/>
              <w:bottom w:val="single" w:color="auto" w:sz="8" w:space="0"/>
              <w:right w:val="single" w:color="auto" w:sz="8" w:space="0"/>
            </w:tcBorders>
            <w:noWrap w:val="0"/>
            <w:vAlign w:val="center"/>
          </w:tcPr>
          <w:p>
            <w:pPr>
              <w:pStyle w:val="73"/>
              <w:rPr>
                <w:rFonts w:hint="eastAsia" w:ascii="Times New Roman" w:hAnsi="Times New Roman" w:eastAsia="宋体"/>
                <w:b w:val="0"/>
                <w:bCs/>
                <w:color w:val="auto"/>
                <w:sz w:val="21"/>
                <w:szCs w:val="21"/>
                <w:u w:val="single"/>
                <w:lang w:eastAsia="zh-CN"/>
              </w:rPr>
            </w:pPr>
            <w:r>
              <w:rPr>
                <w:rFonts w:hint="eastAsia" w:ascii="Times New Roman" w:hAnsi="Times New Roman"/>
                <w:b w:val="0"/>
                <w:bCs/>
                <w:color w:val="auto"/>
                <w:sz w:val="21"/>
                <w:szCs w:val="21"/>
                <w:u w:val="single"/>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3" w:hRule="exact"/>
          <w:jc w:val="center"/>
        </w:trPr>
        <w:tc>
          <w:tcPr>
            <w:tcW w:w="739"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0000FF"/>
                <w:sz w:val="21"/>
                <w:szCs w:val="21"/>
                <w:u w:val="single"/>
              </w:rPr>
            </w:pPr>
            <w:r>
              <w:rPr>
                <w:rFonts w:ascii="Times New Roman" w:hAnsi="Times New Roman"/>
                <w:b w:val="0"/>
                <w:bCs/>
                <w:color w:val="0000FF"/>
                <w:sz w:val="21"/>
                <w:szCs w:val="21"/>
                <w:u w:val="single"/>
              </w:rPr>
              <w:object>
                <v:shape id="_x0000_i1075" o:spt="75" type="#_x0000_t75" style="height:18.15pt;width:21.9pt;" o:ole="t" filled="f" o:preferrelative="t" stroked="f" coordsize="21600,21600">
                  <v:path/>
                  <v:fill on="f" focussize="0,0"/>
                  <v:stroke on="f"/>
                  <v:imagedata r:id="rId110" o:title=""/>
                  <o:lock v:ext="edit" aspectratio="t"/>
                  <w10:wrap type="none"/>
                  <w10:anchorlock/>
                </v:shape>
                <o:OLEObject Type="Embed" ProgID="Equation.3" ShapeID="_x0000_i1075" DrawAspect="Content" ObjectID="_1468075773" r:id="rId141">
                  <o:LockedField>false</o:LockedField>
                </o:OLEObject>
              </w:object>
            </w:r>
          </w:p>
        </w:tc>
        <w:tc>
          <w:tcPr>
            <w:tcW w:w="749"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m</w:t>
            </w:r>
            <w:r>
              <w:rPr>
                <w:rFonts w:ascii="Times New Roman" w:hAnsi="Times New Roman"/>
                <w:b w:val="0"/>
                <w:bCs/>
                <w:color w:val="auto"/>
                <w:sz w:val="21"/>
                <w:szCs w:val="21"/>
                <w:u w:val="single"/>
                <w:vertAlign w:val="superscript"/>
              </w:rPr>
              <w:t>3</w:t>
            </w:r>
            <w:r>
              <w:rPr>
                <w:rFonts w:ascii="Times New Roman" w:hAnsi="Times New Roman"/>
                <w:b w:val="0"/>
                <w:bCs/>
                <w:color w:val="auto"/>
                <w:sz w:val="21"/>
                <w:szCs w:val="21"/>
                <w:u w:val="single"/>
              </w:rPr>
              <w:t>/s</w:t>
            </w:r>
          </w:p>
        </w:tc>
        <w:tc>
          <w:tcPr>
            <w:tcW w:w="1742"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hint="default" w:ascii="Times New Roman" w:hAnsi="Times New Roman" w:eastAsia="宋体"/>
                <w:b w:val="0"/>
                <w:bCs/>
                <w:color w:val="auto"/>
                <w:sz w:val="21"/>
                <w:szCs w:val="21"/>
                <w:u w:val="single"/>
                <w:lang w:val="en-US" w:eastAsia="zh-CN"/>
              </w:rPr>
            </w:pPr>
            <w:r>
              <w:rPr>
                <w:rFonts w:hint="eastAsia" w:ascii="Times New Roman" w:hAnsi="Times New Roman"/>
                <w:b w:val="0"/>
                <w:bCs/>
                <w:color w:val="auto"/>
                <w:sz w:val="21"/>
                <w:szCs w:val="21"/>
                <w:u w:val="single"/>
                <w:lang w:val="en-US" w:eastAsia="zh-CN"/>
              </w:rPr>
              <w:t>0.0116</w:t>
            </w:r>
          </w:p>
        </w:tc>
        <w:tc>
          <w:tcPr>
            <w:tcW w:w="1769"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hint="eastAsia" w:ascii="Times New Roman" w:hAnsi="Times New Roman"/>
                <w:b w:val="0"/>
                <w:bCs/>
                <w:color w:val="auto"/>
                <w:sz w:val="21"/>
                <w:szCs w:val="21"/>
                <w:u w:val="single"/>
                <w:lang w:val="en-US" w:eastAsia="zh-CN"/>
              </w:rPr>
              <w:t>0.0116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u</w:t>
            </w:r>
          </w:p>
        </w:tc>
        <w:tc>
          <w:tcPr>
            <w:tcW w:w="749"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m/s</w:t>
            </w:r>
          </w:p>
        </w:tc>
        <w:tc>
          <w:tcPr>
            <w:tcW w:w="1742"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hint="default" w:ascii="Times New Roman" w:hAnsi="Times New Roman" w:eastAsia="宋体"/>
                <w:b w:val="0"/>
                <w:bCs/>
                <w:color w:val="auto"/>
                <w:sz w:val="21"/>
                <w:szCs w:val="21"/>
                <w:u w:val="single"/>
                <w:lang w:val="en-US" w:eastAsia="zh-CN"/>
              </w:rPr>
            </w:pPr>
            <w:r>
              <w:rPr>
                <w:rFonts w:hint="eastAsia" w:ascii="Times New Roman" w:hAnsi="Times New Roman"/>
                <w:b w:val="0"/>
                <w:bCs/>
                <w:color w:val="auto"/>
                <w:sz w:val="21"/>
                <w:szCs w:val="21"/>
                <w:u w:val="single"/>
                <w:lang w:val="en-US" w:eastAsia="zh-CN"/>
              </w:rPr>
              <w:t>0.134</w:t>
            </w:r>
          </w:p>
        </w:tc>
        <w:tc>
          <w:tcPr>
            <w:tcW w:w="1769"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hint="default" w:ascii="Times New Roman" w:hAnsi="Times New Roman" w:eastAsia="宋体"/>
                <w:b w:val="0"/>
                <w:bCs/>
                <w:color w:val="auto"/>
                <w:sz w:val="21"/>
                <w:szCs w:val="21"/>
                <w:u w:val="single"/>
                <w:lang w:val="en-US" w:eastAsia="zh-CN"/>
              </w:rPr>
            </w:pPr>
            <w:r>
              <w:rPr>
                <w:rFonts w:hint="eastAsia"/>
                <w:b w:val="0"/>
                <w:bCs/>
                <w:color w:val="auto"/>
                <w:sz w:val="21"/>
                <w:szCs w:val="21"/>
                <w:u w:val="single"/>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vMerge w:val="restar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K</w:t>
            </w:r>
          </w:p>
        </w:tc>
        <w:tc>
          <w:tcPr>
            <w:tcW w:w="749" w:type="pct"/>
            <w:vMerge w:val="restar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1/s</w:t>
            </w:r>
          </w:p>
        </w:tc>
        <w:tc>
          <w:tcPr>
            <w:tcW w:w="762"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COD</w:t>
            </w:r>
          </w:p>
        </w:tc>
        <w:tc>
          <w:tcPr>
            <w:tcW w:w="979"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1.6</w:t>
            </w:r>
            <w:r>
              <w:rPr>
                <w:rFonts w:hint="eastAsia" w:ascii="Times New Roman" w:hAnsi="Times New Roman"/>
                <w:b w:val="0"/>
                <w:bCs/>
                <w:color w:val="auto"/>
                <w:sz w:val="21"/>
                <w:szCs w:val="21"/>
                <w:u w:val="single"/>
              </w:rPr>
              <w:t>×1</w:t>
            </w:r>
            <w:r>
              <w:rPr>
                <w:rFonts w:ascii="Times New Roman" w:hAnsi="Times New Roman"/>
                <w:b w:val="0"/>
                <w:bCs/>
                <w:color w:val="auto"/>
                <w:sz w:val="21"/>
                <w:szCs w:val="21"/>
                <w:u w:val="single"/>
              </w:rPr>
              <w:t>0</w:t>
            </w:r>
            <w:r>
              <w:rPr>
                <w:rFonts w:ascii="Times New Roman" w:hAnsi="Times New Roman"/>
                <w:b w:val="0"/>
                <w:bCs/>
                <w:color w:val="auto"/>
                <w:sz w:val="21"/>
                <w:szCs w:val="21"/>
                <w:u w:val="single"/>
                <w:vertAlign w:val="superscript"/>
              </w:rPr>
              <w:t>-6</w:t>
            </w:r>
          </w:p>
        </w:tc>
        <w:tc>
          <w:tcPr>
            <w:tcW w:w="814"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COD</w:t>
            </w:r>
          </w:p>
        </w:tc>
        <w:tc>
          <w:tcPr>
            <w:tcW w:w="955"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1.6</w:t>
            </w:r>
            <w:r>
              <w:rPr>
                <w:rFonts w:hint="eastAsia" w:ascii="Times New Roman" w:hAnsi="Times New Roman"/>
                <w:b w:val="0"/>
                <w:bCs/>
                <w:color w:val="auto"/>
                <w:sz w:val="21"/>
                <w:szCs w:val="21"/>
                <w:u w:val="single"/>
              </w:rPr>
              <w:t>×1</w:t>
            </w:r>
            <w:r>
              <w:rPr>
                <w:rFonts w:ascii="Times New Roman" w:hAnsi="Times New Roman"/>
                <w:b w:val="0"/>
                <w:bCs/>
                <w:color w:val="auto"/>
                <w:sz w:val="21"/>
                <w:szCs w:val="21"/>
                <w:u w:val="single"/>
              </w:rPr>
              <w:t>0</w:t>
            </w:r>
            <w:r>
              <w:rPr>
                <w:rFonts w:ascii="Times New Roman" w:hAnsi="Times New Roman"/>
                <w:b w:val="0"/>
                <w:bCs/>
                <w:color w:val="auto"/>
                <w:sz w:val="21"/>
                <w:szCs w:val="21"/>
                <w:u w:val="single"/>
                <w:vertAlign w:val="superscript"/>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vMerge w:val="continue"/>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p>
        </w:tc>
        <w:tc>
          <w:tcPr>
            <w:tcW w:w="749" w:type="pct"/>
            <w:vMerge w:val="continue"/>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p>
        </w:tc>
        <w:tc>
          <w:tcPr>
            <w:tcW w:w="762"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NH</w:t>
            </w:r>
            <w:r>
              <w:rPr>
                <w:rFonts w:ascii="Times New Roman" w:hAnsi="Times New Roman"/>
                <w:b w:val="0"/>
                <w:bCs/>
                <w:color w:val="auto"/>
                <w:sz w:val="21"/>
                <w:szCs w:val="21"/>
                <w:u w:val="single"/>
                <w:vertAlign w:val="subscript"/>
              </w:rPr>
              <w:t>3</w:t>
            </w:r>
            <w:r>
              <w:rPr>
                <w:rFonts w:ascii="Times New Roman" w:hAnsi="Times New Roman"/>
                <w:b w:val="0"/>
                <w:bCs/>
                <w:color w:val="auto"/>
                <w:sz w:val="21"/>
                <w:szCs w:val="21"/>
                <w:u w:val="single"/>
              </w:rPr>
              <w:t>-N</w:t>
            </w:r>
          </w:p>
        </w:tc>
        <w:tc>
          <w:tcPr>
            <w:tcW w:w="979" w:type="pct"/>
            <w:tcBorders>
              <w:top w:val="single" w:color="auto" w:sz="8" w:space="0"/>
              <w:left w:val="single" w:color="auto" w:sz="8" w:space="0"/>
              <w:bottom w:val="single" w:color="auto" w:sz="8" w:space="0"/>
              <w:right w:val="single" w:color="auto" w:sz="8" w:space="0"/>
            </w:tcBorders>
            <w:noWrap w:val="0"/>
            <w:vAlign w:val="top"/>
          </w:tcPr>
          <w:p>
            <w:pPr>
              <w:pStyle w:val="73"/>
              <w:rPr>
                <w:rFonts w:ascii="Times New Roman" w:hAnsi="Times New Roman"/>
                <w:b w:val="0"/>
                <w:bCs/>
                <w:color w:val="auto"/>
                <w:sz w:val="21"/>
                <w:szCs w:val="21"/>
                <w:u w:val="single"/>
              </w:rPr>
            </w:pPr>
            <w:r>
              <w:rPr>
                <w:rFonts w:hint="eastAsia" w:ascii="Times New Roman" w:hAnsi="Times New Roman"/>
                <w:b w:val="0"/>
                <w:bCs/>
                <w:color w:val="auto"/>
                <w:sz w:val="21"/>
                <w:szCs w:val="21"/>
                <w:u w:val="single"/>
              </w:rPr>
              <w:t>1.</w:t>
            </w:r>
            <w:r>
              <w:rPr>
                <w:rFonts w:ascii="Times New Roman" w:hAnsi="Times New Roman"/>
                <w:b w:val="0"/>
                <w:bCs/>
                <w:color w:val="auto"/>
                <w:sz w:val="21"/>
                <w:szCs w:val="21"/>
                <w:u w:val="single"/>
              </w:rPr>
              <w:t>4</w:t>
            </w:r>
            <w:r>
              <w:rPr>
                <w:rFonts w:hint="eastAsia" w:ascii="Times New Roman" w:hAnsi="Times New Roman"/>
                <w:b w:val="0"/>
                <w:bCs/>
                <w:color w:val="auto"/>
                <w:sz w:val="21"/>
                <w:szCs w:val="21"/>
                <w:u w:val="single"/>
              </w:rPr>
              <w:t>×1</w:t>
            </w:r>
            <w:r>
              <w:rPr>
                <w:rFonts w:ascii="Times New Roman" w:hAnsi="Times New Roman"/>
                <w:b w:val="0"/>
                <w:bCs/>
                <w:color w:val="auto"/>
                <w:sz w:val="21"/>
                <w:szCs w:val="21"/>
                <w:u w:val="single"/>
              </w:rPr>
              <w:t>0</w:t>
            </w:r>
            <w:r>
              <w:rPr>
                <w:rFonts w:ascii="Times New Roman" w:hAnsi="Times New Roman"/>
                <w:b w:val="0"/>
                <w:bCs/>
                <w:color w:val="auto"/>
                <w:sz w:val="21"/>
                <w:szCs w:val="21"/>
                <w:u w:val="single"/>
                <w:vertAlign w:val="superscript"/>
              </w:rPr>
              <w:t>-6</w:t>
            </w:r>
          </w:p>
        </w:tc>
        <w:tc>
          <w:tcPr>
            <w:tcW w:w="814"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NH</w:t>
            </w:r>
            <w:r>
              <w:rPr>
                <w:rFonts w:ascii="Times New Roman" w:hAnsi="Times New Roman"/>
                <w:b w:val="0"/>
                <w:bCs/>
                <w:color w:val="auto"/>
                <w:sz w:val="21"/>
                <w:szCs w:val="21"/>
                <w:u w:val="single"/>
                <w:vertAlign w:val="subscript"/>
              </w:rPr>
              <w:t>3</w:t>
            </w:r>
            <w:r>
              <w:rPr>
                <w:rFonts w:ascii="Times New Roman" w:hAnsi="Times New Roman"/>
                <w:b w:val="0"/>
                <w:bCs/>
                <w:color w:val="auto"/>
                <w:sz w:val="21"/>
                <w:szCs w:val="21"/>
                <w:u w:val="single"/>
              </w:rPr>
              <w:t>-N</w:t>
            </w:r>
          </w:p>
        </w:tc>
        <w:tc>
          <w:tcPr>
            <w:tcW w:w="955" w:type="pct"/>
            <w:tcBorders>
              <w:top w:val="single" w:color="auto" w:sz="8" w:space="0"/>
              <w:left w:val="single" w:color="auto" w:sz="8" w:space="0"/>
              <w:bottom w:val="single" w:color="auto" w:sz="8" w:space="0"/>
              <w:right w:val="single" w:color="auto" w:sz="8" w:space="0"/>
            </w:tcBorders>
            <w:noWrap w:val="0"/>
            <w:vAlign w:val="top"/>
          </w:tcPr>
          <w:p>
            <w:pPr>
              <w:pStyle w:val="73"/>
              <w:rPr>
                <w:rFonts w:ascii="Times New Roman" w:hAnsi="Times New Roman"/>
                <w:b w:val="0"/>
                <w:bCs/>
                <w:color w:val="auto"/>
                <w:sz w:val="21"/>
                <w:szCs w:val="21"/>
                <w:u w:val="single"/>
              </w:rPr>
            </w:pPr>
            <w:r>
              <w:rPr>
                <w:rFonts w:hint="eastAsia" w:ascii="Times New Roman" w:hAnsi="Times New Roman"/>
                <w:b w:val="0"/>
                <w:bCs/>
                <w:color w:val="auto"/>
                <w:sz w:val="21"/>
                <w:szCs w:val="21"/>
                <w:u w:val="single"/>
              </w:rPr>
              <w:t>1.</w:t>
            </w:r>
            <w:r>
              <w:rPr>
                <w:rFonts w:ascii="Times New Roman" w:hAnsi="Times New Roman"/>
                <w:b w:val="0"/>
                <w:bCs/>
                <w:color w:val="auto"/>
                <w:sz w:val="21"/>
                <w:szCs w:val="21"/>
                <w:u w:val="single"/>
              </w:rPr>
              <w:t>4</w:t>
            </w:r>
            <w:r>
              <w:rPr>
                <w:rFonts w:hint="eastAsia" w:ascii="Times New Roman" w:hAnsi="Times New Roman"/>
                <w:b w:val="0"/>
                <w:bCs/>
                <w:color w:val="auto"/>
                <w:sz w:val="21"/>
                <w:szCs w:val="21"/>
                <w:u w:val="single"/>
              </w:rPr>
              <w:t>×1</w:t>
            </w:r>
            <w:r>
              <w:rPr>
                <w:rFonts w:ascii="Times New Roman" w:hAnsi="Times New Roman"/>
                <w:b w:val="0"/>
                <w:bCs/>
                <w:color w:val="auto"/>
                <w:sz w:val="21"/>
                <w:szCs w:val="21"/>
                <w:u w:val="single"/>
              </w:rPr>
              <w:t>0</w:t>
            </w:r>
            <w:r>
              <w:rPr>
                <w:rFonts w:ascii="Times New Roman" w:hAnsi="Times New Roman"/>
                <w:b w:val="0"/>
                <w:bCs/>
                <w:color w:val="auto"/>
                <w:sz w:val="21"/>
                <w:szCs w:val="21"/>
                <w:u w:val="single"/>
                <w:vertAlign w:val="superscript"/>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vMerge w:val="continue"/>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p>
        </w:tc>
        <w:tc>
          <w:tcPr>
            <w:tcW w:w="749" w:type="pct"/>
            <w:vMerge w:val="continue"/>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p>
        </w:tc>
        <w:tc>
          <w:tcPr>
            <w:tcW w:w="762"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TP</w:t>
            </w:r>
          </w:p>
        </w:tc>
        <w:tc>
          <w:tcPr>
            <w:tcW w:w="979" w:type="pct"/>
            <w:tcBorders>
              <w:top w:val="single" w:color="auto" w:sz="8" w:space="0"/>
              <w:left w:val="single" w:color="auto" w:sz="8" w:space="0"/>
              <w:bottom w:val="single" w:color="auto" w:sz="8" w:space="0"/>
              <w:right w:val="single" w:color="auto" w:sz="8" w:space="0"/>
            </w:tcBorders>
            <w:noWrap w:val="0"/>
            <w:vAlign w:val="top"/>
          </w:tcPr>
          <w:p>
            <w:pPr>
              <w:pStyle w:val="73"/>
              <w:rPr>
                <w:rFonts w:ascii="Times New Roman" w:hAnsi="Times New Roman"/>
                <w:b w:val="0"/>
                <w:bCs/>
                <w:color w:val="auto"/>
                <w:sz w:val="21"/>
                <w:szCs w:val="21"/>
                <w:u w:val="single"/>
              </w:rPr>
            </w:pPr>
            <w:r>
              <w:rPr>
                <w:rFonts w:hint="eastAsia" w:ascii="Times New Roman" w:hAnsi="Times New Roman"/>
                <w:b w:val="0"/>
                <w:bCs/>
                <w:color w:val="auto"/>
                <w:sz w:val="21"/>
                <w:szCs w:val="21"/>
                <w:u w:val="single"/>
              </w:rPr>
              <w:t>1.</w:t>
            </w:r>
            <w:r>
              <w:rPr>
                <w:rFonts w:ascii="Times New Roman" w:hAnsi="Times New Roman"/>
                <w:b w:val="0"/>
                <w:bCs/>
                <w:color w:val="auto"/>
                <w:sz w:val="21"/>
                <w:szCs w:val="21"/>
                <w:u w:val="single"/>
              </w:rPr>
              <w:t>4</w:t>
            </w:r>
            <w:r>
              <w:rPr>
                <w:rFonts w:hint="eastAsia" w:ascii="Times New Roman" w:hAnsi="Times New Roman"/>
                <w:b w:val="0"/>
                <w:bCs/>
                <w:color w:val="auto"/>
                <w:sz w:val="21"/>
                <w:szCs w:val="21"/>
                <w:u w:val="single"/>
              </w:rPr>
              <w:t>×1</w:t>
            </w:r>
            <w:r>
              <w:rPr>
                <w:rFonts w:ascii="Times New Roman" w:hAnsi="Times New Roman"/>
                <w:b w:val="0"/>
                <w:bCs/>
                <w:color w:val="auto"/>
                <w:sz w:val="21"/>
                <w:szCs w:val="21"/>
                <w:u w:val="single"/>
              </w:rPr>
              <w:t>0</w:t>
            </w:r>
            <w:r>
              <w:rPr>
                <w:rFonts w:ascii="Times New Roman" w:hAnsi="Times New Roman"/>
                <w:b w:val="0"/>
                <w:bCs/>
                <w:color w:val="auto"/>
                <w:sz w:val="21"/>
                <w:szCs w:val="21"/>
                <w:u w:val="single"/>
                <w:vertAlign w:val="superscript"/>
              </w:rPr>
              <w:t>-6</w:t>
            </w:r>
          </w:p>
        </w:tc>
        <w:tc>
          <w:tcPr>
            <w:tcW w:w="814"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TP</w:t>
            </w:r>
          </w:p>
        </w:tc>
        <w:tc>
          <w:tcPr>
            <w:tcW w:w="955" w:type="pct"/>
            <w:tcBorders>
              <w:top w:val="single" w:color="auto" w:sz="8" w:space="0"/>
              <w:left w:val="single" w:color="auto" w:sz="8" w:space="0"/>
              <w:bottom w:val="single" w:color="auto" w:sz="8" w:space="0"/>
              <w:right w:val="single" w:color="auto" w:sz="8" w:space="0"/>
            </w:tcBorders>
            <w:noWrap w:val="0"/>
            <w:vAlign w:val="top"/>
          </w:tcPr>
          <w:p>
            <w:pPr>
              <w:pStyle w:val="73"/>
              <w:rPr>
                <w:rFonts w:ascii="Times New Roman" w:hAnsi="Times New Roman"/>
                <w:b w:val="0"/>
                <w:bCs/>
                <w:color w:val="auto"/>
                <w:sz w:val="21"/>
                <w:szCs w:val="21"/>
                <w:u w:val="single"/>
              </w:rPr>
            </w:pPr>
            <w:r>
              <w:rPr>
                <w:rFonts w:hint="eastAsia" w:ascii="Times New Roman" w:hAnsi="Times New Roman"/>
                <w:b w:val="0"/>
                <w:bCs/>
                <w:color w:val="auto"/>
                <w:sz w:val="21"/>
                <w:szCs w:val="21"/>
                <w:u w:val="single"/>
              </w:rPr>
              <w:t>1.</w:t>
            </w:r>
            <w:r>
              <w:rPr>
                <w:rFonts w:ascii="Times New Roman" w:hAnsi="Times New Roman"/>
                <w:b w:val="0"/>
                <w:bCs/>
                <w:color w:val="auto"/>
                <w:sz w:val="21"/>
                <w:szCs w:val="21"/>
                <w:u w:val="single"/>
              </w:rPr>
              <w:t>4</w:t>
            </w:r>
            <w:r>
              <w:rPr>
                <w:rFonts w:hint="eastAsia" w:ascii="Times New Roman" w:hAnsi="Times New Roman"/>
                <w:b w:val="0"/>
                <w:bCs/>
                <w:color w:val="auto"/>
                <w:sz w:val="21"/>
                <w:szCs w:val="21"/>
                <w:u w:val="single"/>
              </w:rPr>
              <w:t>×1</w:t>
            </w:r>
            <w:r>
              <w:rPr>
                <w:rFonts w:ascii="Times New Roman" w:hAnsi="Times New Roman"/>
                <w:b w:val="0"/>
                <w:bCs/>
                <w:color w:val="auto"/>
                <w:sz w:val="21"/>
                <w:szCs w:val="21"/>
                <w:u w:val="single"/>
              </w:rPr>
              <w:t>0</w:t>
            </w:r>
            <w:r>
              <w:rPr>
                <w:rFonts w:ascii="Times New Roman" w:hAnsi="Times New Roman"/>
                <w:b w:val="0"/>
                <w:bCs/>
                <w:color w:val="auto"/>
                <w:sz w:val="21"/>
                <w:szCs w:val="21"/>
                <w:u w:val="single"/>
                <w:vertAlign w:val="superscript"/>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1" w:hRule="exact"/>
          <w:jc w:val="center"/>
        </w:trPr>
        <w:tc>
          <w:tcPr>
            <w:tcW w:w="739" w:type="pct"/>
            <w:gridSpan w:val="2"/>
            <w:vMerge w:val="restar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0000FF"/>
                <w:sz w:val="21"/>
                <w:szCs w:val="21"/>
                <w:u w:val="single"/>
              </w:rPr>
            </w:pPr>
            <w:r>
              <w:rPr>
                <w:rFonts w:ascii="Times New Roman" w:hAnsi="Times New Roman"/>
                <w:b w:val="0"/>
                <w:bCs/>
                <w:color w:val="0000FF"/>
                <w:sz w:val="21"/>
                <w:szCs w:val="21"/>
                <w:u w:val="single"/>
              </w:rPr>
              <w:object>
                <v:shape id="_x0000_i1076" o:spt="75" type="#_x0000_t75" style="height:18.8pt;width:20.05pt;" o:ole="t" filled="f" o:preferrelative="t" stroked="f" coordsize="21600,21600">
                  <v:path/>
                  <v:fill on="f" focussize="0,0"/>
                  <v:stroke on="f"/>
                  <v:imagedata r:id="rId112" o:title=""/>
                  <o:lock v:ext="edit" aspectratio="t"/>
                  <w10:wrap type="none"/>
                  <w10:anchorlock/>
                </v:shape>
                <o:OLEObject Type="Embed" ProgID="Equation.3" ShapeID="_x0000_i1076" DrawAspect="Content" ObjectID="_1468075774" r:id="rId142">
                  <o:LockedField>false</o:LockedField>
                </o:OLEObject>
              </w:object>
            </w:r>
          </w:p>
        </w:tc>
        <w:tc>
          <w:tcPr>
            <w:tcW w:w="749" w:type="pct"/>
            <w:vMerge w:val="restar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mg/L</w:t>
            </w:r>
          </w:p>
        </w:tc>
        <w:tc>
          <w:tcPr>
            <w:tcW w:w="762"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COD</w:t>
            </w:r>
          </w:p>
        </w:tc>
        <w:tc>
          <w:tcPr>
            <w:tcW w:w="979" w:type="pct"/>
            <w:tcBorders>
              <w:top w:val="single" w:color="auto" w:sz="8" w:space="0"/>
              <w:left w:val="single" w:color="auto" w:sz="8" w:space="0"/>
              <w:bottom w:val="single" w:color="auto" w:sz="8" w:space="0"/>
              <w:right w:val="single" w:color="auto" w:sz="8" w:space="0"/>
            </w:tcBorders>
            <w:noWrap w:val="0"/>
            <w:vAlign w:val="center"/>
          </w:tcPr>
          <w:p>
            <w:pPr>
              <w:pStyle w:val="73"/>
              <w:rPr>
                <w:rFonts w:hint="default" w:ascii="Times New Roman" w:hAnsi="Times New Roman" w:eastAsia="宋体"/>
                <w:b w:val="0"/>
                <w:bCs/>
                <w:color w:val="auto"/>
                <w:sz w:val="21"/>
                <w:szCs w:val="21"/>
                <w:u w:val="single"/>
                <w:lang w:val="en-US" w:eastAsia="zh-CN"/>
              </w:rPr>
            </w:pPr>
            <w:r>
              <w:rPr>
                <w:rFonts w:hint="eastAsia" w:ascii="Times New Roman" w:hAnsi="Times New Roman"/>
                <w:b w:val="0"/>
                <w:bCs/>
                <w:color w:val="auto"/>
                <w:sz w:val="21"/>
                <w:szCs w:val="21"/>
                <w:u w:val="single"/>
                <w:lang w:val="en-US" w:eastAsia="zh-CN"/>
              </w:rPr>
              <w:t>13</w:t>
            </w:r>
          </w:p>
        </w:tc>
        <w:tc>
          <w:tcPr>
            <w:tcW w:w="814"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COD</w:t>
            </w:r>
          </w:p>
        </w:tc>
        <w:tc>
          <w:tcPr>
            <w:tcW w:w="955" w:type="pct"/>
            <w:tcBorders>
              <w:top w:val="single" w:color="auto" w:sz="8" w:space="0"/>
              <w:left w:val="single" w:color="auto" w:sz="8" w:space="0"/>
              <w:bottom w:val="single" w:color="auto" w:sz="8" w:space="0"/>
              <w:right w:val="single" w:color="auto" w:sz="8" w:space="0"/>
            </w:tcBorders>
            <w:noWrap w:val="0"/>
            <w:vAlign w:val="center"/>
          </w:tcPr>
          <w:p>
            <w:pPr>
              <w:pStyle w:val="73"/>
              <w:ind w:firstLine="0" w:firstLineChars="0"/>
              <w:rPr>
                <w:rFonts w:ascii="Times New Roman" w:hAnsi="Times New Roman"/>
                <w:b w:val="0"/>
                <w:bCs/>
                <w:color w:val="auto"/>
                <w:sz w:val="21"/>
                <w:szCs w:val="21"/>
                <w:u w:val="single"/>
              </w:rPr>
            </w:pPr>
            <w:r>
              <w:rPr>
                <w:rFonts w:hint="eastAsia" w:ascii="Times New Roman" w:hAnsi="Times New Roman"/>
                <w:b w:val="0"/>
                <w:bCs/>
                <w:color w:val="auto"/>
                <w:sz w:val="21"/>
                <w:szCs w:val="21"/>
                <w:u w:val="single"/>
                <w:lang w:val="en-US" w:eastAsia="zh-CN"/>
              </w:rPr>
              <w:t>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vMerge w:val="continue"/>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0000FF"/>
                <w:sz w:val="21"/>
                <w:szCs w:val="21"/>
                <w:u w:val="single"/>
              </w:rPr>
            </w:pPr>
          </w:p>
        </w:tc>
        <w:tc>
          <w:tcPr>
            <w:tcW w:w="749" w:type="pct"/>
            <w:vMerge w:val="continue"/>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p>
        </w:tc>
        <w:tc>
          <w:tcPr>
            <w:tcW w:w="762"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NH</w:t>
            </w:r>
            <w:r>
              <w:rPr>
                <w:rFonts w:ascii="Times New Roman" w:hAnsi="Times New Roman"/>
                <w:b w:val="0"/>
                <w:bCs/>
                <w:color w:val="auto"/>
                <w:sz w:val="21"/>
                <w:szCs w:val="21"/>
                <w:u w:val="single"/>
                <w:vertAlign w:val="subscript"/>
              </w:rPr>
              <w:t>3</w:t>
            </w:r>
            <w:r>
              <w:rPr>
                <w:rFonts w:ascii="Times New Roman" w:hAnsi="Times New Roman"/>
                <w:b w:val="0"/>
                <w:bCs/>
                <w:color w:val="auto"/>
                <w:sz w:val="21"/>
                <w:szCs w:val="21"/>
                <w:u w:val="single"/>
              </w:rPr>
              <w:t>-N</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pStyle w:val="73"/>
              <w:ind w:firstLine="0" w:firstLineChars="0"/>
              <w:rPr>
                <w:rFonts w:hint="default" w:ascii="Times New Roman" w:hAnsi="Times New Roman" w:eastAsia="宋体"/>
                <w:b w:val="0"/>
                <w:bCs/>
                <w:color w:val="auto"/>
                <w:sz w:val="21"/>
                <w:szCs w:val="21"/>
                <w:u w:val="single"/>
                <w:lang w:val="en-US" w:eastAsia="zh-CN"/>
              </w:rPr>
            </w:pPr>
            <w:r>
              <w:rPr>
                <w:rFonts w:hint="eastAsia" w:ascii="Times New Roman" w:hAnsi="Times New Roman" w:eastAsia="宋体"/>
                <w:b w:val="0"/>
                <w:bCs/>
                <w:color w:val="auto"/>
                <w:sz w:val="21"/>
                <w:szCs w:val="21"/>
                <w:u w:val="single"/>
                <w:lang w:val="en-US" w:eastAsia="zh-CN"/>
              </w:rPr>
              <w:t>0.3</w:t>
            </w:r>
          </w:p>
        </w:tc>
        <w:tc>
          <w:tcPr>
            <w:tcW w:w="814"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NH</w:t>
            </w:r>
            <w:r>
              <w:rPr>
                <w:rFonts w:ascii="Times New Roman" w:hAnsi="Times New Roman"/>
                <w:b w:val="0"/>
                <w:bCs/>
                <w:color w:val="auto"/>
                <w:sz w:val="21"/>
                <w:szCs w:val="21"/>
                <w:u w:val="single"/>
                <w:vertAlign w:val="subscript"/>
              </w:rPr>
              <w:t>3</w:t>
            </w:r>
            <w:r>
              <w:rPr>
                <w:rFonts w:ascii="Times New Roman" w:hAnsi="Times New Roman"/>
                <w:b w:val="0"/>
                <w:bCs/>
                <w:color w:val="auto"/>
                <w:sz w:val="21"/>
                <w:szCs w:val="21"/>
                <w:u w:val="single"/>
              </w:rPr>
              <w:t>-N</w:t>
            </w:r>
          </w:p>
        </w:tc>
        <w:tc>
          <w:tcPr>
            <w:tcW w:w="955" w:type="pct"/>
            <w:tcBorders>
              <w:top w:val="single" w:color="auto" w:sz="8" w:space="0"/>
              <w:left w:val="single" w:color="auto" w:sz="8" w:space="0"/>
              <w:bottom w:val="single" w:color="auto" w:sz="8" w:space="0"/>
              <w:right w:val="single" w:color="auto" w:sz="8" w:space="0"/>
            </w:tcBorders>
            <w:noWrap w:val="0"/>
            <w:vAlign w:val="center"/>
          </w:tcPr>
          <w:p>
            <w:pPr>
              <w:pStyle w:val="73"/>
              <w:ind w:firstLine="0" w:firstLineChars="0"/>
              <w:rPr>
                <w:rFonts w:ascii="Times New Roman" w:hAnsi="Times New Roman"/>
                <w:b w:val="0"/>
                <w:bCs/>
                <w:color w:val="auto"/>
                <w:sz w:val="21"/>
                <w:szCs w:val="21"/>
                <w:u w:val="single"/>
              </w:rPr>
            </w:pPr>
            <w:r>
              <w:rPr>
                <w:rFonts w:hint="eastAsia" w:ascii="Times New Roman" w:hAnsi="Times New Roman" w:eastAsia="宋体"/>
                <w:b w:val="0"/>
                <w:bCs/>
                <w:color w:val="auto"/>
                <w:sz w:val="21"/>
                <w:szCs w:val="21"/>
                <w:u w:val="single"/>
                <w:lang w:val="en-US" w:eastAsia="zh-CN"/>
              </w:rPr>
              <w:t>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exact"/>
          <w:jc w:val="center"/>
        </w:trPr>
        <w:tc>
          <w:tcPr>
            <w:tcW w:w="739" w:type="pct"/>
            <w:gridSpan w:val="2"/>
            <w:vMerge w:val="continue"/>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0000FF"/>
                <w:sz w:val="21"/>
                <w:szCs w:val="21"/>
                <w:u w:val="single"/>
              </w:rPr>
            </w:pPr>
          </w:p>
        </w:tc>
        <w:tc>
          <w:tcPr>
            <w:tcW w:w="749" w:type="pct"/>
            <w:vMerge w:val="continue"/>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p>
        </w:tc>
        <w:tc>
          <w:tcPr>
            <w:tcW w:w="762"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TP</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pStyle w:val="73"/>
              <w:ind w:firstLine="0" w:firstLineChars="0"/>
              <w:rPr>
                <w:rFonts w:hint="default" w:ascii="Times New Roman" w:hAnsi="Times New Roman" w:eastAsia="宋体"/>
                <w:b w:val="0"/>
                <w:bCs/>
                <w:color w:val="auto"/>
                <w:sz w:val="21"/>
                <w:szCs w:val="21"/>
                <w:u w:val="single"/>
                <w:lang w:val="en-US" w:eastAsia="zh-CN"/>
              </w:rPr>
            </w:pPr>
            <w:r>
              <w:rPr>
                <w:rFonts w:ascii="Times New Roman" w:hAnsi="Times New Roman"/>
                <w:b w:val="0"/>
                <w:bCs/>
                <w:color w:val="auto"/>
                <w:sz w:val="21"/>
                <w:szCs w:val="21"/>
                <w:u w:val="single"/>
              </w:rPr>
              <w:t>0.</w:t>
            </w:r>
            <w:r>
              <w:rPr>
                <w:rFonts w:hint="eastAsia" w:ascii="Times New Roman" w:hAnsi="Times New Roman"/>
                <w:b w:val="0"/>
                <w:bCs/>
                <w:color w:val="auto"/>
                <w:sz w:val="21"/>
                <w:szCs w:val="21"/>
                <w:u w:val="single"/>
              </w:rPr>
              <w:t>0</w:t>
            </w:r>
            <w:r>
              <w:rPr>
                <w:rFonts w:hint="eastAsia" w:ascii="Times New Roman" w:hAnsi="Times New Roman"/>
                <w:b w:val="0"/>
                <w:bCs/>
                <w:color w:val="auto"/>
                <w:sz w:val="21"/>
                <w:szCs w:val="21"/>
                <w:u w:val="single"/>
                <w:lang w:val="en-US" w:eastAsia="zh-CN"/>
              </w:rPr>
              <w:t>6</w:t>
            </w:r>
          </w:p>
        </w:tc>
        <w:tc>
          <w:tcPr>
            <w:tcW w:w="814"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TP</w:t>
            </w:r>
          </w:p>
        </w:tc>
        <w:tc>
          <w:tcPr>
            <w:tcW w:w="955" w:type="pct"/>
            <w:tcBorders>
              <w:top w:val="single" w:color="auto" w:sz="8" w:space="0"/>
              <w:left w:val="single" w:color="auto" w:sz="8" w:space="0"/>
              <w:bottom w:val="single" w:color="auto" w:sz="8" w:space="0"/>
              <w:right w:val="single" w:color="auto" w:sz="8" w:space="0"/>
            </w:tcBorders>
            <w:noWrap w:val="0"/>
            <w:vAlign w:val="center"/>
          </w:tcPr>
          <w:p>
            <w:pPr>
              <w:pStyle w:val="73"/>
              <w:ind w:firstLine="0" w:firstLineChars="0"/>
              <w:rPr>
                <w:rFonts w:ascii="Times New Roman" w:hAnsi="Times New Roman"/>
                <w:b w:val="0"/>
                <w:bCs/>
                <w:color w:val="auto"/>
                <w:sz w:val="21"/>
                <w:szCs w:val="21"/>
                <w:u w:val="single"/>
              </w:rPr>
            </w:pPr>
            <w:r>
              <w:rPr>
                <w:rFonts w:ascii="Times New Roman" w:hAnsi="Times New Roman"/>
                <w:b w:val="0"/>
                <w:bCs/>
                <w:color w:val="auto"/>
                <w:sz w:val="21"/>
                <w:szCs w:val="21"/>
                <w:u w:val="single"/>
              </w:rPr>
              <w:t>0.</w:t>
            </w:r>
            <w:r>
              <w:rPr>
                <w:rFonts w:hint="eastAsia" w:ascii="Times New Roman" w:hAnsi="Times New Roman"/>
                <w:b w:val="0"/>
                <w:bCs/>
                <w:color w:val="auto"/>
                <w:sz w:val="21"/>
                <w:szCs w:val="21"/>
                <w:u w:val="single"/>
              </w:rPr>
              <w:t>0</w:t>
            </w:r>
            <w:r>
              <w:rPr>
                <w:rFonts w:hint="eastAsia" w:ascii="Times New Roman" w:hAnsi="Times New Roman"/>
                <w:b w:val="0"/>
                <w:bCs/>
                <w:color w:val="auto"/>
                <w:sz w:val="21"/>
                <w:szCs w:val="21"/>
                <w:u w:val="single"/>
                <w:lang w:val="en-US" w:eastAsia="zh-CN"/>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739"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0000FF"/>
                <w:sz w:val="21"/>
                <w:szCs w:val="21"/>
                <w:u w:val="single"/>
              </w:rPr>
            </w:pPr>
            <w:r>
              <w:rPr>
                <w:rFonts w:ascii="Times New Roman" w:hAnsi="Times New Roman"/>
                <w:b w:val="0"/>
                <w:bCs/>
                <w:color w:val="0000FF"/>
                <w:sz w:val="21"/>
                <w:szCs w:val="21"/>
                <w:u w:val="single"/>
              </w:rPr>
              <w:object>
                <v:shape id="_x0000_i1077" o:spt="75" type="#_x0000_t75" style="height:18.8pt;width:21.3pt;" o:ole="t" filled="f" o:preferrelative="t" stroked="f" coordsize="21600,21600">
                  <v:path/>
                  <v:fill on="f" focussize="0,0"/>
                  <v:stroke on="f"/>
                  <v:imagedata r:id="rId114" o:title=""/>
                  <o:lock v:ext="edit" aspectratio="t"/>
                  <w10:wrap type="none"/>
                  <w10:anchorlock/>
                </v:shape>
                <o:OLEObject Type="Embed" ProgID="Equation.3" ShapeID="_x0000_i1077" DrawAspect="Content" ObjectID="_1468075775" r:id="rId143">
                  <o:LockedField>false</o:LockedField>
                </o:OLEObject>
              </w:object>
            </w:r>
          </w:p>
        </w:tc>
        <w:tc>
          <w:tcPr>
            <w:tcW w:w="749"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m</w:t>
            </w:r>
            <w:r>
              <w:rPr>
                <w:rFonts w:ascii="Times New Roman" w:hAnsi="Times New Roman"/>
                <w:b w:val="0"/>
                <w:bCs/>
                <w:color w:val="auto"/>
                <w:sz w:val="21"/>
                <w:szCs w:val="21"/>
                <w:u w:val="single"/>
                <w:vertAlign w:val="superscript"/>
              </w:rPr>
              <w:t>3</w:t>
            </w:r>
            <w:r>
              <w:rPr>
                <w:rFonts w:ascii="Times New Roman" w:hAnsi="Times New Roman"/>
                <w:b w:val="0"/>
                <w:bCs/>
                <w:color w:val="auto"/>
                <w:sz w:val="21"/>
                <w:szCs w:val="21"/>
                <w:u w:val="single"/>
              </w:rPr>
              <w:t>/s</w:t>
            </w:r>
          </w:p>
        </w:tc>
        <w:tc>
          <w:tcPr>
            <w:tcW w:w="1742"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hint="default" w:ascii="Times New Roman" w:hAnsi="Times New Roman" w:eastAsia="宋体"/>
                <w:b w:val="0"/>
                <w:bCs/>
                <w:color w:val="auto"/>
                <w:sz w:val="21"/>
                <w:szCs w:val="21"/>
                <w:u w:val="single"/>
                <w:lang w:val="en-US" w:eastAsia="zh-CN"/>
              </w:rPr>
            </w:pPr>
            <w:r>
              <w:rPr>
                <w:rFonts w:hint="eastAsia" w:ascii="Times New Roman" w:hAnsi="Times New Roman"/>
                <w:b w:val="0"/>
                <w:bCs/>
                <w:color w:val="auto"/>
                <w:sz w:val="21"/>
                <w:szCs w:val="21"/>
                <w:u w:val="single"/>
                <w:lang w:val="en-US" w:eastAsia="zh-CN"/>
              </w:rPr>
              <w:t>14.7</w:t>
            </w:r>
          </w:p>
        </w:tc>
        <w:tc>
          <w:tcPr>
            <w:tcW w:w="1769"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hint="default" w:ascii="Times New Roman" w:hAnsi="Times New Roman" w:eastAsia="宋体"/>
                <w:b w:val="0"/>
                <w:bCs/>
                <w:color w:val="auto"/>
                <w:sz w:val="21"/>
                <w:szCs w:val="21"/>
                <w:u w:val="single"/>
                <w:lang w:val="en-US" w:eastAsia="zh-CN"/>
              </w:rPr>
            </w:pPr>
            <w:r>
              <w:rPr>
                <w:rFonts w:hint="eastAsia" w:ascii="Times New Roman" w:hAnsi="Times New Roman"/>
                <w:b w:val="0"/>
                <w:bCs/>
                <w:color w:val="auto"/>
                <w:sz w:val="21"/>
                <w:szCs w:val="21"/>
                <w:u w:val="single"/>
                <w:lang w:val="en-US" w:eastAsia="zh-CN"/>
              </w:rPr>
              <w:t>14.7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2" w:hRule="exact"/>
          <w:jc w:val="center"/>
        </w:trPr>
        <w:tc>
          <w:tcPr>
            <w:tcW w:w="739"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object>
                <v:shape id="_x0000_i1078" o:spt="75" type="#_x0000_t75" style="height:13.75pt;width:16.3pt;" o:ole="t" filled="f" o:preferrelative="t" stroked="f" coordsize="21600,21600">
                  <v:path/>
                  <v:fill on="f" focussize="0,0"/>
                  <v:stroke on="f"/>
                  <v:imagedata r:id="rId116" o:title=""/>
                  <o:lock v:ext="edit" aspectratio="t"/>
                  <w10:wrap type="none"/>
                  <w10:anchorlock/>
                </v:shape>
                <o:OLEObject Type="Embed" ProgID="Equation.3" ShapeID="_x0000_i1078" DrawAspect="Content" ObjectID="_1468075776" r:id="rId144">
                  <o:LockedField>false</o:LockedField>
                </o:OLEObject>
              </w:object>
            </w:r>
          </w:p>
        </w:tc>
        <w:tc>
          <w:tcPr>
            <w:tcW w:w="749" w:type="pct"/>
            <w:tcBorders>
              <w:top w:val="single" w:color="auto" w:sz="8" w:space="0"/>
              <w:left w:val="single" w:color="auto" w:sz="8" w:space="0"/>
              <w:bottom w:val="single" w:color="auto" w:sz="8"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m</w:t>
            </w:r>
          </w:p>
        </w:tc>
        <w:tc>
          <w:tcPr>
            <w:tcW w:w="1742"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hint="default" w:ascii="Times New Roman" w:hAnsi="Times New Roman" w:eastAsia="宋体"/>
                <w:b w:val="0"/>
                <w:bCs/>
                <w:color w:val="auto"/>
                <w:sz w:val="21"/>
                <w:szCs w:val="21"/>
                <w:u w:val="single"/>
                <w:lang w:val="en-US" w:eastAsia="zh-CN"/>
              </w:rPr>
            </w:pPr>
            <w:r>
              <w:rPr>
                <w:rFonts w:hint="eastAsia" w:ascii="Times New Roman" w:hAnsi="Times New Roman"/>
                <w:b w:val="0"/>
                <w:bCs/>
                <w:color w:val="auto"/>
                <w:sz w:val="21"/>
                <w:szCs w:val="21"/>
                <w:u w:val="single"/>
                <w:lang w:val="en-US" w:eastAsia="zh-CN"/>
              </w:rPr>
              <w:t>50</w:t>
            </w:r>
          </w:p>
        </w:tc>
        <w:tc>
          <w:tcPr>
            <w:tcW w:w="1769" w:type="pct"/>
            <w:gridSpan w:val="2"/>
            <w:tcBorders>
              <w:top w:val="single" w:color="auto" w:sz="8" w:space="0"/>
              <w:left w:val="single" w:color="auto" w:sz="8" w:space="0"/>
              <w:bottom w:val="single" w:color="auto" w:sz="8" w:space="0"/>
              <w:right w:val="single" w:color="auto" w:sz="8" w:space="0"/>
            </w:tcBorders>
            <w:noWrap w:val="0"/>
            <w:vAlign w:val="center"/>
          </w:tcPr>
          <w:p>
            <w:pPr>
              <w:pStyle w:val="73"/>
              <w:rPr>
                <w:rFonts w:hint="default" w:ascii="Times New Roman" w:hAnsi="Times New Roman" w:eastAsia="宋体"/>
                <w:b w:val="0"/>
                <w:bCs/>
                <w:color w:val="auto"/>
                <w:sz w:val="21"/>
                <w:szCs w:val="21"/>
                <w:u w:val="single"/>
                <w:lang w:val="en-US" w:eastAsia="zh-CN"/>
              </w:rPr>
            </w:pPr>
            <w:r>
              <w:rPr>
                <w:rFonts w:hint="eastAsia" w:ascii="Times New Roman" w:hAnsi="Times New Roman"/>
                <w:b w:val="0"/>
                <w:bCs/>
                <w:color w:val="auto"/>
                <w:sz w:val="21"/>
                <w:szCs w:val="21"/>
                <w:u w:val="single"/>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6" w:hRule="exact"/>
          <w:jc w:val="center"/>
        </w:trPr>
        <w:tc>
          <w:tcPr>
            <w:tcW w:w="739" w:type="pct"/>
            <w:gridSpan w:val="2"/>
            <w:tcBorders>
              <w:top w:val="single" w:color="auto" w:sz="8" w:space="0"/>
              <w:left w:val="single" w:color="auto" w:sz="8" w:space="0"/>
              <w:bottom w:val="single" w:color="auto" w:sz="12" w:space="0"/>
              <w:right w:val="single" w:color="auto" w:sz="8" w:space="0"/>
            </w:tcBorders>
            <w:noWrap w:val="0"/>
            <w:vAlign w:val="center"/>
          </w:tcPr>
          <w:p>
            <w:pPr>
              <w:pStyle w:val="73"/>
              <w:rPr>
                <w:rFonts w:ascii="Times New Roman" w:hAnsi="Times New Roman"/>
                <w:b w:val="0"/>
                <w:bCs/>
                <w:color w:val="auto"/>
                <w:sz w:val="21"/>
                <w:szCs w:val="21"/>
                <w:u w:val="single"/>
              </w:rPr>
            </w:pPr>
            <w:r>
              <w:rPr>
                <w:rFonts w:hint="eastAsia" w:ascii="Times New Roman" w:hAnsi="Times New Roman"/>
                <w:b w:val="0"/>
                <w:bCs/>
                <w:color w:val="auto"/>
                <w:sz w:val="21"/>
                <w:szCs w:val="21"/>
                <w:u w:val="single"/>
              </w:rPr>
              <w:t>y</w:t>
            </w:r>
          </w:p>
        </w:tc>
        <w:tc>
          <w:tcPr>
            <w:tcW w:w="749" w:type="pct"/>
            <w:tcBorders>
              <w:top w:val="single" w:color="auto" w:sz="8" w:space="0"/>
              <w:left w:val="single" w:color="auto" w:sz="8" w:space="0"/>
              <w:bottom w:val="single" w:color="auto" w:sz="12" w:space="0"/>
              <w:right w:val="single" w:color="auto" w:sz="8" w:space="0"/>
            </w:tcBorders>
            <w:noWrap w:val="0"/>
            <w:vAlign w:val="center"/>
          </w:tcPr>
          <w:p>
            <w:pPr>
              <w:pStyle w:val="73"/>
              <w:rPr>
                <w:rFonts w:ascii="Times New Roman" w:hAnsi="Times New Roman"/>
                <w:b w:val="0"/>
                <w:bCs/>
                <w:color w:val="auto"/>
                <w:sz w:val="21"/>
                <w:szCs w:val="21"/>
                <w:u w:val="single"/>
              </w:rPr>
            </w:pPr>
            <w:r>
              <w:rPr>
                <w:rFonts w:ascii="Times New Roman" w:hAnsi="Times New Roman"/>
                <w:b w:val="0"/>
                <w:bCs/>
                <w:color w:val="auto"/>
                <w:sz w:val="21"/>
                <w:szCs w:val="21"/>
                <w:u w:val="single"/>
              </w:rPr>
              <w:t>m</w:t>
            </w:r>
          </w:p>
        </w:tc>
        <w:tc>
          <w:tcPr>
            <w:tcW w:w="1742" w:type="pct"/>
            <w:gridSpan w:val="2"/>
            <w:tcBorders>
              <w:top w:val="single" w:color="auto" w:sz="8" w:space="0"/>
              <w:left w:val="single" w:color="auto" w:sz="8" w:space="0"/>
              <w:bottom w:val="single" w:color="auto" w:sz="12" w:space="0"/>
              <w:right w:val="single" w:color="auto" w:sz="8" w:space="0"/>
            </w:tcBorders>
            <w:noWrap w:val="0"/>
            <w:vAlign w:val="center"/>
          </w:tcPr>
          <w:p>
            <w:pPr>
              <w:pStyle w:val="73"/>
              <w:rPr>
                <w:rFonts w:hint="eastAsia" w:ascii="Times New Roman" w:hAnsi="Times New Roman"/>
                <w:b w:val="0"/>
                <w:bCs/>
                <w:color w:val="auto"/>
                <w:sz w:val="21"/>
                <w:szCs w:val="21"/>
                <w:u w:val="single"/>
              </w:rPr>
            </w:pPr>
            <w:r>
              <w:rPr>
                <w:rFonts w:hint="eastAsia" w:ascii="Times New Roman" w:hAnsi="Times New Roman"/>
                <w:b w:val="0"/>
                <w:bCs/>
                <w:color w:val="auto"/>
                <w:sz w:val="21"/>
                <w:szCs w:val="21"/>
                <w:u w:val="single"/>
              </w:rPr>
              <w:t>0</w:t>
            </w:r>
          </w:p>
        </w:tc>
        <w:tc>
          <w:tcPr>
            <w:tcW w:w="1769" w:type="pct"/>
            <w:gridSpan w:val="2"/>
            <w:tcBorders>
              <w:top w:val="single" w:color="auto" w:sz="8" w:space="0"/>
              <w:left w:val="single" w:color="auto" w:sz="8" w:space="0"/>
              <w:bottom w:val="single" w:color="auto" w:sz="12" w:space="0"/>
              <w:right w:val="single" w:color="auto" w:sz="8" w:space="0"/>
            </w:tcBorders>
            <w:noWrap w:val="0"/>
            <w:vAlign w:val="center"/>
          </w:tcPr>
          <w:p>
            <w:pPr>
              <w:pStyle w:val="73"/>
              <w:rPr>
                <w:rFonts w:hint="eastAsia" w:ascii="Times New Roman" w:hAnsi="Times New Roman"/>
                <w:b w:val="0"/>
                <w:bCs/>
                <w:color w:val="auto"/>
                <w:sz w:val="21"/>
                <w:szCs w:val="21"/>
                <w:u w:val="single"/>
              </w:rPr>
            </w:pPr>
            <w:r>
              <w:rPr>
                <w:rFonts w:hint="eastAsia" w:ascii="Times New Roman" w:hAnsi="Times New Roman"/>
                <w:b w:val="0"/>
                <w:bCs/>
                <w:color w:val="auto"/>
                <w:sz w:val="21"/>
                <w:szCs w:val="21"/>
                <w:u w:val="single"/>
              </w:rPr>
              <w:t>0</w:t>
            </w:r>
          </w:p>
        </w:tc>
      </w:tr>
    </w:tbl>
    <w:p>
      <w:pPr>
        <w:pStyle w:val="69"/>
        <w:bidi w:val="0"/>
        <w:rPr>
          <w:rFonts w:hint="eastAsia"/>
          <w:u w:val="single"/>
          <w:lang w:val="en-US" w:eastAsia="zh-CN"/>
        </w:rPr>
      </w:pPr>
      <w:r>
        <w:rPr>
          <w:rFonts w:hint="eastAsia"/>
          <w:u w:val="single"/>
          <w:lang w:val="en-US" w:eastAsia="zh-CN"/>
        </w:rPr>
        <w:t>8.5.4.5计算结果与分析</w:t>
      </w:r>
    </w:p>
    <w:p>
      <w:pPr>
        <w:bidi w:val="0"/>
        <w:rPr>
          <w:rFonts w:hint="eastAsia"/>
          <w:u w:val="single"/>
          <w:lang w:val="en-US" w:eastAsia="zh-CN"/>
        </w:rPr>
      </w:pPr>
      <w:r>
        <w:rPr>
          <w:rFonts w:hint="eastAsia"/>
          <w:u w:val="single"/>
          <w:lang w:val="en-US" w:eastAsia="zh-CN"/>
        </w:rPr>
        <w:t>经公式计算后，枯水期工况预测结果见下表。</w:t>
      </w:r>
    </w:p>
    <w:p>
      <w:pPr>
        <w:pStyle w:val="74"/>
        <w:rPr>
          <w:color w:val="auto"/>
          <w:u w:val="single"/>
        </w:rPr>
      </w:pPr>
      <w:r>
        <w:rPr>
          <w:color w:val="auto"/>
          <w:sz w:val="21"/>
          <w:szCs w:val="21"/>
          <w:u w:val="single"/>
        </w:rPr>
        <w:t xml:space="preserve">表 </w:t>
      </w:r>
      <w:r>
        <w:rPr>
          <w:rFonts w:hint="eastAsia"/>
          <w:color w:val="auto"/>
          <w:sz w:val="21"/>
          <w:szCs w:val="21"/>
          <w:u w:val="single"/>
          <w:lang w:val="en-US" w:eastAsia="zh-CN"/>
        </w:rPr>
        <w:t>8.5</w:t>
      </w:r>
      <w:r>
        <w:rPr>
          <w:color w:val="auto"/>
          <w:sz w:val="21"/>
          <w:szCs w:val="21"/>
          <w:u w:val="single"/>
        </w:rPr>
        <w:noBreakHyphen/>
      </w:r>
      <w:r>
        <w:rPr>
          <w:rFonts w:hint="eastAsia"/>
          <w:color w:val="auto"/>
          <w:sz w:val="21"/>
          <w:szCs w:val="21"/>
          <w:u w:val="single"/>
          <w:lang w:val="en-US" w:eastAsia="zh-CN"/>
        </w:rPr>
        <w:t>3</w:t>
      </w:r>
      <w:r>
        <w:rPr>
          <w:rFonts w:hint="eastAsia"/>
          <w:color w:val="auto"/>
          <w:sz w:val="21"/>
          <w:szCs w:val="21"/>
          <w:u w:val="single"/>
        </w:rPr>
        <w:t>混合区浓度</w:t>
      </w:r>
      <w:r>
        <w:rPr>
          <w:color w:val="auto"/>
          <w:sz w:val="21"/>
          <w:szCs w:val="21"/>
          <w:u w:val="single"/>
        </w:rPr>
        <w:t>预测结果表（枯水期）单位：mg/L</w:t>
      </w:r>
    </w:p>
    <w:tbl>
      <w:tblPr>
        <w:tblStyle w:val="36"/>
        <w:tblW w:w="5000" w:type="pct"/>
        <w:jc w:val="center"/>
        <w:tblLayout w:type="autofit"/>
        <w:tblCellMar>
          <w:top w:w="0" w:type="dxa"/>
          <w:left w:w="108" w:type="dxa"/>
          <w:bottom w:w="0" w:type="dxa"/>
          <w:right w:w="108" w:type="dxa"/>
        </w:tblCellMar>
      </w:tblPr>
      <w:tblGrid>
        <w:gridCol w:w="851"/>
        <w:gridCol w:w="1890"/>
        <w:gridCol w:w="1890"/>
        <w:gridCol w:w="1945"/>
        <w:gridCol w:w="1946"/>
      </w:tblGrid>
      <w:tr>
        <w:tblPrEx>
          <w:tblCellMar>
            <w:top w:w="0" w:type="dxa"/>
            <w:left w:w="108" w:type="dxa"/>
            <w:bottom w:w="0" w:type="dxa"/>
            <w:right w:w="108" w:type="dxa"/>
          </w:tblCellMar>
        </w:tblPrEx>
        <w:trPr>
          <w:trHeight w:val="288" w:hRule="atLeast"/>
          <w:jc w:val="center"/>
        </w:trPr>
        <w:tc>
          <w:tcPr>
            <w:tcW w:w="504" w:type="pct"/>
            <w:vMerge w:val="restart"/>
            <w:tcBorders>
              <w:top w:val="single" w:color="auto" w:sz="4" w:space="0"/>
              <w:left w:val="single" w:color="auto" w:sz="4" w:space="0"/>
              <w:bottom w:val="single" w:color="auto" w:sz="4" w:space="0"/>
              <w:right w:val="single" w:color="auto" w:sz="4" w:space="0"/>
            </w:tcBorders>
            <w:noWrap/>
            <w:vAlign w:val="center"/>
          </w:tcPr>
          <w:p>
            <w:pPr>
              <w:pStyle w:val="73"/>
              <w:rPr>
                <w:color w:val="auto"/>
                <w:u w:val="single"/>
              </w:rPr>
            </w:pPr>
            <w:r>
              <w:rPr>
                <w:rFonts w:hint="eastAsia"/>
                <w:color w:val="auto"/>
                <w:u w:val="single"/>
              </w:rPr>
              <w:t>项目</w:t>
            </w:r>
          </w:p>
        </w:tc>
        <w:tc>
          <w:tcPr>
            <w:tcW w:w="2216" w:type="pct"/>
            <w:gridSpan w:val="2"/>
            <w:tcBorders>
              <w:top w:val="single" w:color="auto" w:sz="4" w:space="0"/>
              <w:left w:val="nil"/>
              <w:bottom w:val="single" w:color="auto" w:sz="4" w:space="0"/>
              <w:right w:val="single" w:color="auto" w:sz="4" w:space="0"/>
            </w:tcBorders>
            <w:noWrap/>
            <w:vAlign w:val="center"/>
          </w:tcPr>
          <w:p>
            <w:pPr>
              <w:pStyle w:val="73"/>
              <w:rPr>
                <w:rFonts w:hint="eastAsia"/>
                <w:color w:val="auto"/>
                <w:u w:val="single"/>
              </w:rPr>
            </w:pPr>
            <w:r>
              <w:rPr>
                <w:rFonts w:hint="eastAsia"/>
                <w:color w:val="auto"/>
                <w:u w:val="single"/>
              </w:rPr>
              <w:t>正常情况</w:t>
            </w:r>
          </w:p>
        </w:tc>
        <w:tc>
          <w:tcPr>
            <w:tcW w:w="2280" w:type="pct"/>
            <w:gridSpan w:val="2"/>
            <w:tcBorders>
              <w:top w:val="single" w:color="auto" w:sz="4" w:space="0"/>
              <w:left w:val="nil"/>
              <w:bottom w:val="single" w:color="auto" w:sz="4" w:space="0"/>
              <w:right w:val="single" w:color="auto" w:sz="4" w:space="0"/>
            </w:tcBorders>
            <w:noWrap/>
            <w:vAlign w:val="center"/>
          </w:tcPr>
          <w:p>
            <w:pPr>
              <w:pStyle w:val="73"/>
              <w:rPr>
                <w:rFonts w:hint="eastAsia"/>
                <w:color w:val="auto"/>
                <w:u w:val="single"/>
              </w:rPr>
            </w:pPr>
            <w:r>
              <w:rPr>
                <w:rFonts w:hint="eastAsia"/>
                <w:color w:val="auto"/>
                <w:u w:val="single"/>
              </w:rPr>
              <w:t>非正常情况</w:t>
            </w:r>
          </w:p>
        </w:tc>
      </w:tr>
      <w:tr>
        <w:tblPrEx>
          <w:tblCellMar>
            <w:top w:w="0" w:type="dxa"/>
            <w:left w:w="108" w:type="dxa"/>
            <w:bottom w:w="0" w:type="dxa"/>
            <w:right w:w="108" w:type="dxa"/>
          </w:tblCellMar>
        </w:tblPrEx>
        <w:trPr>
          <w:trHeight w:val="288" w:hRule="atLeast"/>
          <w:jc w:val="center"/>
        </w:trPr>
        <w:tc>
          <w:tcPr>
            <w:tcW w:w="504" w:type="pct"/>
            <w:vMerge w:val="continue"/>
            <w:tcBorders>
              <w:top w:val="single" w:color="auto" w:sz="4" w:space="0"/>
              <w:left w:val="single" w:color="auto" w:sz="4" w:space="0"/>
              <w:bottom w:val="single" w:color="auto" w:sz="4" w:space="0"/>
              <w:right w:val="single" w:color="auto" w:sz="4" w:space="0"/>
            </w:tcBorders>
            <w:noWrap w:val="0"/>
            <w:vAlign w:val="center"/>
          </w:tcPr>
          <w:p>
            <w:pPr>
              <w:pStyle w:val="73"/>
              <w:rPr>
                <w:color w:val="auto"/>
                <w:u w:val="single"/>
              </w:rPr>
            </w:pPr>
          </w:p>
        </w:tc>
        <w:tc>
          <w:tcPr>
            <w:tcW w:w="1108" w:type="pct"/>
            <w:tcBorders>
              <w:top w:val="nil"/>
              <w:left w:val="nil"/>
              <w:bottom w:val="single" w:color="auto" w:sz="4" w:space="0"/>
              <w:right w:val="single" w:color="auto" w:sz="4" w:space="0"/>
            </w:tcBorders>
            <w:noWrap/>
            <w:vAlign w:val="center"/>
          </w:tcPr>
          <w:p>
            <w:pPr>
              <w:pStyle w:val="73"/>
              <w:rPr>
                <w:rFonts w:hint="eastAsia"/>
                <w:color w:val="auto"/>
                <w:u w:val="single"/>
              </w:rPr>
            </w:pPr>
            <w:r>
              <w:rPr>
                <w:rFonts w:hint="eastAsia"/>
                <w:color w:val="auto"/>
                <w:u w:val="single"/>
              </w:rPr>
              <w:t>混合区平均浓度</w:t>
            </w:r>
          </w:p>
        </w:tc>
        <w:tc>
          <w:tcPr>
            <w:tcW w:w="1108" w:type="pct"/>
            <w:tcBorders>
              <w:top w:val="nil"/>
              <w:left w:val="nil"/>
              <w:bottom w:val="single" w:color="auto" w:sz="4" w:space="0"/>
              <w:right w:val="single" w:color="auto" w:sz="4" w:space="0"/>
            </w:tcBorders>
            <w:noWrap/>
            <w:vAlign w:val="center"/>
          </w:tcPr>
          <w:p>
            <w:pPr>
              <w:pStyle w:val="73"/>
              <w:rPr>
                <w:rFonts w:hint="eastAsia"/>
                <w:color w:val="auto"/>
                <w:u w:val="single"/>
              </w:rPr>
            </w:pPr>
            <w:r>
              <w:rPr>
                <w:rFonts w:hint="eastAsia"/>
                <w:color w:val="auto"/>
                <w:u w:val="single"/>
              </w:rPr>
              <w:t>混合区浓度极值</w:t>
            </w:r>
          </w:p>
        </w:tc>
        <w:tc>
          <w:tcPr>
            <w:tcW w:w="1140" w:type="pct"/>
            <w:tcBorders>
              <w:top w:val="nil"/>
              <w:left w:val="nil"/>
              <w:bottom w:val="single" w:color="auto" w:sz="4" w:space="0"/>
              <w:right w:val="single" w:color="auto" w:sz="4" w:space="0"/>
            </w:tcBorders>
            <w:noWrap/>
            <w:vAlign w:val="center"/>
          </w:tcPr>
          <w:p>
            <w:pPr>
              <w:pStyle w:val="73"/>
              <w:rPr>
                <w:rFonts w:hint="eastAsia"/>
                <w:color w:val="auto"/>
                <w:u w:val="single"/>
              </w:rPr>
            </w:pPr>
            <w:r>
              <w:rPr>
                <w:rFonts w:hint="eastAsia"/>
                <w:color w:val="auto"/>
                <w:u w:val="single"/>
              </w:rPr>
              <w:t>混合区平均浓度</w:t>
            </w:r>
          </w:p>
        </w:tc>
        <w:tc>
          <w:tcPr>
            <w:tcW w:w="1140" w:type="pct"/>
            <w:tcBorders>
              <w:top w:val="nil"/>
              <w:left w:val="nil"/>
              <w:bottom w:val="single" w:color="auto" w:sz="4" w:space="0"/>
              <w:right w:val="single" w:color="auto" w:sz="4" w:space="0"/>
            </w:tcBorders>
            <w:noWrap/>
            <w:vAlign w:val="center"/>
          </w:tcPr>
          <w:p>
            <w:pPr>
              <w:pStyle w:val="73"/>
              <w:rPr>
                <w:rFonts w:hint="eastAsia"/>
                <w:color w:val="auto"/>
                <w:u w:val="single"/>
              </w:rPr>
            </w:pPr>
            <w:r>
              <w:rPr>
                <w:rFonts w:hint="eastAsia"/>
                <w:color w:val="auto"/>
                <w:u w:val="single"/>
              </w:rPr>
              <w:t>混合区浓度极值</w:t>
            </w:r>
          </w:p>
        </w:tc>
      </w:tr>
      <w:tr>
        <w:tblPrEx>
          <w:tblCellMar>
            <w:top w:w="0" w:type="dxa"/>
            <w:left w:w="108" w:type="dxa"/>
            <w:bottom w:w="0" w:type="dxa"/>
            <w:right w:w="108" w:type="dxa"/>
          </w:tblCellMar>
        </w:tblPrEx>
        <w:trPr>
          <w:trHeight w:val="403" w:hRule="atLeast"/>
          <w:jc w:val="center"/>
        </w:trPr>
        <w:tc>
          <w:tcPr>
            <w:tcW w:w="504" w:type="pct"/>
            <w:tcBorders>
              <w:top w:val="nil"/>
              <w:left w:val="single" w:color="auto" w:sz="4" w:space="0"/>
              <w:bottom w:val="single" w:color="auto" w:sz="4" w:space="0"/>
              <w:right w:val="single" w:color="auto" w:sz="4" w:space="0"/>
            </w:tcBorders>
            <w:noWrap w:val="0"/>
            <w:vAlign w:val="center"/>
          </w:tcPr>
          <w:p>
            <w:pPr>
              <w:pStyle w:val="73"/>
              <w:rPr>
                <w:rFonts w:hint="eastAsia" w:ascii="Times New Roman" w:hAnsi="Times New Roman" w:eastAsia="宋体"/>
                <w:color w:val="auto"/>
                <w:sz w:val="21"/>
                <w:u w:val="single"/>
              </w:rPr>
            </w:pPr>
            <w:r>
              <w:rPr>
                <w:rFonts w:ascii="Times New Roman" w:hAnsi="Times New Roman" w:eastAsia="宋体"/>
                <w:color w:val="auto"/>
                <w:sz w:val="21"/>
                <w:u w:val="single"/>
              </w:rPr>
              <w:t>COD</w:t>
            </w:r>
          </w:p>
        </w:tc>
        <w:tc>
          <w:tcPr>
            <w:tcW w:w="1890"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13.16207323</w:t>
            </w:r>
          </w:p>
        </w:tc>
        <w:tc>
          <w:tcPr>
            <w:tcW w:w="1890"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13.22920616</w:t>
            </w:r>
          </w:p>
        </w:tc>
        <w:tc>
          <w:tcPr>
            <w:tcW w:w="1945"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14.25716264</w:t>
            </w:r>
          </w:p>
        </w:tc>
        <w:tc>
          <w:tcPr>
            <w:tcW w:w="1945"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14.77789645</w:t>
            </w:r>
          </w:p>
        </w:tc>
      </w:tr>
      <w:tr>
        <w:tblPrEx>
          <w:tblCellMar>
            <w:top w:w="0" w:type="dxa"/>
            <w:left w:w="108" w:type="dxa"/>
            <w:bottom w:w="0" w:type="dxa"/>
            <w:right w:w="108" w:type="dxa"/>
          </w:tblCellMar>
        </w:tblPrEx>
        <w:trPr>
          <w:trHeight w:val="324" w:hRule="atLeast"/>
          <w:jc w:val="center"/>
        </w:trPr>
        <w:tc>
          <w:tcPr>
            <w:tcW w:w="504" w:type="pct"/>
            <w:tcBorders>
              <w:top w:val="nil"/>
              <w:left w:val="single" w:color="auto" w:sz="4" w:space="0"/>
              <w:bottom w:val="single" w:color="auto" w:sz="4" w:space="0"/>
              <w:right w:val="single" w:color="auto" w:sz="4" w:space="0"/>
            </w:tcBorders>
            <w:noWrap w:val="0"/>
            <w:vAlign w:val="center"/>
          </w:tcPr>
          <w:p>
            <w:pPr>
              <w:pStyle w:val="73"/>
              <w:rPr>
                <w:rFonts w:hint="eastAsia" w:ascii="Times New Roman" w:hAnsi="Times New Roman" w:eastAsia="宋体"/>
                <w:color w:val="auto"/>
                <w:sz w:val="21"/>
                <w:u w:val="single"/>
              </w:rPr>
            </w:pPr>
            <w:r>
              <w:rPr>
                <w:rFonts w:ascii="Times New Roman" w:hAnsi="Times New Roman" w:eastAsia="宋体"/>
                <w:color w:val="auto"/>
                <w:sz w:val="21"/>
                <w:u w:val="single"/>
              </w:rPr>
              <w:t>NH</w:t>
            </w:r>
            <w:r>
              <w:rPr>
                <w:rFonts w:ascii="Times New Roman" w:hAnsi="Times New Roman" w:eastAsia="宋体"/>
                <w:color w:val="auto"/>
                <w:sz w:val="21"/>
                <w:u w:val="single"/>
                <w:vertAlign w:val="subscript"/>
              </w:rPr>
              <w:t>3</w:t>
            </w:r>
            <w:r>
              <w:rPr>
                <w:rFonts w:ascii="Times New Roman" w:hAnsi="Times New Roman" w:eastAsia="宋体"/>
                <w:color w:val="auto"/>
                <w:sz w:val="21"/>
                <w:u w:val="single"/>
              </w:rPr>
              <w:t>-N</w:t>
            </w:r>
          </w:p>
        </w:tc>
        <w:tc>
          <w:tcPr>
            <w:tcW w:w="1890"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0.320587681</w:t>
            </w:r>
          </w:p>
        </w:tc>
        <w:tc>
          <w:tcPr>
            <w:tcW w:w="1890"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0.311551249</w:t>
            </w:r>
          </w:p>
        </w:tc>
        <w:tc>
          <w:tcPr>
            <w:tcW w:w="1945"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0.408194833</w:t>
            </w:r>
          </w:p>
        </w:tc>
        <w:tc>
          <w:tcPr>
            <w:tcW w:w="1945"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0.453010601</w:t>
            </w:r>
          </w:p>
        </w:tc>
      </w:tr>
      <w:tr>
        <w:tblPrEx>
          <w:tblCellMar>
            <w:top w:w="0" w:type="dxa"/>
            <w:left w:w="108" w:type="dxa"/>
            <w:bottom w:w="0" w:type="dxa"/>
            <w:right w:w="108" w:type="dxa"/>
          </w:tblCellMar>
        </w:tblPrEx>
        <w:trPr>
          <w:trHeight w:val="276" w:hRule="atLeast"/>
          <w:jc w:val="center"/>
        </w:trPr>
        <w:tc>
          <w:tcPr>
            <w:tcW w:w="504" w:type="pct"/>
            <w:tcBorders>
              <w:top w:val="nil"/>
              <w:left w:val="single" w:color="auto" w:sz="4" w:space="0"/>
              <w:bottom w:val="single" w:color="auto" w:sz="4" w:space="0"/>
              <w:right w:val="single" w:color="auto" w:sz="4" w:space="0"/>
            </w:tcBorders>
            <w:noWrap w:val="0"/>
            <w:vAlign w:val="center"/>
          </w:tcPr>
          <w:p>
            <w:pPr>
              <w:pStyle w:val="73"/>
              <w:rPr>
                <w:rFonts w:hint="eastAsia" w:ascii="Times New Roman" w:hAnsi="Times New Roman" w:eastAsia="宋体"/>
                <w:color w:val="auto"/>
                <w:sz w:val="21"/>
                <w:u w:val="single"/>
              </w:rPr>
            </w:pPr>
            <w:r>
              <w:rPr>
                <w:rFonts w:ascii="Times New Roman" w:hAnsi="Times New Roman" w:eastAsia="宋体"/>
                <w:color w:val="auto"/>
                <w:sz w:val="21"/>
                <w:u w:val="single"/>
              </w:rPr>
              <w:t>TP</w:t>
            </w:r>
          </w:p>
        </w:tc>
        <w:tc>
          <w:tcPr>
            <w:tcW w:w="1890"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0.061927357</w:t>
            </w:r>
          </w:p>
        </w:tc>
        <w:tc>
          <w:tcPr>
            <w:tcW w:w="1890"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0.062725695</w:t>
            </w:r>
          </w:p>
        </w:tc>
        <w:tc>
          <w:tcPr>
            <w:tcW w:w="1945"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0.072878251</w:t>
            </w:r>
          </w:p>
        </w:tc>
        <w:tc>
          <w:tcPr>
            <w:tcW w:w="1945" w:type="dxa"/>
            <w:tcBorders>
              <w:top w:val="nil"/>
              <w:left w:val="nil"/>
              <w:bottom w:val="single" w:color="auto" w:sz="4" w:space="0"/>
              <w:right w:val="single" w:color="auto" w:sz="4" w:space="0"/>
            </w:tcBorders>
            <w:noWrap/>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1"/>
                <w:u w:val="single"/>
                <w:lang w:val="en-US" w:eastAsia="zh-CN"/>
              </w:rPr>
            </w:pPr>
            <w:r>
              <w:rPr>
                <w:rFonts w:hint="eastAsia" w:ascii="Times New Roman" w:hAnsi="Times New Roman" w:eastAsia="等线" w:cs="Times New Roman"/>
                <w:color w:val="auto"/>
                <w:kern w:val="0"/>
                <w:sz w:val="21"/>
                <w:u w:val="single"/>
                <w:lang w:val="en-US" w:eastAsia="zh-CN"/>
              </w:rPr>
              <w:t>0.078212598</w:t>
            </w:r>
          </w:p>
        </w:tc>
      </w:tr>
    </w:tbl>
    <w:p>
      <w:pPr>
        <w:pStyle w:val="74"/>
        <w:rPr>
          <w:color w:val="auto"/>
          <w:u w:val="single"/>
        </w:rPr>
      </w:pPr>
      <w:r>
        <w:rPr>
          <w:color w:val="auto"/>
          <w:sz w:val="21"/>
          <w:szCs w:val="21"/>
          <w:u w:val="single"/>
        </w:rPr>
        <w:t xml:space="preserve">表 </w:t>
      </w:r>
      <w:r>
        <w:rPr>
          <w:rFonts w:hint="eastAsia"/>
          <w:color w:val="auto"/>
          <w:sz w:val="21"/>
          <w:szCs w:val="21"/>
          <w:u w:val="single"/>
          <w:lang w:val="en-US" w:eastAsia="zh-CN"/>
        </w:rPr>
        <w:t>8.5</w:t>
      </w:r>
      <w:r>
        <w:rPr>
          <w:color w:val="auto"/>
          <w:sz w:val="21"/>
          <w:szCs w:val="21"/>
          <w:u w:val="single"/>
        </w:rPr>
        <w:noBreakHyphen/>
      </w:r>
      <w:r>
        <w:rPr>
          <w:rFonts w:hint="eastAsia"/>
          <w:color w:val="auto"/>
          <w:sz w:val="21"/>
          <w:szCs w:val="21"/>
          <w:u w:val="single"/>
          <w:lang w:val="en-US" w:eastAsia="zh-CN"/>
        </w:rPr>
        <w:t>4</w:t>
      </w:r>
      <w:r>
        <w:rPr>
          <w:color w:val="auto"/>
          <w:sz w:val="21"/>
          <w:szCs w:val="21"/>
          <w:u w:val="single"/>
        </w:rPr>
        <w:t xml:space="preserve"> COD、NH</w:t>
      </w:r>
      <w:r>
        <w:rPr>
          <w:color w:val="auto"/>
          <w:sz w:val="21"/>
          <w:szCs w:val="21"/>
          <w:u w:val="single"/>
          <w:vertAlign w:val="subscript"/>
        </w:rPr>
        <w:t>3</w:t>
      </w:r>
      <w:r>
        <w:rPr>
          <w:color w:val="auto"/>
          <w:sz w:val="21"/>
          <w:szCs w:val="21"/>
          <w:u w:val="single"/>
        </w:rPr>
        <w:t>-N和TP预测结果表（枯水期）单位：mg/L</w:t>
      </w:r>
    </w:p>
    <w:tbl>
      <w:tblPr>
        <w:tblStyle w:val="36"/>
        <w:tblW w:w="5000" w:type="pct"/>
        <w:tblInd w:w="0" w:type="dxa"/>
        <w:tblLayout w:type="fixed"/>
        <w:tblCellMar>
          <w:top w:w="0" w:type="dxa"/>
          <w:left w:w="108" w:type="dxa"/>
          <w:bottom w:w="0" w:type="dxa"/>
          <w:right w:w="108" w:type="dxa"/>
        </w:tblCellMar>
      </w:tblPr>
      <w:tblGrid>
        <w:gridCol w:w="789"/>
        <w:gridCol w:w="1288"/>
        <w:gridCol w:w="1296"/>
        <w:gridCol w:w="1287"/>
        <w:gridCol w:w="1287"/>
        <w:gridCol w:w="1287"/>
        <w:gridCol w:w="1288"/>
      </w:tblGrid>
      <w:tr>
        <w:tblPrEx>
          <w:tblCellMar>
            <w:top w:w="0" w:type="dxa"/>
            <w:left w:w="108" w:type="dxa"/>
            <w:bottom w:w="0" w:type="dxa"/>
            <w:right w:w="108" w:type="dxa"/>
          </w:tblCellMar>
        </w:tblPrEx>
        <w:trPr>
          <w:trHeight w:val="496" w:hRule="atLeast"/>
        </w:trPr>
        <w:tc>
          <w:tcPr>
            <w:tcW w:w="462" w:type="pct"/>
            <w:vMerge w:val="restart"/>
            <w:tcBorders>
              <w:top w:val="single" w:color="auto" w:sz="12" w:space="0"/>
              <w:left w:val="single" w:color="auto" w:sz="8" w:space="0"/>
              <w:bottom w:val="single" w:color="000000" w:sz="8" w:space="0"/>
              <w:right w:val="single" w:color="auto" w:sz="8" w:space="0"/>
              <w:tl2br w:val="single" w:color="auto" w:sz="8" w:space="0"/>
            </w:tcBorders>
            <w:noWrap w:val="0"/>
            <w:vAlign w:val="center"/>
          </w:tcPr>
          <w:p>
            <w:pPr>
              <w:widowControl/>
              <w:snapToGrid/>
              <w:spacing w:line="240" w:lineRule="auto"/>
              <w:ind w:firstLine="0" w:firstLineChars="0"/>
              <w:jc w:val="center"/>
              <w:rPr>
                <w:rFonts w:hint="eastAsia" w:ascii="宋体" w:hAnsi="宋体" w:cs="宋体"/>
                <w:color w:val="auto"/>
                <w:kern w:val="0"/>
                <w:sz w:val="21"/>
                <w:u w:val="single"/>
              </w:rPr>
            </w:pPr>
            <w:r>
              <w:rPr>
                <w:rFonts w:hint="eastAsia" w:ascii="宋体" w:hAnsi="宋体" w:cs="宋体"/>
                <w:color w:val="auto"/>
                <w:kern w:val="0"/>
                <w:sz w:val="21"/>
                <w:u w:val="single"/>
              </w:rPr>
              <w:t>浓度值</w:t>
            </w:r>
          </w:p>
          <w:p>
            <w:pPr>
              <w:pStyle w:val="2"/>
              <w:ind w:firstLine="0" w:firstLineChars="0"/>
              <w:rPr>
                <w:rFonts w:hint="eastAsia"/>
                <w:color w:val="auto"/>
                <w:u w:val="single"/>
              </w:rPr>
            </w:pPr>
            <w:r>
              <w:rPr>
                <w:rFonts w:hint="eastAsia" w:ascii="宋体" w:hAnsi="宋体" w:cs="宋体"/>
                <w:color w:val="auto"/>
                <w:kern w:val="0"/>
                <w:sz w:val="21"/>
                <w:u w:val="single"/>
              </w:rPr>
              <w:t>X</w:t>
            </w:r>
            <w:r>
              <w:rPr>
                <w:rFonts w:ascii="宋体" w:hAnsi="宋体" w:cs="宋体"/>
                <w:color w:val="auto"/>
                <w:kern w:val="0"/>
                <w:sz w:val="21"/>
                <w:u w:val="single"/>
              </w:rPr>
              <w:t>/m</w:t>
            </w:r>
          </w:p>
        </w:tc>
        <w:tc>
          <w:tcPr>
            <w:tcW w:w="1516" w:type="pct"/>
            <w:gridSpan w:val="2"/>
            <w:tcBorders>
              <w:top w:val="single" w:color="auto" w:sz="12" w:space="0"/>
              <w:left w:val="nil"/>
              <w:bottom w:val="single" w:color="auto" w:sz="8" w:space="0"/>
              <w:right w:val="single" w:color="000000" w:sz="8" w:space="0"/>
            </w:tcBorders>
            <w:noWrap w:val="0"/>
            <w:vAlign w:val="center"/>
          </w:tcPr>
          <w:p>
            <w:pPr>
              <w:widowControl/>
              <w:snapToGrid/>
              <w:spacing w:line="240" w:lineRule="auto"/>
              <w:ind w:firstLine="0" w:firstLineChars="0"/>
              <w:jc w:val="center"/>
              <w:rPr>
                <w:rFonts w:hint="eastAsia" w:eastAsia="等线"/>
                <w:color w:val="auto"/>
                <w:kern w:val="0"/>
                <w:sz w:val="21"/>
                <w:u w:val="single"/>
              </w:rPr>
            </w:pPr>
            <w:r>
              <w:rPr>
                <w:rFonts w:eastAsia="等线"/>
                <w:color w:val="auto"/>
                <w:kern w:val="0"/>
                <w:sz w:val="21"/>
                <w:u w:val="single"/>
              </w:rPr>
              <w:t>COD</w:t>
            </w:r>
          </w:p>
        </w:tc>
        <w:tc>
          <w:tcPr>
            <w:tcW w:w="1510" w:type="pct"/>
            <w:gridSpan w:val="2"/>
            <w:tcBorders>
              <w:top w:val="single" w:color="auto" w:sz="12" w:space="0"/>
              <w:left w:val="nil"/>
              <w:bottom w:val="single" w:color="auto" w:sz="8" w:space="0"/>
              <w:right w:val="single" w:color="000000" w:sz="8" w:space="0"/>
            </w:tcBorders>
            <w:noWrap w:val="0"/>
            <w:vAlign w:val="center"/>
          </w:tcPr>
          <w:p>
            <w:pPr>
              <w:widowControl/>
              <w:snapToGrid/>
              <w:spacing w:line="240" w:lineRule="auto"/>
              <w:ind w:firstLine="0" w:firstLineChars="0"/>
              <w:jc w:val="center"/>
              <w:rPr>
                <w:rFonts w:eastAsia="等线"/>
                <w:color w:val="auto"/>
                <w:kern w:val="0"/>
                <w:sz w:val="21"/>
                <w:u w:val="single"/>
              </w:rPr>
            </w:pPr>
            <w:r>
              <w:rPr>
                <w:rFonts w:eastAsia="等线"/>
                <w:color w:val="auto"/>
                <w:kern w:val="0"/>
                <w:sz w:val="21"/>
                <w:u w:val="single"/>
              </w:rPr>
              <w:t>NH</w:t>
            </w:r>
            <w:r>
              <w:rPr>
                <w:rFonts w:eastAsia="等线"/>
                <w:color w:val="auto"/>
                <w:kern w:val="0"/>
                <w:sz w:val="21"/>
                <w:u w:val="single"/>
                <w:vertAlign w:val="subscript"/>
              </w:rPr>
              <w:t>3</w:t>
            </w:r>
            <w:r>
              <w:rPr>
                <w:rFonts w:eastAsia="等线"/>
                <w:color w:val="auto"/>
                <w:kern w:val="0"/>
                <w:sz w:val="21"/>
                <w:u w:val="single"/>
              </w:rPr>
              <w:t>-N</w:t>
            </w:r>
          </w:p>
        </w:tc>
        <w:tc>
          <w:tcPr>
            <w:tcW w:w="1510" w:type="pct"/>
            <w:gridSpan w:val="2"/>
            <w:tcBorders>
              <w:top w:val="single" w:color="auto" w:sz="12" w:space="0"/>
              <w:left w:val="nil"/>
              <w:bottom w:val="single" w:color="auto" w:sz="8" w:space="0"/>
              <w:right w:val="single" w:color="000000" w:sz="8" w:space="0"/>
            </w:tcBorders>
            <w:noWrap w:val="0"/>
            <w:vAlign w:val="center"/>
          </w:tcPr>
          <w:p>
            <w:pPr>
              <w:widowControl/>
              <w:snapToGrid/>
              <w:spacing w:line="240" w:lineRule="auto"/>
              <w:ind w:firstLine="0" w:firstLineChars="0"/>
              <w:jc w:val="center"/>
              <w:rPr>
                <w:rFonts w:eastAsia="等线"/>
                <w:color w:val="auto"/>
                <w:kern w:val="0"/>
                <w:sz w:val="21"/>
                <w:u w:val="single"/>
              </w:rPr>
            </w:pPr>
            <w:r>
              <w:rPr>
                <w:rFonts w:eastAsia="等线"/>
                <w:color w:val="auto"/>
                <w:kern w:val="0"/>
                <w:sz w:val="21"/>
                <w:u w:val="single"/>
              </w:rPr>
              <w:t>TP</w:t>
            </w:r>
          </w:p>
        </w:tc>
      </w:tr>
      <w:tr>
        <w:tblPrEx>
          <w:tblCellMar>
            <w:top w:w="0" w:type="dxa"/>
            <w:left w:w="108" w:type="dxa"/>
            <w:bottom w:w="0" w:type="dxa"/>
            <w:right w:w="108" w:type="dxa"/>
          </w:tblCellMar>
        </w:tblPrEx>
        <w:trPr>
          <w:trHeight w:val="297" w:hRule="atLeast"/>
        </w:trPr>
        <w:tc>
          <w:tcPr>
            <w:tcW w:w="462" w:type="pct"/>
            <w:vMerge w:val="continue"/>
            <w:tcBorders>
              <w:top w:val="single" w:color="auto" w:sz="12" w:space="0"/>
              <w:left w:val="single" w:color="auto" w:sz="8" w:space="0"/>
              <w:bottom w:val="single" w:color="000000" w:sz="8" w:space="0"/>
              <w:right w:val="single" w:color="auto" w:sz="8" w:space="0"/>
            </w:tcBorders>
            <w:noWrap w:val="0"/>
            <w:vAlign w:val="center"/>
          </w:tcPr>
          <w:p>
            <w:pPr>
              <w:widowControl/>
              <w:snapToGrid/>
              <w:spacing w:line="240" w:lineRule="auto"/>
              <w:ind w:firstLine="0" w:firstLineChars="0"/>
              <w:jc w:val="left"/>
              <w:rPr>
                <w:rFonts w:ascii="宋体" w:hAnsi="宋体" w:cs="宋体"/>
                <w:color w:val="auto"/>
                <w:kern w:val="0"/>
                <w:sz w:val="21"/>
                <w:u w:val="single"/>
              </w:rPr>
            </w:pP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宋体" w:hAnsi="宋体" w:cs="宋体"/>
                <w:color w:val="auto"/>
                <w:kern w:val="0"/>
                <w:sz w:val="21"/>
                <w:u w:val="single"/>
              </w:rPr>
            </w:pPr>
            <w:r>
              <w:rPr>
                <w:rFonts w:hint="eastAsia" w:ascii="宋体" w:hAnsi="宋体" w:cs="宋体"/>
                <w:color w:val="auto"/>
                <w:kern w:val="0"/>
                <w:sz w:val="21"/>
                <w:u w:val="single"/>
              </w:rPr>
              <w:t>正常排放</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宋体" w:hAnsi="宋体" w:cs="宋体"/>
                <w:color w:val="auto"/>
                <w:kern w:val="0"/>
                <w:sz w:val="21"/>
                <w:u w:val="single"/>
              </w:rPr>
            </w:pPr>
            <w:r>
              <w:rPr>
                <w:rFonts w:hint="eastAsia" w:ascii="宋体" w:hAnsi="宋体" w:cs="宋体"/>
                <w:color w:val="auto"/>
                <w:kern w:val="0"/>
                <w:sz w:val="21"/>
                <w:u w:val="single"/>
              </w:rPr>
              <w:t>非正常排放</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宋体" w:hAnsi="宋体" w:cs="宋体"/>
                <w:color w:val="auto"/>
                <w:kern w:val="0"/>
                <w:sz w:val="21"/>
                <w:u w:val="single"/>
              </w:rPr>
            </w:pPr>
            <w:r>
              <w:rPr>
                <w:rFonts w:hint="eastAsia" w:ascii="宋体" w:hAnsi="宋体" w:cs="宋体"/>
                <w:color w:val="auto"/>
                <w:kern w:val="0"/>
                <w:sz w:val="21"/>
                <w:u w:val="single"/>
              </w:rPr>
              <w:t>正常排放</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宋体" w:hAnsi="宋体" w:cs="宋体"/>
                <w:color w:val="auto"/>
                <w:kern w:val="0"/>
                <w:sz w:val="21"/>
                <w:u w:val="single"/>
              </w:rPr>
            </w:pPr>
            <w:r>
              <w:rPr>
                <w:rFonts w:hint="eastAsia" w:ascii="宋体" w:hAnsi="宋体" w:cs="宋体"/>
                <w:color w:val="auto"/>
                <w:kern w:val="0"/>
                <w:sz w:val="21"/>
                <w:u w:val="single"/>
              </w:rPr>
              <w:t>非正常排放</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宋体" w:hAnsi="宋体" w:cs="宋体"/>
                <w:color w:val="auto"/>
                <w:kern w:val="0"/>
                <w:sz w:val="21"/>
                <w:u w:val="single"/>
              </w:rPr>
            </w:pPr>
            <w:r>
              <w:rPr>
                <w:rFonts w:hint="eastAsia" w:ascii="宋体" w:hAnsi="宋体" w:cs="宋体"/>
                <w:color w:val="auto"/>
                <w:kern w:val="0"/>
                <w:sz w:val="21"/>
                <w:u w:val="single"/>
              </w:rPr>
              <w:t>正常排放</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宋体" w:hAnsi="宋体" w:cs="宋体"/>
                <w:color w:val="auto"/>
                <w:kern w:val="0"/>
                <w:sz w:val="21"/>
                <w:u w:val="single"/>
              </w:rPr>
            </w:pPr>
            <w:r>
              <w:rPr>
                <w:rFonts w:hint="eastAsia" w:ascii="宋体" w:hAnsi="宋体" w:cs="宋体"/>
                <w:color w:val="auto"/>
                <w:kern w:val="0"/>
                <w:sz w:val="21"/>
                <w:u w:val="single"/>
              </w:rPr>
              <w:t>非正常排放</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hint="eastAsia" w:eastAsia="等线"/>
                <w:color w:val="auto"/>
                <w:kern w:val="0"/>
                <w:sz w:val="20"/>
                <w:szCs w:val="22"/>
                <w:u w:val="single"/>
              </w:rPr>
            </w:pPr>
            <w:r>
              <w:rPr>
                <w:rFonts w:eastAsia="等线"/>
                <w:color w:val="auto"/>
                <w:kern w:val="0"/>
                <w:sz w:val="20"/>
                <w:szCs w:val="22"/>
                <w:u w:val="single"/>
              </w:rPr>
              <w:t>0</w:t>
            </w:r>
          </w:p>
        </w:tc>
        <w:tc>
          <w:tcPr>
            <w:tcW w:w="755" w:type="pct"/>
            <w:tcBorders>
              <w:top w:val="single" w:color="auto" w:sz="4" w:space="0"/>
              <w:left w:val="single" w:color="auto" w:sz="4" w:space="0"/>
              <w:bottom w:val="single" w:color="auto" w:sz="4" w:space="0"/>
              <w:right w:val="single" w:color="auto" w:sz="4" w:space="0"/>
            </w:tcBorders>
            <w:noWrap/>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13.01160011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rPr>
            </w:pPr>
            <w:r>
              <w:rPr>
                <w:rFonts w:hint="eastAsia" w:ascii="Times New Roman" w:hAnsi="Times New Roman" w:eastAsia="等线" w:cs="Times New Roman"/>
                <w:color w:val="auto"/>
                <w:kern w:val="0"/>
                <w:sz w:val="20"/>
                <w:szCs w:val="22"/>
                <w:u w:val="single"/>
                <w:lang w:val="en-US" w:eastAsia="zh-CN"/>
              </w:rPr>
              <w:t>13.08980011</w:t>
            </w:r>
          </w:p>
        </w:tc>
        <w:tc>
          <w:tcPr>
            <w:tcW w:w="755" w:type="pct"/>
            <w:tcBorders>
              <w:top w:val="single" w:color="auto" w:sz="4" w:space="0"/>
              <w:left w:val="single" w:color="auto" w:sz="4" w:space="0"/>
              <w:bottom w:val="single" w:color="auto" w:sz="4" w:space="0"/>
              <w:right w:val="single" w:color="auto" w:sz="4" w:space="0"/>
            </w:tcBorders>
            <w:noWrap/>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0.30150011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0.30770011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0.06010011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0.06090011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eastAsia="等线"/>
                <w:color w:val="auto"/>
                <w:kern w:val="0"/>
                <w:sz w:val="20"/>
                <w:szCs w:val="22"/>
                <w:u w:val="single"/>
              </w:rPr>
            </w:pPr>
            <w:r>
              <w:rPr>
                <w:rFonts w:eastAsia="等线"/>
                <w:color w:val="auto"/>
                <w:kern w:val="0"/>
                <w:sz w:val="20"/>
                <w:szCs w:val="22"/>
                <w:u w:val="single"/>
              </w:rPr>
              <w:t>50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13.00380011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rPr>
            </w:pPr>
            <w:r>
              <w:rPr>
                <w:rFonts w:hint="eastAsia" w:ascii="Times New Roman" w:hAnsi="Times New Roman" w:eastAsia="等线" w:cs="Times New Roman"/>
                <w:color w:val="auto"/>
                <w:kern w:val="0"/>
                <w:sz w:val="20"/>
                <w:szCs w:val="22"/>
                <w:u w:val="single"/>
                <w:lang w:val="en-US" w:eastAsia="zh-CN"/>
              </w:rPr>
              <w:t>13.08200011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0.30130011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0.30760011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0.06010011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0.06090011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eastAsia="等线"/>
                <w:color w:val="auto"/>
                <w:kern w:val="0"/>
                <w:sz w:val="20"/>
                <w:szCs w:val="22"/>
                <w:u w:val="single"/>
              </w:rPr>
            </w:pPr>
            <w:r>
              <w:rPr>
                <w:rFonts w:eastAsia="等线"/>
                <w:color w:val="auto"/>
                <w:kern w:val="0"/>
                <w:sz w:val="20"/>
                <w:szCs w:val="22"/>
                <w:u w:val="single"/>
              </w:rPr>
              <w:t>200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12.98050011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rPr>
            </w:pPr>
            <w:r>
              <w:rPr>
                <w:rFonts w:hint="eastAsia" w:ascii="Times New Roman" w:hAnsi="Times New Roman" w:eastAsia="等线" w:cs="Times New Roman"/>
                <w:color w:val="auto"/>
                <w:kern w:val="0"/>
                <w:sz w:val="20"/>
                <w:szCs w:val="22"/>
                <w:u w:val="single"/>
                <w:lang w:val="en-US" w:eastAsia="zh-CN"/>
              </w:rPr>
              <w:t>13.05860011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0.30080011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0.30710011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0.06000011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0.06080011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eastAsia="等线"/>
                <w:color w:val="auto"/>
                <w:kern w:val="0"/>
                <w:sz w:val="20"/>
                <w:szCs w:val="22"/>
                <w:u w:val="single"/>
              </w:rPr>
            </w:pPr>
            <w:r>
              <w:rPr>
                <w:rFonts w:eastAsia="等线"/>
                <w:color w:val="auto"/>
                <w:kern w:val="0"/>
                <w:sz w:val="20"/>
                <w:szCs w:val="22"/>
                <w:u w:val="single"/>
              </w:rPr>
              <w:t>500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12.93410011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default" w:ascii="Times New Roman" w:hAnsi="Times New Roman" w:eastAsia="等线" w:cs="Times New Roman"/>
                <w:color w:val="auto"/>
                <w:kern w:val="0"/>
                <w:sz w:val="20"/>
                <w:szCs w:val="22"/>
                <w:u w:val="single"/>
                <w:lang w:val="en-US"/>
              </w:rPr>
            </w:pPr>
            <w:r>
              <w:rPr>
                <w:rFonts w:hint="eastAsia" w:ascii="Times New Roman" w:hAnsi="Times New Roman" w:eastAsia="等线" w:cs="Times New Roman"/>
                <w:color w:val="auto"/>
                <w:kern w:val="0"/>
                <w:sz w:val="20"/>
                <w:szCs w:val="22"/>
                <w:u w:val="single"/>
                <w:lang w:val="en-US" w:eastAsia="zh-CN"/>
              </w:rPr>
              <w:t>13.01190011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0.29990011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0.30610011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0.05980011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0.06060011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eastAsia="等线"/>
                <w:color w:val="auto"/>
                <w:kern w:val="0"/>
                <w:sz w:val="20"/>
                <w:szCs w:val="22"/>
                <w:u w:val="single"/>
              </w:rPr>
            </w:pPr>
            <w:r>
              <w:rPr>
                <w:rFonts w:eastAsia="等线"/>
                <w:color w:val="auto"/>
                <w:kern w:val="0"/>
                <w:sz w:val="20"/>
                <w:szCs w:val="22"/>
                <w:u w:val="single"/>
              </w:rPr>
              <w:t>1000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12.85710011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12.93440011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0.29830011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0.30450011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0.05950011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0.06030011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eastAsia="等线"/>
                <w:color w:val="auto"/>
                <w:kern w:val="0"/>
                <w:sz w:val="20"/>
                <w:szCs w:val="22"/>
                <w:u w:val="single"/>
              </w:rPr>
            </w:pPr>
            <w:r>
              <w:rPr>
                <w:rFonts w:eastAsia="等线"/>
                <w:color w:val="auto"/>
                <w:kern w:val="0"/>
                <w:sz w:val="20"/>
                <w:szCs w:val="22"/>
                <w:u w:val="single"/>
              </w:rPr>
              <w:t>1500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12.78060011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12.85740011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0.29680011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0.30290011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0.05920011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0.06000011</w:t>
            </w:r>
          </w:p>
        </w:tc>
      </w:tr>
      <w:tr>
        <w:tblPrEx>
          <w:tblCellMar>
            <w:top w:w="0" w:type="dxa"/>
            <w:left w:w="108" w:type="dxa"/>
            <w:bottom w:w="0" w:type="dxa"/>
            <w:right w:w="108" w:type="dxa"/>
          </w:tblCellMar>
        </w:tblPrEx>
        <w:trPr>
          <w:trHeight w:val="288" w:hRule="atLeast"/>
        </w:trPr>
        <w:tc>
          <w:tcPr>
            <w:tcW w:w="462" w:type="pct"/>
            <w:tcBorders>
              <w:top w:val="nil"/>
              <w:left w:val="single" w:color="auto" w:sz="8" w:space="0"/>
              <w:bottom w:val="single" w:color="auto" w:sz="8" w:space="0"/>
              <w:right w:val="single" w:color="auto" w:sz="8" w:space="0"/>
            </w:tcBorders>
            <w:noWrap w:val="0"/>
            <w:vAlign w:val="center"/>
          </w:tcPr>
          <w:p>
            <w:pPr>
              <w:widowControl/>
              <w:snapToGrid/>
              <w:spacing w:line="240" w:lineRule="auto"/>
              <w:ind w:firstLine="0" w:firstLineChars="0"/>
              <w:jc w:val="center"/>
              <w:rPr>
                <w:rFonts w:eastAsia="等线"/>
                <w:color w:val="auto"/>
                <w:kern w:val="0"/>
                <w:sz w:val="20"/>
                <w:szCs w:val="22"/>
                <w:u w:val="single"/>
              </w:rPr>
            </w:pPr>
            <w:r>
              <w:rPr>
                <w:rFonts w:eastAsia="等线"/>
                <w:color w:val="auto"/>
                <w:kern w:val="0"/>
                <w:sz w:val="20"/>
                <w:szCs w:val="22"/>
                <w:u w:val="single"/>
              </w:rPr>
              <w:t>2000</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12.70450011</w:t>
            </w:r>
          </w:p>
        </w:tc>
        <w:tc>
          <w:tcPr>
            <w:tcW w:w="760"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12.78090011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ascii="Times New Roman" w:hAnsi="Times New Roman" w:eastAsia="等线" w:cs="Times New Roman"/>
                <w:color w:val="auto"/>
                <w:kern w:val="0"/>
                <w:sz w:val="20"/>
                <w:szCs w:val="22"/>
                <w:u w:val="single"/>
              </w:rPr>
            </w:pPr>
            <w:r>
              <w:rPr>
                <w:rFonts w:hint="eastAsia" w:ascii="Times New Roman" w:hAnsi="Times New Roman" w:eastAsia="等线" w:cs="Times New Roman"/>
                <w:color w:val="auto"/>
                <w:kern w:val="0"/>
                <w:sz w:val="20"/>
                <w:szCs w:val="22"/>
                <w:u w:val="single"/>
                <w:lang w:val="en-US" w:eastAsia="zh-CN"/>
              </w:rPr>
              <w:t>0.29520011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0.30140011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0.05890.011</w:t>
            </w:r>
          </w:p>
        </w:tc>
        <w:tc>
          <w:tcPr>
            <w:tcW w:w="755" w:type="pct"/>
            <w:tcBorders>
              <w:top w:val="nil"/>
              <w:left w:val="nil"/>
              <w:bottom w:val="single" w:color="auto" w:sz="8" w:space="0"/>
              <w:right w:val="single" w:color="auto" w:sz="8" w:space="0"/>
            </w:tcBorders>
            <w:noWrap w:val="0"/>
            <w:vAlign w:val="center"/>
          </w:tcPr>
          <w:p>
            <w:pPr>
              <w:widowControl/>
              <w:snapToGrid/>
              <w:spacing w:line="240" w:lineRule="auto"/>
              <w:ind w:firstLine="0" w:firstLineChars="0"/>
              <w:jc w:val="center"/>
              <w:rPr>
                <w:rFonts w:hint="eastAsia" w:ascii="Times New Roman" w:hAnsi="Times New Roman" w:eastAsia="等线" w:cs="Times New Roman"/>
                <w:color w:val="auto"/>
                <w:kern w:val="0"/>
                <w:sz w:val="20"/>
                <w:szCs w:val="22"/>
                <w:u w:val="single"/>
                <w:lang w:val="en-US" w:eastAsia="zh-CN"/>
              </w:rPr>
            </w:pPr>
            <w:r>
              <w:rPr>
                <w:rFonts w:hint="eastAsia" w:ascii="Times New Roman" w:hAnsi="Times New Roman" w:eastAsia="等线" w:cs="Times New Roman"/>
                <w:color w:val="auto"/>
                <w:kern w:val="0"/>
                <w:sz w:val="20"/>
                <w:szCs w:val="22"/>
                <w:u w:val="single"/>
                <w:lang w:val="en-US" w:eastAsia="zh-CN"/>
              </w:rPr>
              <w:t>0.05970011</w:t>
            </w:r>
          </w:p>
        </w:tc>
      </w:tr>
    </w:tbl>
    <w:p>
      <w:pPr>
        <w:bidi w:val="0"/>
        <w:jc w:val="both"/>
        <w:rPr>
          <w:rFonts w:hint="eastAsia"/>
          <w:u w:val="single"/>
          <w:lang w:val="en-US" w:eastAsia="zh-CN"/>
        </w:rPr>
      </w:pPr>
      <w:r>
        <w:rPr>
          <w:rFonts w:hint="eastAsia"/>
          <w:u w:val="single"/>
          <w:lang w:val="en-US" w:eastAsia="zh-CN"/>
        </w:rPr>
        <w:t>由表可知：枯水期，尾水正常排放时，污水尾水COD、NH</w:t>
      </w:r>
      <w:r>
        <w:rPr>
          <w:rFonts w:hint="eastAsia"/>
          <w:u w:val="single"/>
          <w:vertAlign w:val="subscript"/>
          <w:lang w:val="en-US" w:eastAsia="zh-CN"/>
        </w:rPr>
        <w:t>3</w:t>
      </w:r>
      <w:r>
        <w:rPr>
          <w:rFonts w:hint="eastAsia"/>
          <w:u w:val="single"/>
          <w:lang w:val="en-US" w:eastAsia="zh-CN"/>
        </w:rPr>
        <w:t>-N、TP能达到《地表水环境质量标准》（GB3838-2002）Ⅲ类标准；非正常排放时，污水尾水与猛洞河混合时，COD、NH</w:t>
      </w:r>
      <w:r>
        <w:rPr>
          <w:rFonts w:hint="eastAsia"/>
          <w:u w:val="single"/>
          <w:vertAlign w:val="subscript"/>
          <w:lang w:val="en-US" w:eastAsia="zh-CN"/>
        </w:rPr>
        <w:t>3</w:t>
      </w:r>
      <w:r>
        <w:rPr>
          <w:rFonts w:hint="eastAsia"/>
          <w:u w:val="single"/>
          <w:lang w:val="en-US" w:eastAsia="zh-CN"/>
        </w:rPr>
        <w:t>-N、TP浓度也能达到《地表水环境质量标准》（GB3838-2002）Ⅲ类标准。因此，项目排污不会影响到下游5000m处的水质。</w:t>
      </w:r>
    </w:p>
    <w:p>
      <w:pPr>
        <w:bidi w:val="0"/>
        <w:jc w:val="both"/>
        <w:rPr>
          <w:rFonts w:hint="eastAsia"/>
          <w:u w:val="single"/>
          <w:lang w:val="en-US" w:eastAsia="zh-CN"/>
        </w:rPr>
      </w:pPr>
      <w:r>
        <w:rPr>
          <w:rFonts w:hint="eastAsia"/>
          <w:u w:val="single"/>
          <w:lang w:val="en-US" w:eastAsia="zh-CN"/>
        </w:rPr>
        <w:t>综上，水质枯水期污水处理厂正常工况下排放能满足《地表水环境质量标准》（GB3838-2002）Ⅲ类标准；水质枯水期污水处理厂非正常工况下排放也能满足《地表水环境质量标准》（GB3838-2002）Ⅲ类标准，要杜绝项目非事故排放。</w:t>
      </w:r>
    </w:p>
    <w:p>
      <w:pPr>
        <w:pStyle w:val="6"/>
        <w:bidi w:val="0"/>
        <w:rPr>
          <w:rFonts w:hint="default"/>
          <w:lang w:val="en-US" w:eastAsia="zh-CN"/>
        </w:rPr>
      </w:pPr>
      <w:r>
        <w:rPr>
          <w:rFonts w:hint="eastAsia"/>
          <w:lang w:val="en-US" w:eastAsia="zh-CN"/>
        </w:rPr>
        <w:t>8.5.4排放总量合理性分析</w:t>
      </w:r>
    </w:p>
    <w:p>
      <w:pPr>
        <w:bidi w:val="0"/>
        <w:rPr>
          <w:rFonts w:hint="eastAsia"/>
          <w:lang w:val="en-US" w:eastAsia="zh-CN"/>
        </w:rPr>
      </w:pPr>
      <w:r>
        <w:rPr>
          <w:rFonts w:hint="eastAsia"/>
          <w:u w:val="single"/>
          <w:lang w:val="en-US" w:eastAsia="zh-CN"/>
        </w:rPr>
        <w:t>湖南永顺经济开发区猛洞河产业园污水处理厂建设项目的</w:t>
      </w:r>
      <w:r>
        <w:rPr>
          <w:rFonts w:hint="eastAsia"/>
          <w:color w:val="auto"/>
          <w:szCs w:val="21"/>
          <w:u w:val="single"/>
          <w:lang w:eastAsia="zh-CN"/>
        </w:rPr>
        <w:t>污水处理</w:t>
      </w:r>
      <w:r>
        <w:rPr>
          <w:rFonts w:hint="eastAsia"/>
          <w:color w:val="auto"/>
          <w:szCs w:val="21"/>
          <w:u w:val="single"/>
          <w:lang w:val="en-US" w:eastAsia="zh-CN"/>
        </w:rPr>
        <w:t>规模为1000m</w:t>
      </w:r>
      <w:r>
        <w:rPr>
          <w:rFonts w:hint="eastAsia"/>
          <w:color w:val="auto"/>
          <w:szCs w:val="21"/>
          <w:u w:val="single"/>
          <w:vertAlign w:val="superscript"/>
          <w:lang w:val="en-US" w:eastAsia="zh-CN"/>
        </w:rPr>
        <w:t>3</w:t>
      </w:r>
      <w:r>
        <w:rPr>
          <w:rFonts w:hint="eastAsia"/>
          <w:color w:val="auto"/>
          <w:szCs w:val="21"/>
          <w:u w:val="single"/>
          <w:lang w:val="en-US" w:eastAsia="zh-CN"/>
        </w:rPr>
        <w:t>/d，排放标准执行</w:t>
      </w:r>
      <w:r>
        <w:rPr>
          <w:rFonts w:hAnsi="宋体"/>
          <w:color w:val="auto"/>
          <w:u w:val="single"/>
        </w:rPr>
        <w:t>《城镇污水处理厂污染物排放标准》</w:t>
      </w:r>
      <w:r>
        <w:rPr>
          <w:rFonts w:hint="eastAsia" w:hAnsi="宋体"/>
          <w:color w:val="auto"/>
          <w:u w:val="single"/>
        </w:rPr>
        <w:t>（GB18918-2002）一级</w:t>
      </w:r>
      <w:r>
        <w:rPr>
          <w:rFonts w:hAnsi="宋体"/>
          <w:color w:val="auto"/>
          <w:u w:val="single"/>
        </w:rPr>
        <w:t>A</w:t>
      </w:r>
      <w:r>
        <w:rPr>
          <w:rFonts w:hint="eastAsia" w:hAnsi="宋体"/>
          <w:color w:val="auto"/>
          <w:u w:val="single"/>
          <w:lang w:eastAsia="zh-CN"/>
        </w:rPr>
        <w:t>，</w:t>
      </w:r>
      <w:r>
        <w:rPr>
          <w:rFonts w:hint="eastAsia"/>
          <w:color w:val="auto"/>
          <w:szCs w:val="21"/>
          <w:u w:val="single"/>
          <w:lang w:eastAsia="zh-CN"/>
        </w:rPr>
        <w:t>工艺采用“</w:t>
      </w:r>
      <w:r>
        <w:rPr>
          <w:rFonts w:hint="eastAsia"/>
          <w:color w:val="auto"/>
          <w:u w:val="single"/>
          <w:lang w:eastAsia="zh-CN"/>
        </w:rPr>
        <w:t>格栅渠</w:t>
      </w:r>
      <w:r>
        <w:rPr>
          <w:rFonts w:hint="eastAsia"/>
          <w:color w:val="auto"/>
          <w:u w:val="single"/>
        </w:rPr>
        <w:t>→沉砂池→调节池→</w:t>
      </w:r>
      <w:r>
        <w:rPr>
          <w:rFonts w:hint="eastAsia"/>
          <w:color w:val="auto"/>
          <w:u w:val="single"/>
          <w:lang w:val="en-US" w:eastAsia="zh-CN"/>
        </w:rPr>
        <w:t>MBR一体化设备</w:t>
      </w:r>
      <w:r>
        <w:rPr>
          <w:rFonts w:hint="eastAsia"/>
          <w:color w:val="auto"/>
          <w:u w:val="single"/>
        </w:rPr>
        <w:t>→紫外消毒→</w:t>
      </w:r>
      <w:r>
        <w:rPr>
          <w:rFonts w:hint="eastAsia"/>
          <w:color w:val="auto"/>
          <w:u w:val="single"/>
          <w:lang w:eastAsia="zh-CN"/>
        </w:rPr>
        <w:t>清水池”</w:t>
      </w:r>
      <w:r>
        <w:rPr>
          <w:rFonts w:hint="eastAsia"/>
          <w:color w:val="auto"/>
          <w:szCs w:val="21"/>
          <w:u w:val="single"/>
        </w:rPr>
        <w:t>工艺</w:t>
      </w:r>
      <w:r>
        <w:rPr>
          <w:color w:val="auto"/>
          <w:szCs w:val="21"/>
          <w:u w:val="single"/>
        </w:rPr>
        <w:t>。</w:t>
      </w:r>
      <w:r>
        <w:rPr>
          <w:color w:val="auto"/>
          <w:u w:val="single"/>
          <w:lang w:val="zh-CN"/>
        </w:rPr>
        <w:t>工程运行之后，COD</w:t>
      </w:r>
      <w:r>
        <w:rPr>
          <w:color w:val="auto"/>
          <w:u w:val="single"/>
          <w:vertAlign w:val="subscript"/>
          <w:lang w:val="zh-CN"/>
        </w:rPr>
        <w:t>Cr</w:t>
      </w:r>
      <w:r>
        <w:rPr>
          <w:color w:val="auto"/>
          <w:u w:val="single"/>
          <w:lang w:val="zh-CN"/>
        </w:rPr>
        <w:t>由原先的</w:t>
      </w:r>
      <w:r>
        <w:rPr>
          <w:rFonts w:hint="eastAsia"/>
          <w:color w:val="auto"/>
          <w:u w:val="single"/>
          <w:lang w:val="en-US" w:eastAsia="zh-CN"/>
        </w:rPr>
        <w:t>182.5t</w:t>
      </w:r>
      <w:r>
        <w:rPr>
          <w:color w:val="auto"/>
          <w:u w:val="single"/>
          <w:lang w:val="zh-CN"/>
        </w:rPr>
        <w:t>/a削减至</w:t>
      </w:r>
      <w:r>
        <w:rPr>
          <w:rFonts w:hint="eastAsia"/>
          <w:color w:val="auto"/>
          <w:u w:val="single"/>
          <w:lang w:val="en-US" w:eastAsia="zh-CN"/>
        </w:rPr>
        <w:t>18.25</w:t>
      </w:r>
      <w:r>
        <w:rPr>
          <w:color w:val="auto"/>
          <w:u w:val="single"/>
          <w:lang w:val="zh-CN"/>
        </w:rPr>
        <w:t>t/a，削减量达到</w:t>
      </w:r>
      <w:r>
        <w:rPr>
          <w:rFonts w:hint="eastAsia"/>
          <w:color w:val="auto"/>
          <w:u w:val="single"/>
          <w:lang w:val="en-US" w:eastAsia="zh-CN"/>
        </w:rPr>
        <w:t>164.25</w:t>
      </w:r>
      <w:r>
        <w:rPr>
          <w:color w:val="auto"/>
          <w:u w:val="single"/>
          <w:lang w:val="zh-CN"/>
        </w:rPr>
        <w:t>t/a，削减率达</w:t>
      </w:r>
      <w:r>
        <w:rPr>
          <w:rFonts w:hint="eastAsia"/>
          <w:color w:val="auto"/>
          <w:u w:val="single"/>
          <w:lang w:val="en-US" w:eastAsia="zh-CN"/>
        </w:rPr>
        <w:t>90</w:t>
      </w:r>
      <w:r>
        <w:rPr>
          <w:color w:val="auto"/>
          <w:u w:val="single"/>
          <w:lang w:val="zh-CN"/>
        </w:rPr>
        <w:t>%</w:t>
      </w:r>
      <w:r>
        <w:rPr>
          <w:rFonts w:hint="eastAsia"/>
          <w:color w:val="auto"/>
          <w:u w:val="single"/>
          <w:lang w:val="zh-CN"/>
        </w:rPr>
        <w:t>；</w:t>
      </w:r>
      <w:r>
        <w:rPr>
          <w:color w:val="auto"/>
          <w:u w:val="single"/>
          <w:lang w:val="zh-CN"/>
        </w:rPr>
        <w:t>NH</w:t>
      </w:r>
      <w:r>
        <w:rPr>
          <w:color w:val="auto"/>
          <w:u w:val="single"/>
          <w:vertAlign w:val="subscript"/>
          <w:lang w:val="zh-CN"/>
        </w:rPr>
        <w:t>3</w:t>
      </w:r>
      <w:r>
        <w:rPr>
          <w:color w:val="auto"/>
          <w:u w:val="single"/>
          <w:lang w:val="zh-CN"/>
        </w:rPr>
        <w:t>-H由原先的</w:t>
      </w:r>
      <w:r>
        <w:rPr>
          <w:rFonts w:hint="eastAsia"/>
          <w:color w:val="auto"/>
          <w:u w:val="single"/>
          <w:lang w:val="en-US" w:eastAsia="zh-CN"/>
        </w:rPr>
        <w:t>9.125</w:t>
      </w:r>
      <w:r>
        <w:rPr>
          <w:color w:val="auto"/>
          <w:u w:val="single"/>
          <w:lang w:val="zh-CN"/>
        </w:rPr>
        <w:t>t/a削减至</w:t>
      </w:r>
      <w:r>
        <w:rPr>
          <w:rFonts w:hint="eastAsia"/>
          <w:color w:val="auto"/>
          <w:u w:val="single"/>
          <w:lang w:val="en-US" w:eastAsia="zh-CN"/>
        </w:rPr>
        <w:t>1.825</w:t>
      </w:r>
      <w:r>
        <w:rPr>
          <w:color w:val="auto"/>
          <w:u w:val="single"/>
          <w:lang w:val="zh-CN"/>
        </w:rPr>
        <w:t>t/a，削减量达到</w:t>
      </w:r>
      <w:r>
        <w:rPr>
          <w:rFonts w:hint="eastAsia"/>
          <w:color w:val="auto"/>
          <w:u w:val="single"/>
          <w:lang w:val="en-US" w:eastAsia="zh-CN"/>
        </w:rPr>
        <w:t>7.3</w:t>
      </w:r>
      <w:r>
        <w:rPr>
          <w:color w:val="auto"/>
          <w:u w:val="single"/>
          <w:lang w:val="zh-CN"/>
        </w:rPr>
        <w:t>t/a，削减率达</w:t>
      </w:r>
      <w:r>
        <w:rPr>
          <w:rFonts w:hint="eastAsia"/>
          <w:color w:val="auto"/>
          <w:u w:val="single"/>
          <w:lang w:val="en-US" w:eastAsia="zh-CN"/>
        </w:rPr>
        <w:t>80</w:t>
      </w:r>
      <w:r>
        <w:rPr>
          <w:color w:val="auto"/>
          <w:u w:val="single"/>
          <w:lang w:val="zh-CN"/>
        </w:rPr>
        <w:t>%</w:t>
      </w:r>
      <w:r>
        <w:rPr>
          <w:rFonts w:hint="eastAsia"/>
          <w:color w:val="auto"/>
          <w:u w:val="single"/>
          <w:lang w:val="zh-CN"/>
        </w:rPr>
        <w:t>；</w:t>
      </w:r>
      <w:r>
        <w:rPr>
          <w:color w:val="auto"/>
          <w:u w:val="single"/>
          <w:lang w:val="zh-CN"/>
        </w:rPr>
        <w:t>TP由原先的</w:t>
      </w:r>
      <w:r>
        <w:rPr>
          <w:rFonts w:hint="eastAsia"/>
          <w:color w:val="auto"/>
          <w:u w:val="single"/>
          <w:lang w:val="en-US" w:eastAsia="zh-CN"/>
        </w:rPr>
        <w:t>1.825</w:t>
      </w:r>
      <w:r>
        <w:rPr>
          <w:color w:val="auto"/>
          <w:u w:val="single"/>
          <w:lang w:val="zh-CN"/>
        </w:rPr>
        <w:t>t/a削减至</w:t>
      </w:r>
      <w:r>
        <w:rPr>
          <w:rFonts w:hint="eastAsia"/>
          <w:color w:val="auto"/>
          <w:u w:val="single"/>
          <w:lang w:val="en-US" w:eastAsia="zh-CN"/>
        </w:rPr>
        <w:t>0.1825</w:t>
      </w:r>
      <w:r>
        <w:rPr>
          <w:color w:val="auto"/>
          <w:u w:val="single"/>
          <w:lang w:val="zh-CN"/>
        </w:rPr>
        <w:t>t/a，削减量达到</w:t>
      </w:r>
      <w:r>
        <w:rPr>
          <w:rFonts w:hint="eastAsia"/>
          <w:color w:val="auto"/>
          <w:u w:val="single"/>
          <w:lang w:val="en-US" w:eastAsia="zh-CN"/>
        </w:rPr>
        <w:t>1.6425</w:t>
      </w:r>
      <w:r>
        <w:rPr>
          <w:color w:val="auto"/>
          <w:u w:val="single"/>
          <w:lang w:val="zh-CN"/>
        </w:rPr>
        <w:t>t/a，削减率达</w:t>
      </w:r>
      <w:r>
        <w:rPr>
          <w:rFonts w:hint="eastAsia"/>
          <w:color w:val="auto"/>
          <w:u w:val="single"/>
          <w:lang w:val="en-US" w:eastAsia="zh-CN"/>
        </w:rPr>
        <w:t>90</w:t>
      </w:r>
      <w:r>
        <w:rPr>
          <w:color w:val="auto"/>
          <w:u w:val="single"/>
          <w:lang w:val="zh-CN"/>
        </w:rPr>
        <w:t>%</w:t>
      </w:r>
      <w:r>
        <w:rPr>
          <w:rFonts w:hAnsi="宋体"/>
          <w:color w:val="auto"/>
          <w:u w:val="single"/>
        </w:rPr>
        <w:t>，污水经污水处理工艺处理后的</w:t>
      </w:r>
      <w:r>
        <w:rPr>
          <w:rFonts w:hAnsi="宋体"/>
          <w:bCs/>
          <w:snapToGrid w:val="0"/>
          <w:color w:val="auto"/>
          <w:u w:val="single"/>
        </w:rPr>
        <w:t>尾水可以达到</w:t>
      </w:r>
      <w:r>
        <w:rPr>
          <w:rFonts w:hAnsi="宋体"/>
          <w:color w:val="auto"/>
          <w:u w:val="single"/>
        </w:rPr>
        <w:t>《城镇污水处理厂污染物排放标准》</w:t>
      </w:r>
      <w:r>
        <w:rPr>
          <w:rFonts w:hint="eastAsia" w:hAnsi="宋体"/>
          <w:color w:val="auto"/>
          <w:u w:val="single"/>
        </w:rPr>
        <w:t>（GB18918-2002）一级</w:t>
      </w:r>
      <w:r>
        <w:rPr>
          <w:rFonts w:hAnsi="宋体"/>
          <w:color w:val="auto"/>
          <w:u w:val="single"/>
        </w:rPr>
        <w:t>A</w:t>
      </w:r>
      <w:r>
        <w:rPr>
          <w:rFonts w:hint="eastAsia" w:hAnsi="宋体"/>
          <w:color w:val="auto"/>
          <w:u w:val="single"/>
        </w:rPr>
        <w:t>排放标准</w:t>
      </w:r>
      <w:r>
        <w:rPr>
          <w:rFonts w:hint="eastAsia" w:hAnsi="宋体"/>
          <w:color w:val="auto"/>
          <w:u w:val="single"/>
          <w:lang w:val="en-US" w:eastAsia="zh-CN"/>
        </w:rPr>
        <w:t>，</w:t>
      </w:r>
      <w:r>
        <w:rPr>
          <w:rFonts w:hint="eastAsia" w:ascii="Times New Roman" w:hAnsi="Times New Roman"/>
          <w:color w:val="000000"/>
          <w:u w:val="single"/>
        </w:rPr>
        <w:t>项目的建设有利于改善项目周边环境，项目排放总量合理。</w:t>
      </w:r>
    </w:p>
    <w:p>
      <w:pPr>
        <w:pStyle w:val="6"/>
        <w:bidi w:val="0"/>
        <w:jc w:val="both"/>
        <w:rPr>
          <w:rFonts w:ascii="Times New Roman" w:hAnsi="Times New Roman"/>
          <w:color w:val="000000"/>
          <w:u w:val="single"/>
        </w:rPr>
      </w:pPr>
      <w:r>
        <w:rPr>
          <w:rFonts w:hint="eastAsia"/>
          <w:u w:val="single"/>
          <w:lang w:val="en-US" w:eastAsia="zh-CN"/>
        </w:rPr>
        <w:t>8.5.5</w:t>
      </w:r>
      <w:r>
        <w:rPr>
          <w:rFonts w:ascii="Times New Roman" w:hAnsi="Times New Roman"/>
          <w:color w:val="000000"/>
          <w:u w:val="single"/>
        </w:rPr>
        <w:t>对水生态的影响分析</w:t>
      </w:r>
    </w:p>
    <w:p>
      <w:pPr>
        <w:ind w:firstLine="480"/>
        <w:rPr>
          <w:rFonts w:ascii="Times New Roman" w:hAnsi="Times New Roman"/>
          <w:color w:val="000000"/>
          <w:szCs w:val="28"/>
          <w:u w:val="single"/>
        </w:rPr>
      </w:pPr>
      <w:r>
        <w:rPr>
          <w:rFonts w:hint="eastAsia"/>
          <w:u w:val="single"/>
          <w:lang w:val="en-US" w:eastAsia="zh-CN"/>
        </w:rPr>
        <w:t>湖南永顺经济开发区猛洞河产业园污水处理厂建设项目的</w:t>
      </w:r>
      <w:r>
        <w:rPr>
          <w:rFonts w:hint="eastAsia"/>
          <w:color w:val="auto"/>
          <w:szCs w:val="21"/>
          <w:u w:val="single"/>
          <w:lang w:eastAsia="zh-CN"/>
        </w:rPr>
        <w:t>污水处理工艺采用“</w:t>
      </w:r>
      <w:r>
        <w:rPr>
          <w:rFonts w:hint="eastAsia"/>
          <w:color w:val="auto"/>
          <w:u w:val="single"/>
          <w:lang w:eastAsia="zh-CN"/>
        </w:rPr>
        <w:t>格栅渠</w:t>
      </w:r>
      <w:r>
        <w:rPr>
          <w:rFonts w:hint="eastAsia"/>
          <w:color w:val="auto"/>
          <w:u w:val="single"/>
        </w:rPr>
        <w:t>→沉砂池→调节池→</w:t>
      </w:r>
      <w:r>
        <w:rPr>
          <w:rFonts w:hint="eastAsia"/>
          <w:color w:val="auto"/>
          <w:u w:val="single"/>
          <w:lang w:val="en-US" w:eastAsia="zh-CN"/>
        </w:rPr>
        <w:t>MBR一体化设备</w:t>
      </w:r>
      <w:r>
        <w:rPr>
          <w:rFonts w:hint="eastAsia"/>
          <w:color w:val="auto"/>
          <w:u w:val="single"/>
        </w:rPr>
        <w:t>→紫外消毒→</w:t>
      </w:r>
      <w:r>
        <w:rPr>
          <w:rFonts w:hint="eastAsia"/>
          <w:color w:val="auto"/>
          <w:u w:val="single"/>
          <w:lang w:eastAsia="zh-CN"/>
        </w:rPr>
        <w:t>清水池”</w:t>
      </w:r>
      <w:r>
        <w:rPr>
          <w:rFonts w:hint="eastAsia"/>
          <w:color w:val="auto"/>
          <w:szCs w:val="21"/>
          <w:u w:val="single"/>
        </w:rPr>
        <w:t>工艺</w:t>
      </w:r>
      <w:r>
        <w:rPr>
          <w:color w:val="auto"/>
          <w:szCs w:val="21"/>
          <w:u w:val="single"/>
        </w:rPr>
        <w:t>。</w:t>
      </w:r>
      <w:r>
        <w:rPr>
          <w:rFonts w:ascii="Times New Roman" w:hAnsi="Times New Roman"/>
          <w:color w:val="000000"/>
          <w:szCs w:val="28"/>
          <w:u w:val="single"/>
        </w:rPr>
        <w:t>因此，经过污水处理厂处理流程后，出水水温与纳污水体水温相差无几，因此本项目排水对</w:t>
      </w:r>
      <w:r>
        <w:rPr>
          <w:rFonts w:hint="eastAsia" w:ascii="Times New Roman" w:hAnsi="Times New Roman"/>
          <w:color w:val="000000"/>
          <w:szCs w:val="28"/>
          <w:u w:val="single"/>
        </w:rPr>
        <w:t>地表水</w:t>
      </w:r>
      <w:r>
        <w:rPr>
          <w:rFonts w:ascii="Times New Roman" w:hAnsi="Times New Roman"/>
          <w:color w:val="000000"/>
          <w:szCs w:val="28"/>
          <w:u w:val="single"/>
        </w:rPr>
        <w:t>水温基本无影响。</w:t>
      </w:r>
    </w:p>
    <w:p>
      <w:pPr>
        <w:rPr>
          <w:rFonts w:hint="eastAsia" w:ascii="Times New Roman" w:hAnsi="Times New Roman"/>
          <w:color w:val="000000"/>
          <w:u w:val="single"/>
        </w:rPr>
      </w:pPr>
      <w:r>
        <w:rPr>
          <w:rFonts w:hint="eastAsia"/>
          <w:u w:val="single"/>
          <w:lang w:val="en-US" w:eastAsia="zh-CN"/>
        </w:rPr>
        <w:t>污水处理厂的</w:t>
      </w:r>
      <w:r>
        <w:rPr>
          <w:rFonts w:hint="eastAsia" w:ascii="Times New Roman" w:hAnsi="Times New Roman"/>
          <w:color w:val="000000"/>
          <w:u w:val="single"/>
        </w:rPr>
        <w:t>建设削减了入河污染物量；污水处理工程正常运行时，整个河段水质类别将不会发生明显变化；项目的建设对改善地表水的生态环境的保护将起到积极的作用。</w:t>
      </w:r>
    </w:p>
    <w:p>
      <w:pPr>
        <w:bidi w:val="0"/>
        <w:rPr>
          <w:rFonts w:hint="default"/>
          <w:lang w:val="en-US" w:eastAsia="zh-CN"/>
        </w:rPr>
      </w:pPr>
      <w:r>
        <w:rPr>
          <w:rFonts w:hint="eastAsia" w:ascii="Times New Roman" w:hAnsi="Times New Roman"/>
          <w:b w:val="0"/>
          <w:bCs w:val="0"/>
          <w:color w:val="000000"/>
          <w:u w:val="single"/>
        </w:rPr>
        <w:t>本项目不新增污染物排放，减少原有项目污染物排放量，属于环境治理项目，项目的建设有利于改善项目周边环境。</w:t>
      </w:r>
      <w:r>
        <w:rPr>
          <w:rFonts w:hint="eastAsia" w:ascii="Times New Roman" w:hAnsi="Times New Roman"/>
          <w:color w:val="000000"/>
          <w:u w:val="single"/>
        </w:rPr>
        <w:t>工程实施后，对河流整体水质将改善，不会对鱼类产卵和</w:t>
      </w:r>
      <w:r>
        <w:rPr>
          <w:rFonts w:hint="eastAsia" w:ascii="Times New Roman" w:hAnsi="Times New Roman"/>
          <w:color w:val="000000"/>
          <w:u w:val="single"/>
          <w:lang w:val="en-US" w:eastAsia="zh-CN"/>
        </w:rPr>
        <w:t>培育</w:t>
      </w:r>
      <w:r>
        <w:rPr>
          <w:rFonts w:hint="eastAsia" w:ascii="Times New Roman" w:hAnsi="Times New Roman"/>
          <w:color w:val="000000"/>
          <w:u w:val="single"/>
        </w:rPr>
        <w:t>产生明显不利影响</w:t>
      </w:r>
    </w:p>
    <w:p>
      <w:pPr>
        <w:pStyle w:val="69"/>
        <w:bidi w:val="0"/>
        <w:outlineLvl w:val="2"/>
        <w:rPr>
          <w:rFonts w:hint="eastAsia" w:ascii="Times New Roman" w:hAnsi="Times New Roman" w:eastAsia="宋体" w:cs="Times New Roman"/>
          <w:b/>
          <w:bCs w:val="0"/>
          <w:color w:val="auto"/>
          <w:kern w:val="2"/>
          <w:sz w:val="28"/>
          <w:szCs w:val="32"/>
          <w:u w:val="single"/>
          <w:lang w:val="en-US" w:eastAsia="zh-CN" w:bidi="ar-SA"/>
        </w:rPr>
      </w:pPr>
      <w:r>
        <w:rPr>
          <w:rFonts w:hint="eastAsia" w:ascii="Times New Roman" w:hAnsi="Times New Roman" w:eastAsia="宋体" w:cs="Times New Roman"/>
          <w:b/>
          <w:bCs w:val="0"/>
          <w:color w:val="auto"/>
          <w:kern w:val="2"/>
          <w:sz w:val="28"/>
          <w:szCs w:val="32"/>
          <w:u w:val="single"/>
          <w:lang w:val="en-US" w:eastAsia="zh-CN" w:bidi="ar-SA"/>
        </w:rPr>
        <w:t>8.5.</w:t>
      </w:r>
      <w:r>
        <w:rPr>
          <w:rFonts w:hint="eastAsia" w:ascii="Times New Roman" w:hAnsi="Times New Roman" w:cs="Times New Roman"/>
          <w:b/>
          <w:bCs w:val="0"/>
          <w:color w:val="auto"/>
          <w:kern w:val="2"/>
          <w:sz w:val="28"/>
          <w:szCs w:val="32"/>
          <w:u w:val="single"/>
          <w:lang w:val="en-US" w:eastAsia="zh-CN" w:bidi="ar-SA"/>
        </w:rPr>
        <w:t>6</w:t>
      </w:r>
      <w:r>
        <w:rPr>
          <w:rFonts w:hint="eastAsia" w:ascii="Times New Roman" w:hAnsi="Times New Roman" w:eastAsia="宋体" w:cs="Times New Roman"/>
          <w:b/>
          <w:bCs w:val="0"/>
          <w:color w:val="auto"/>
          <w:kern w:val="2"/>
          <w:sz w:val="28"/>
          <w:szCs w:val="32"/>
          <w:u w:val="single"/>
          <w:lang w:val="en-US" w:eastAsia="zh-CN" w:bidi="ar-SA"/>
        </w:rPr>
        <w:t>对地下水影响分析</w:t>
      </w:r>
    </w:p>
    <w:p>
      <w:pPr>
        <w:keepNext w:val="0"/>
        <w:keepLines w:val="0"/>
        <w:pageBreakBefore w:val="0"/>
        <w:widowControl/>
        <w:kinsoku/>
        <w:wordWrap/>
        <w:overflowPunct/>
        <w:topLinePunct w:val="0"/>
        <w:autoSpaceDE/>
        <w:autoSpaceDN/>
        <w:bidi w:val="0"/>
        <w:adjustRightInd/>
        <w:snapToGrid/>
        <w:textAlignment w:val="auto"/>
        <w:rPr>
          <w:rFonts w:hint="eastAsia"/>
          <w:u w:val="single"/>
          <w:lang w:eastAsia="zh-CN"/>
        </w:rPr>
      </w:pPr>
      <w:r>
        <w:rPr>
          <w:rFonts w:hint="eastAsia"/>
          <w:u w:val="single"/>
          <w:lang w:eastAsia="zh-CN"/>
        </w:rPr>
        <w:t>（</w:t>
      </w:r>
      <w:r>
        <w:rPr>
          <w:rFonts w:hint="eastAsia"/>
          <w:u w:val="single"/>
          <w:lang w:val="en-US" w:eastAsia="zh-CN"/>
        </w:rPr>
        <w:t>1</w:t>
      </w:r>
      <w:r>
        <w:rPr>
          <w:rFonts w:hint="eastAsia"/>
          <w:u w:val="single"/>
          <w:lang w:eastAsia="zh-CN"/>
        </w:rPr>
        <w:t>）</w:t>
      </w:r>
      <w:r>
        <w:rPr>
          <w:rFonts w:hint="eastAsia"/>
          <w:u w:val="single"/>
        </w:rPr>
        <w:t>现状地下水污染源</w:t>
      </w:r>
    </w:p>
    <w:p>
      <w:pPr>
        <w:keepNext w:val="0"/>
        <w:keepLines w:val="0"/>
        <w:pageBreakBefore w:val="0"/>
        <w:widowControl/>
        <w:numPr>
          <w:ilvl w:val="0"/>
          <w:numId w:val="0"/>
        </w:numPr>
        <w:kinsoku/>
        <w:wordWrap/>
        <w:overflowPunct/>
        <w:topLinePunct w:val="0"/>
        <w:autoSpaceDE/>
        <w:autoSpaceDN/>
        <w:bidi w:val="0"/>
        <w:adjustRightInd w:val="0"/>
        <w:snapToGrid/>
        <w:ind w:firstLine="480" w:firstLineChars="200"/>
        <w:textAlignment w:val="auto"/>
        <w:rPr>
          <w:rFonts w:hint="eastAsia" w:ascii="Times New Roman" w:hAnsi="Times New Roman"/>
          <w:color w:val="000000"/>
          <w:szCs w:val="28"/>
          <w:u w:val="single"/>
        </w:rPr>
      </w:pPr>
      <w:r>
        <w:rPr>
          <w:rFonts w:hint="eastAsia" w:ascii="Times New Roman" w:hAnsi="Times New Roman"/>
          <w:color w:val="000000"/>
          <w:szCs w:val="28"/>
          <w:u w:val="single"/>
        </w:rPr>
        <w:t>项目厂区可能造成地下水污染的区域主要为污水处理装置以及排污管。</w:t>
      </w:r>
    </w:p>
    <w:p>
      <w:pPr>
        <w:bidi w:val="0"/>
        <w:rPr>
          <w:rFonts w:hint="eastAsia"/>
          <w:u w:val="single"/>
          <w:lang w:eastAsia="zh-CN"/>
        </w:rPr>
      </w:pPr>
      <w:r>
        <w:rPr>
          <w:rFonts w:hint="eastAsia"/>
          <w:u w:val="single"/>
          <w:lang w:eastAsia="zh-CN"/>
        </w:rPr>
        <w:t>（</w:t>
      </w:r>
      <w:r>
        <w:rPr>
          <w:rFonts w:hint="eastAsia"/>
          <w:u w:val="single"/>
          <w:lang w:val="en-US" w:eastAsia="zh-CN"/>
        </w:rPr>
        <w:t>2</w:t>
      </w:r>
      <w:r>
        <w:rPr>
          <w:rFonts w:hint="eastAsia"/>
          <w:u w:val="single"/>
          <w:lang w:eastAsia="zh-CN"/>
        </w:rPr>
        <w:t>）</w:t>
      </w:r>
      <w:r>
        <w:rPr>
          <w:rFonts w:hint="eastAsia"/>
          <w:u w:val="single"/>
        </w:rPr>
        <w:t>地下水污染防控措施</w:t>
      </w:r>
    </w:p>
    <w:p>
      <w:pPr>
        <w:rPr>
          <w:rFonts w:hint="default"/>
          <w:u w:val="single"/>
          <w:lang w:val="en-US" w:eastAsia="zh-CN"/>
        </w:rPr>
      </w:pPr>
      <w:r>
        <w:rPr>
          <w:rFonts w:hint="eastAsia"/>
          <w:u w:val="single"/>
          <w:lang w:val="en-US" w:eastAsia="zh-CN"/>
        </w:rPr>
        <w:t>本项目防渗措施如下：</w:t>
      </w:r>
    </w:p>
    <w:p>
      <w:pPr>
        <w:widowControl w:val="0"/>
        <w:spacing w:line="240" w:lineRule="auto"/>
        <w:ind w:firstLine="0" w:firstLineChars="0"/>
        <w:jc w:val="center"/>
        <w:rPr>
          <w:rFonts w:hint="eastAsia" w:cs="宋体"/>
          <w:b/>
          <w:bCs/>
          <w:color w:val="auto"/>
          <w:sz w:val="21"/>
          <w:szCs w:val="21"/>
          <w:u w:val="single"/>
        </w:rPr>
      </w:pPr>
      <w:r>
        <w:rPr>
          <w:rFonts w:hint="eastAsia" w:cs="宋体"/>
          <w:b/>
          <w:bCs/>
          <w:color w:val="auto"/>
          <w:sz w:val="21"/>
          <w:szCs w:val="21"/>
          <w:u w:val="single"/>
        </w:rPr>
        <w:t>表</w:t>
      </w:r>
      <w:r>
        <w:rPr>
          <w:rFonts w:hint="eastAsia" w:cs="宋体"/>
          <w:b/>
          <w:bCs/>
          <w:color w:val="auto"/>
          <w:sz w:val="21"/>
          <w:szCs w:val="21"/>
          <w:u w:val="single"/>
          <w:lang w:val="en-US" w:eastAsia="zh-CN"/>
        </w:rPr>
        <w:t>8.5-5</w:t>
      </w:r>
      <w:r>
        <w:rPr>
          <w:rFonts w:cs="宋体"/>
          <w:b/>
          <w:bCs/>
          <w:color w:val="auto"/>
          <w:sz w:val="21"/>
          <w:szCs w:val="21"/>
          <w:u w:val="single"/>
        </w:rPr>
        <w:t xml:space="preserve"> 分区防渗一览表</w:t>
      </w:r>
    </w:p>
    <w:tbl>
      <w:tblPr>
        <w:tblStyle w:val="36"/>
        <w:tblpPr w:leftFromText="180" w:rightFromText="180" w:vertAnchor="text" w:horzAnchor="margin" w:tblpXSpec="center" w:tblpY="157"/>
        <w:tblW w:w="501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6"/>
        <w:gridCol w:w="1598"/>
        <w:gridCol w:w="1192"/>
        <w:gridCol w:w="4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5"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序号</w:t>
            </w:r>
          </w:p>
        </w:tc>
        <w:tc>
          <w:tcPr>
            <w:tcW w:w="957"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名称</w:t>
            </w:r>
          </w:p>
        </w:tc>
        <w:tc>
          <w:tcPr>
            <w:tcW w:w="714"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防渗级别</w:t>
            </w:r>
          </w:p>
        </w:tc>
        <w:tc>
          <w:tcPr>
            <w:tcW w:w="2952"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8" w:hRule="atLeast"/>
        </w:trPr>
        <w:tc>
          <w:tcPr>
            <w:tcW w:w="375"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cs="黑体"/>
                <w:color w:val="auto"/>
                <w:sz w:val="21"/>
                <w:szCs w:val="21"/>
                <w:u w:val="single"/>
              </w:rPr>
              <w:t>1</w:t>
            </w:r>
          </w:p>
        </w:tc>
        <w:tc>
          <w:tcPr>
            <w:tcW w:w="957"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污水管</w:t>
            </w:r>
          </w:p>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（埋地）</w:t>
            </w:r>
          </w:p>
        </w:tc>
        <w:tc>
          <w:tcPr>
            <w:tcW w:w="714"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重点防渗区</w:t>
            </w:r>
          </w:p>
        </w:tc>
        <w:tc>
          <w:tcPr>
            <w:tcW w:w="2952"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粪污输送全部采用管道输送，管道材料应视输送介质的不同选择合适材质并做表面的防腐、防锈蚀处理，减轻管道腐蚀造成的渗漏，并进行定期检查，防止跑冒漏滴的现象发生。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trPr>
        <w:tc>
          <w:tcPr>
            <w:tcW w:w="375"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cs="黑体"/>
                <w:color w:val="auto"/>
                <w:sz w:val="21"/>
                <w:szCs w:val="21"/>
                <w:u w:val="single"/>
              </w:rPr>
              <w:t>2</w:t>
            </w:r>
          </w:p>
        </w:tc>
        <w:tc>
          <w:tcPr>
            <w:tcW w:w="957" w:type="pct"/>
            <w:noWrap w:val="0"/>
            <w:vAlign w:val="center"/>
          </w:tcPr>
          <w:p>
            <w:pPr>
              <w:widowControl w:val="0"/>
              <w:suppressAutoHyphens/>
              <w:topLinePunct/>
              <w:snapToGrid w:val="0"/>
              <w:spacing w:line="240" w:lineRule="auto"/>
              <w:ind w:firstLine="0" w:firstLineChars="0"/>
              <w:jc w:val="center"/>
              <w:rPr>
                <w:rFonts w:hint="default" w:eastAsia="宋体" w:cs="黑体"/>
                <w:color w:val="auto"/>
                <w:sz w:val="21"/>
                <w:szCs w:val="21"/>
                <w:u w:val="single"/>
                <w:lang w:val="en-US" w:eastAsia="zh-CN"/>
              </w:rPr>
            </w:pPr>
            <w:r>
              <w:rPr>
                <w:rFonts w:hint="eastAsia" w:cs="黑体"/>
                <w:color w:val="auto"/>
                <w:sz w:val="21"/>
                <w:szCs w:val="21"/>
                <w:u w:val="single"/>
                <w:lang w:val="en-US" w:eastAsia="zh-CN"/>
              </w:rPr>
              <w:t>MBR设备</w:t>
            </w:r>
          </w:p>
        </w:tc>
        <w:tc>
          <w:tcPr>
            <w:tcW w:w="714"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重点防渗区</w:t>
            </w:r>
          </w:p>
        </w:tc>
        <w:tc>
          <w:tcPr>
            <w:tcW w:w="2952"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池体采用钢筋混凝土加防渗剂的防渗地坪</w:t>
            </w:r>
            <w:r>
              <w:rPr>
                <w:rFonts w:cs="黑体"/>
                <w:color w:val="auto"/>
                <w:sz w:val="21"/>
                <w:szCs w:val="21"/>
                <w:u w:val="single"/>
              </w:rPr>
              <w:t>+</w:t>
            </w:r>
            <w:r>
              <w:rPr>
                <w:rFonts w:hint="eastAsia" w:cs="黑体"/>
                <w:color w:val="auto"/>
                <w:sz w:val="21"/>
                <w:szCs w:val="21"/>
                <w:u w:val="single"/>
              </w:rPr>
              <w:t>人工材料</w:t>
            </w:r>
          </w:p>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w:t>
            </w:r>
            <w:r>
              <w:rPr>
                <w:rFonts w:cs="黑体"/>
                <w:color w:val="auto"/>
                <w:sz w:val="21"/>
                <w:szCs w:val="21"/>
                <w:u w:val="single"/>
              </w:rPr>
              <w:t>HDPE</w:t>
            </w:r>
            <w:r>
              <w:rPr>
                <w:rFonts w:hint="eastAsia" w:cs="黑体"/>
                <w:color w:val="auto"/>
                <w:sz w:val="21"/>
                <w:szCs w:val="21"/>
                <w:u w:val="single"/>
              </w:rPr>
              <w:t>）防渗层，确保等效黏土防渗层</w:t>
            </w:r>
            <w:r>
              <w:rPr>
                <w:rFonts w:cs="黑体"/>
                <w:color w:val="auto"/>
                <w:sz w:val="21"/>
                <w:szCs w:val="21"/>
                <w:u w:val="single"/>
              </w:rPr>
              <w:t>Mb≥6.0m</w:t>
            </w:r>
            <w:r>
              <w:rPr>
                <w:rFonts w:hint="eastAsia" w:cs="黑体"/>
                <w:color w:val="auto"/>
                <w:sz w:val="21"/>
                <w:szCs w:val="21"/>
                <w:u w:val="single"/>
              </w:rPr>
              <w:t>，</w:t>
            </w:r>
            <w:r>
              <w:rPr>
                <w:rFonts w:cs="黑体"/>
                <w:color w:val="auto"/>
                <w:sz w:val="21"/>
                <w:szCs w:val="21"/>
                <w:u w:val="single"/>
              </w:rPr>
              <w:t>K≤1×10</w:t>
            </w:r>
            <w:r>
              <w:rPr>
                <w:rFonts w:cs="黑体"/>
                <w:color w:val="auto"/>
                <w:sz w:val="21"/>
                <w:szCs w:val="21"/>
                <w:u w:val="single"/>
                <w:vertAlign w:val="superscript"/>
              </w:rPr>
              <w:t>-7</w:t>
            </w:r>
            <w:r>
              <w:rPr>
                <w:rFonts w:cs="黑体"/>
                <w:color w:val="auto"/>
                <w:sz w:val="21"/>
                <w:szCs w:val="21"/>
                <w:u w:val="single"/>
              </w:rPr>
              <w:t>cm/s</w:t>
            </w:r>
            <w:r>
              <w:rPr>
                <w:rFonts w:hint="eastAsia" w:cs="黑体"/>
                <w:color w:val="auto"/>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375" w:type="pct"/>
            <w:noWrap w:val="0"/>
            <w:vAlign w:val="center"/>
          </w:tcPr>
          <w:p>
            <w:pPr>
              <w:widowControl w:val="0"/>
              <w:suppressAutoHyphens/>
              <w:topLinePunct/>
              <w:snapToGrid w:val="0"/>
              <w:spacing w:line="240" w:lineRule="auto"/>
              <w:ind w:firstLine="0" w:firstLineChars="0"/>
              <w:jc w:val="center"/>
              <w:rPr>
                <w:rFonts w:hint="eastAsia" w:eastAsia="宋体" w:cs="黑体"/>
                <w:color w:val="auto"/>
                <w:sz w:val="21"/>
                <w:szCs w:val="21"/>
                <w:u w:val="single"/>
                <w:lang w:val="en-US" w:eastAsia="zh-CN"/>
              </w:rPr>
            </w:pPr>
            <w:r>
              <w:rPr>
                <w:rFonts w:hint="eastAsia" w:cs="黑体"/>
                <w:color w:val="auto"/>
                <w:sz w:val="21"/>
                <w:szCs w:val="21"/>
                <w:u w:val="single"/>
                <w:lang w:val="en-US" w:eastAsia="zh-CN"/>
              </w:rPr>
              <w:t>3</w:t>
            </w:r>
          </w:p>
        </w:tc>
        <w:tc>
          <w:tcPr>
            <w:tcW w:w="957" w:type="pct"/>
            <w:noWrap w:val="0"/>
            <w:vAlign w:val="center"/>
          </w:tcPr>
          <w:p>
            <w:pPr>
              <w:widowControl w:val="0"/>
              <w:suppressAutoHyphens/>
              <w:topLinePunct/>
              <w:snapToGrid w:val="0"/>
              <w:spacing w:line="240" w:lineRule="auto"/>
              <w:ind w:firstLine="0" w:firstLineChars="0"/>
              <w:jc w:val="center"/>
              <w:rPr>
                <w:rFonts w:hint="eastAsia" w:cs="黑体"/>
                <w:color w:val="auto"/>
                <w:sz w:val="21"/>
                <w:szCs w:val="21"/>
                <w:u w:val="single"/>
                <w:lang w:eastAsia="zh-CN"/>
              </w:rPr>
            </w:pPr>
            <w:r>
              <w:rPr>
                <w:rFonts w:hint="eastAsia" w:cs="黑体"/>
                <w:color w:val="auto"/>
                <w:sz w:val="21"/>
                <w:szCs w:val="21"/>
                <w:u w:val="single"/>
                <w:lang w:eastAsia="zh-CN"/>
              </w:rPr>
              <w:t>污水池</w:t>
            </w:r>
          </w:p>
        </w:tc>
        <w:tc>
          <w:tcPr>
            <w:tcW w:w="1192" w:type="dxa"/>
            <w:noWrap w:val="0"/>
            <w:vAlign w:val="center"/>
          </w:tcPr>
          <w:p>
            <w:pPr>
              <w:widowControl w:val="0"/>
              <w:suppressAutoHyphens/>
              <w:topLinePunct/>
              <w:snapToGrid w:val="0"/>
              <w:spacing w:line="240" w:lineRule="auto"/>
              <w:ind w:firstLine="0" w:firstLineChars="0"/>
              <w:jc w:val="center"/>
              <w:rPr>
                <w:rFonts w:hint="eastAsia" w:cs="黑体"/>
                <w:color w:val="auto"/>
                <w:sz w:val="21"/>
                <w:szCs w:val="21"/>
                <w:u w:val="single"/>
              </w:rPr>
            </w:pPr>
            <w:r>
              <w:rPr>
                <w:rFonts w:hint="eastAsia" w:cs="黑体"/>
                <w:color w:val="auto"/>
                <w:sz w:val="21"/>
                <w:szCs w:val="21"/>
                <w:u w:val="single"/>
              </w:rPr>
              <w:t>重点防渗区</w:t>
            </w:r>
          </w:p>
        </w:tc>
        <w:tc>
          <w:tcPr>
            <w:tcW w:w="4930" w:type="dxa"/>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池体采用钢筋混凝土加防渗剂的防渗地坪</w:t>
            </w:r>
            <w:r>
              <w:rPr>
                <w:rFonts w:cs="黑体"/>
                <w:color w:val="auto"/>
                <w:sz w:val="21"/>
                <w:szCs w:val="21"/>
                <w:u w:val="single"/>
              </w:rPr>
              <w:t>+</w:t>
            </w:r>
            <w:r>
              <w:rPr>
                <w:rFonts w:hint="eastAsia" w:cs="黑体"/>
                <w:color w:val="auto"/>
                <w:sz w:val="21"/>
                <w:szCs w:val="21"/>
                <w:u w:val="single"/>
              </w:rPr>
              <w:t>人工材料</w:t>
            </w:r>
          </w:p>
          <w:p>
            <w:pPr>
              <w:widowControl w:val="0"/>
              <w:suppressAutoHyphens/>
              <w:topLinePunct/>
              <w:snapToGrid w:val="0"/>
              <w:spacing w:line="240" w:lineRule="auto"/>
              <w:ind w:firstLine="0" w:firstLineChars="0"/>
              <w:jc w:val="center"/>
              <w:rPr>
                <w:rFonts w:hint="eastAsia" w:cs="黑体"/>
                <w:color w:val="auto"/>
                <w:sz w:val="21"/>
                <w:szCs w:val="21"/>
                <w:u w:val="single"/>
              </w:rPr>
            </w:pPr>
            <w:r>
              <w:rPr>
                <w:rFonts w:hint="eastAsia" w:cs="黑体"/>
                <w:color w:val="auto"/>
                <w:sz w:val="21"/>
                <w:szCs w:val="21"/>
                <w:u w:val="single"/>
              </w:rPr>
              <w:t>（</w:t>
            </w:r>
            <w:r>
              <w:rPr>
                <w:rFonts w:cs="黑体"/>
                <w:color w:val="auto"/>
                <w:sz w:val="21"/>
                <w:szCs w:val="21"/>
                <w:u w:val="single"/>
              </w:rPr>
              <w:t>HDPE</w:t>
            </w:r>
            <w:r>
              <w:rPr>
                <w:rFonts w:hint="eastAsia" w:cs="黑体"/>
                <w:color w:val="auto"/>
                <w:sz w:val="21"/>
                <w:szCs w:val="21"/>
                <w:u w:val="single"/>
              </w:rPr>
              <w:t>）防渗层，确保等效黏土防渗层</w:t>
            </w:r>
            <w:r>
              <w:rPr>
                <w:rFonts w:cs="黑体"/>
                <w:color w:val="auto"/>
                <w:sz w:val="21"/>
                <w:szCs w:val="21"/>
                <w:u w:val="single"/>
              </w:rPr>
              <w:t>Mb≥6.0m</w:t>
            </w:r>
            <w:r>
              <w:rPr>
                <w:rFonts w:hint="eastAsia" w:cs="黑体"/>
                <w:color w:val="auto"/>
                <w:sz w:val="21"/>
                <w:szCs w:val="21"/>
                <w:u w:val="single"/>
              </w:rPr>
              <w:t>，</w:t>
            </w:r>
            <w:r>
              <w:rPr>
                <w:rFonts w:cs="黑体"/>
                <w:color w:val="auto"/>
                <w:sz w:val="21"/>
                <w:szCs w:val="21"/>
                <w:u w:val="single"/>
              </w:rPr>
              <w:t>K≤1×10</w:t>
            </w:r>
            <w:r>
              <w:rPr>
                <w:rFonts w:cs="黑体"/>
                <w:color w:val="auto"/>
                <w:sz w:val="21"/>
                <w:szCs w:val="21"/>
                <w:u w:val="single"/>
                <w:vertAlign w:val="superscript"/>
              </w:rPr>
              <w:t>-7</w:t>
            </w:r>
            <w:r>
              <w:rPr>
                <w:rFonts w:cs="黑体"/>
                <w:color w:val="auto"/>
                <w:sz w:val="21"/>
                <w:szCs w:val="21"/>
                <w:u w:val="single"/>
              </w:rPr>
              <w:t>cm/s</w:t>
            </w:r>
            <w:r>
              <w:rPr>
                <w:rFonts w:hint="eastAsia" w:cs="黑体"/>
                <w:color w:val="auto"/>
                <w:sz w:val="21"/>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375" w:type="pct"/>
            <w:noWrap w:val="0"/>
            <w:vAlign w:val="center"/>
          </w:tcPr>
          <w:p>
            <w:pPr>
              <w:widowControl w:val="0"/>
              <w:suppressAutoHyphens/>
              <w:topLinePunct/>
              <w:snapToGrid w:val="0"/>
              <w:spacing w:line="240" w:lineRule="auto"/>
              <w:ind w:firstLine="0" w:firstLineChars="0"/>
              <w:jc w:val="center"/>
              <w:rPr>
                <w:rFonts w:hint="eastAsia" w:eastAsia="宋体" w:cs="黑体"/>
                <w:color w:val="auto"/>
                <w:sz w:val="21"/>
                <w:szCs w:val="21"/>
                <w:u w:val="single"/>
                <w:lang w:eastAsia="zh-CN"/>
              </w:rPr>
            </w:pPr>
            <w:r>
              <w:rPr>
                <w:rFonts w:hint="eastAsia" w:cs="黑体"/>
                <w:color w:val="auto"/>
                <w:sz w:val="21"/>
                <w:szCs w:val="21"/>
                <w:u w:val="single"/>
                <w:lang w:val="en-US" w:eastAsia="zh-CN"/>
              </w:rPr>
              <w:t>4</w:t>
            </w:r>
          </w:p>
        </w:tc>
        <w:tc>
          <w:tcPr>
            <w:tcW w:w="957" w:type="pct"/>
            <w:noWrap w:val="0"/>
            <w:vAlign w:val="center"/>
          </w:tcPr>
          <w:p>
            <w:pPr>
              <w:widowControl w:val="0"/>
              <w:suppressAutoHyphens/>
              <w:topLinePunct/>
              <w:snapToGrid w:val="0"/>
              <w:spacing w:line="240" w:lineRule="auto"/>
              <w:ind w:firstLine="0" w:firstLineChars="0"/>
              <w:jc w:val="center"/>
              <w:rPr>
                <w:rFonts w:hint="eastAsia" w:eastAsia="宋体" w:cs="黑体"/>
                <w:color w:val="auto"/>
                <w:sz w:val="21"/>
                <w:szCs w:val="21"/>
                <w:u w:val="single"/>
                <w:lang w:eastAsia="zh-CN"/>
              </w:rPr>
            </w:pPr>
            <w:r>
              <w:rPr>
                <w:rFonts w:hint="eastAsia" w:cs="黑体"/>
                <w:color w:val="auto"/>
                <w:sz w:val="21"/>
                <w:szCs w:val="21"/>
                <w:u w:val="single"/>
                <w:lang w:eastAsia="zh-CN"/>
              </w:rPr>
              <w:t>辅助用房</w:t>
            </w:r>
          </w:p>
        </w:tc>
        <w:tc>
          <w:tcPr>
            <w:tcW w:w="714"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重点防渗区</w:t>
            </w:r>
          </w:p>
        </w:tc>
        <w:tc>
          <w:tcPr>
            <w:tcW w:w="2952" w:type="pct"/>
            <w:noWrap w:val="0"/>
            <w:vAlign w:val="center"/>
          </w:tcPr>
          <w:p>
            <w:pPr>
              <w:widowControl w:val="0"/>
              <w:suppressAutoHyphens/>
              <w:topLinePunct/>
              <w:snapToGrid w:val="0"/>
              <w:spacing w:line="240" w:lineRule="auto"/>
              <w:ind w:firstLine="0" w:firstLineChars="0"/>
              <w:jc w:val="center"/>
              <w:rPr>
                <w:rFonts w:cs="黑体"/>
                <w:color w:val="auto"/>
                <w:sz w:val="21"/>
                <w:szCs w:val="21"/>
                <w:u w:val="single"/>
              </w:rPr>
            </w:pPr>
            <w:r>
              <w:rPr>
                <w:rFonts w:hint="eastAsia" w:cs="黑体"/>
                <w:color w:val="auto"/>
                <w:sz w:val="21"/>
                <w:szCs w:val="21"/>
                <w:u w:val="single"/>
              </w:rPr>
              <w:t>混凝土地面加铺防渗剂和人工材料（</w:t>
            </w:r>
            <w:r>
              <w:rPr>
                <w:rFonts w:cs="黑体"/>
                <w:color w:val="auto"/>
                <w:sz w:val="21"/>
                <w:szCs w:val="21"/>
                <w:u w:val="single"/>
              </w:rPr>
              <w:t>HDPE</w:t>
            </w:r>
            <w:r>
              <w:rPr>
                <w:rFonts w:hint="eastAsia" w:cs="黑体"/>
                <w:color w:val="auto"/>
                <w:sz w:val="21"/>
                <w:szCs w:val="21"/>
                <w:u w:val="single"/>
              </w:rPr>
              <w:t>）防渗层，确保等效黏土防渗层</w:t>
            </w:r>
            <w:r>
              <w:rPr>
                <w:rFonts w:cs="黑体"/>
                <w:color w:val="auto"/>
                <w:sz w:val="21"/>
                <w:szCs w:val="21"/>
                <w:u w:val="single"/>
              </w:rPr>
              <w:t>Mb≥6.0m</w:t>
            </w:r>
            <w:r>
              <w:rPr>
                <w:rFonts w:hint="eastAsia" w:cs="黑体"/>
                <w:color w:val="auto"/>
                <w:sz w:val="21"/>
                <w:szCs w:val="21"/>
                <w:u w:val="single"/>
              </w:rPr>
              <w:t>，</w:t>
            </w:r>
            <w:r>
              <w:rPr>
                <w:rFonts w:cs="黑体"/>
                <w:color w:val="auto"/>
                <w:sz w:val="21"/>
                <w:szCs w:val="21"/>
                <w:u w:val="single"/>
              </w:rPr>
              <w:t>K≤1×10</w:t>
            </w:r>
            <w:r>
              <w:rPr>
                <w:rFonts w:cs="黑体"/>
                <w:color w:val="auto"/>
                <w:sz w:val="21"/>
                <w:szCs w:val="21"/>
                <w:u w:val="single"/>
                <w:vertAlign w:val="superscript"/>
              </w:rPr>
              <w:t>-7</w:t>
            </w:r>
            <w:r>
              <w:rPr>
                <w:rFonts w:cs="黑体"/>
                <w:color w:val="auto"/>
                <w:sz w:val="21"/>
                <w:szCs w:val="21"/>
                <w:u w:val="single"/>
              </w:rPr>
              <w:t>cm/s</w:t>
            </w:r>
            <w:r>
              <w:rPr>
                <w:rFonts w:hint="eastAsia" w:cs="黑体"/>
                <w:color w:val="auto"/>
                <w:sz w:val="21"/>
                <w:szCs w:val="21"/>
                <w:u w:val="single"/>
              </w:rPr>
              <w:t>。</w:t>
            </w:r>
          </w:p>
        </w:tc>
      </w:tr>
    </w:tbl>
    <w:p>
      <w:pPr>
        <w:bidi w:val="0"/>
        <w:rPr>
          <w:rFonts w:hint="eastAsia"/>
          <w:u w:val="single"/>
        </w:rPr>
      </w:pPr>
      <w:r>
        <w:rPr>
          <w:rFonts w:hint="eastAsia"/>
          <w:u w:val="single"/>
          <w:lang w:eastAsia="zh-CN"/>
        </w:rPr>
        <w:t>（</w:t>
      </w:r>
      <w:r>
        <w:rPr>
          <w:rFonts w:hint="eastAsia"/>
          <w:u w:val="single"/>
          <w:lang w:val="en-US" w:eastAsia="zh-CN"/>
        </w:rPr>
        <w:t>3</w:t>
      </w:r>
      <w:r>
        <w:rPr>
          <w:rFonts w:hint="eastAsia"/>
          <w:u w:val="single"/>
          <w:lang w:eastAsia="zh-CN"/>
        </w:rPr>
        <w:t>）</w:t>
      </w:r>
      <w:r>
        <w:rPr>
          <w:rFonts w:hint="eastAsia"/>
          <w:u w:val="single"/>
        </w:rPr>
        <w:t>对地下水环境的影响</w:t>
      </w:r>
    </w:p>
    <w:p>
      <w:pPr>
        <w:bidi w:val="0"/>
        <w:rPr>
          <w:rFonts w:hint="eastAsia"/>
          <w:lang w:val="en-US" w:eastAsia="zh-CN"/>
        </w:rPr>
      </w:pPr>
      <w:r>
        <w:rPr>
          <w:rFonts w:hint="eastAsia" w:ascii="Times New Roman" w:hAnsi="Times New Roman"/>
          <w:color w:val="000000"/>
          <w:u w:val="single"/>
        </w:rPr>
        <w:t>本排污口河段不属于饮用水源保护区及其他需要保护的地热水、矿泉等区域，排污口附近有没有地下水出露点，其对区域的地下水水位的影响较小，不会造成地面沉降、地裂缝、土地盐渍化、沼泽化等环境水文地质问题。该污水处理厂在运行期间，加强了管网运行维护与巡查监管，一方面按照管网设计运行参数严格控制运行，防止超负荷运行而引发爆管，从而导致污水外泄造成对地下水的影响；另一方面管网进水段做好悬浮物滤网保护，防止固体废物进入管网，引发管道堵塞、破裂，导致污水外泄造成对地下水的影响。污水处理工程设计、建设和运行阶段，都到严格按照相关规范、规程执行，健全安全监督、管理制度，制定应急工况下处置预案，防止因管网维护、管理不善而导致对地下水的影响。</w:t>
      </w:r>
    </w:p>
    <w:p>
      <w:pPr>
        <w:pStyle w:val="69"/>
        <w:bidi w:val="0"/>
        <w:outlineLvl w:val="2"/>
        <w:rPr>
          <w:rFonts w:hint="eastAsia" w:ascii="Times New Roman" w:hAnsi="Times New Roman" w:eastAsia="宋体" w:cs="Times New Roman"/>
          <w:b/>
          <w:bCs w:val="0"/>
          <w:color w:val="auto"/>
          <w:kern w:val="2"/>
          <w:sz w:val="28"/>
          <w:szCs w:val="32"/>
          <w:u w:val="single"/>
          <w:lang w:val="en-US" w:eastAsia="zh-CN" w:bidi="ar-SA"/>
        </w:rPr>
      </w:pPr>
      <w:r>
        <w:rPr>
          <w:rFonts w:hint="eastAsia" w:ascii="Times New Roman" w:hAnsi="Times New Roman" w:eastAsia="宋体" w:cs="Times New Roman"/>
          <w:b/>
          <w:bCs w:val="0"/>
          <w:color w:val="auto"/>
          <w:kern w:val="2"/>
          <w:sz w:val="28"/>
          <w:szCs w:val="32"/>
          <w:u w:val="single"/>
          <w:lang w:val="en-US" w:eastAsia="zh-CN" w:bidi="ar-SA"/>
        </w:rPr>
        <w:t>8.5.</w:t>
      </w:r>
      <w:r>
        <w:rPr>
          <w:rFonts w:hint="eastAsia" w:ascii="Times New Roman" w:hAnsi="Times New Roman" w:cs="Times New Roman"/>
          <w:b/>
          <w:bCs w:val="0"/>
          <w:color w:val="auto"/>
          <w:kern w:val="2"/>
          <w:sz w:val="28"/>
          <w:szCs w:val="32"/>
          <w:u w:val="single"/>
          <w:lang w:val="en-US" w:eastAsia="zh-CN" w:bidi="ar-SA"/>
        </w:rPr>
        <w:t>7对第三者影响分析及补偿方案</w:t>
      </w:r>
    </w:p>
    <w:p>
      <w:pPr>
        <w:ind w:firstLine="480"/>
        <w:rPr>
          <w:rFonts w:ascii="Times New Roman" w:hAnsi="Times New Roman"/>
          <w:color w:val="000000"/>
          <w:u w:val="single"/>
        </w:rPr>
      </w:pPr>
      <w:r>
        <w:rPr>
          <w:rFonts w:ascii="Times New Roman" w:hAnsi="Times New Roman"/>
          <w:color w:val="000000"/>
          <w:u w:val="single"/>
        </w:rPr>
        <w:t>根据现状调查</w:t>
      </w:r>
      <w:r>
        <w:rPr>
          <w:rFonts w:hint="eastAsia" w:ascii="Times New Roman" w:hAnsi="Times New Roman" w:cs="Times New Roman"/>
          <w:color w:val="000000"/>
          <w:u w:val="single"/>
        </w:rPr>
        <w:t>，</w:t>
      </w:r>
      <w:r>
        <w:rPr>
          <w:rFonts w:hint="eastAsia" w:ascii="Times New Roman" w:hAnsi="Times New Roman" w:cs="Times New Roman"/>
          <w:color w:val="000000"/>
          <w:u w:val="single"/>
          <w:lang w:val="en-US" w:eastAsia="zh-CN"/>
        </w:rPr>
        <w:t>排污口所在功能区猛洞河</w:t>
      </w:r>
      <w:r>
        <w:rPr>
          <w:rFonts w:hint="eastAsia" w:ascii="Times New Roman" w:hAnsi="Times New Roman" w:cs="Times New Roman"/>
          <w:color w:val="000000"/>
          <w:u w:val="single"/>
        </w:rPr>
        <w:t>主要功能为</w:t>
      </w:r>
      <w:r>
        <w:rPr>
          <w:rFonts w:hint="eastAsia" w:ascii="Times New Roman" w:hAnsi="Times New Roman" w:cs="Times New Roman"/>
          <w:color w:val="000000"/>
          <w:u w:val="single"/>
          <w:lang w:val="en-US" w:eastAsia="zh-CN"/>
        </w:rPr>
        <w:t>景观娱乐用水</w:t>
      </w:r>
      <w:r>
        <w:rPr>
          <w:rFonts w:hint="eastAsia" w:ascii="Times New Roman" w:hAnsi="Times New Roman" w:cs="Times New Roman"/>
          <w:color w:val="000000"/>
          <w:u w:val="single"/>
        </w:rPr>
        <w:t>，</w:t>
      </w:r>
      <w:r>
        <w:rPr>
          <w:rFonts w:hint="eastAsia" w:ascii="Times New Roman" w:hAnsi="Times New Roman" w:cs="Times New Roman"/>
          <w:color w:val="000000"/>
          <w:u w:val="single"/>
          <w:lang w:val="en-US" w:eastAsia="zh-CN"/>
        </w:rPr>
        <w:t>排污口附近</w:t>
      </w:r>
      <w:r>
        <w:rPr>
          <w:rFonts w:hint="eastAsia" w:ascii="Times New Roman" w:hAnsi="Times New Roman" w:cs="Times New Roman"/>
          <w:color w:val="000000"/>
          <w:u w:val="single"/>
        </w:rPr>
        <w:t>无取水口和饮用水源保护区，纳污水域周边居民饮水源于自来水厂供应，排出的尾水需执行《城镇污水处理厂污染物排放标准》（GB18918-2002）一级A排放标准</w:t>
      </w:r>
      <w:r>
        <w:rPr>
          <w:rFonts w:hint="eastAsia" w:ascii="Times New Roman" w:hAnsi="Times New Roman" w:cs="Times New Roman"/>
          <w:color w:val="000000"/>
          <w:u w:val="single"/>
          <w:lang w:eastAsia="zh-CN"/>
        </w:rPr>
        <w:t>，</w:t>
      </w:r>
      <w:r>
        <w:rPr>
          <w:rFonts w:hint="eastAsia" w:ascii="Times New Roman" w:hAnsi="Times New Roman"/>
          <w:color w:val="000000"/>
          <w:u w:val="single"/>
        </w:rPr>
        <w:t>通过本项目的实施，区域环境将得到改善，对第三方起积极作用。</w:t>
      </w:r>
    </w:p>
    <w:p>
      <w:pPr>
        <w:pStyle w:val="69"/>
        <w:bidi w:val="0"/>
        <w:outlineLvl w:val="2"/>
        <w:rPr>
          <w:rFonts w:hint="eastAsia" w:ascii="Times New Roman" w:hAnsi="Times New Roman" w:eastAsia="宋体" w:cs="Times New Roman"/>
          <w:b/>
          <w:bCs w:val="0"/>
          <w:color w:val="auto"/>
          <w:kern w:val="2"/>
          <w:sz w:val="28"/>
          <w:szCs w:val="32"/>
          <w:u w:val="single"/>
          <w:lang w:val="en-US" w:eastAsia="zh-CN" w:bidi="ar-SA"/>
        </w:rPr>
      </w:pPr>
      <w:r>
        <w:rPr>
          <w:rFonts w:hint="eastAsia" w:ascii="Times New Roman" w:hAnsi="Times New Roman" w:eastAsia="宋体" w:cs="Times New Roman"/>
          <w:b/>
          <w:bCs w:val="0"/>
          <w:color w:val="auto"/>
          <w:kern w:val="2"/>
          <w:sz w:val="28"/>
          <w:szCs w:val="32"/>
          <w:u w:val="single"/>
          <w:lang w:val="en-US" w:eastAsia="zh-CN" w:bidi="ar-SA"/>
        </w:rPr>
        <w:t>8.5.</w:t>
      </w:r>
      <w:r>
        <w:rPr>
          <w:rFonts w:hint="eastAsia" w:ascii="Times New Roman" w:hAnsi="Times New Roman" w:cs="Times New Roman"/>
          <w:b/>
          <w:bCs w:val="0"/>
          <w:color w:val="auto"/>
          <w:kern w:val="2"/>
          <w:sz w:val="28"/>
          <w:szCs w:val="32"/>
          <w:u w:val="single"/>
          <w:lang w:val="en-US" w:eastAsia="zh-CN" w:bidi="ar-SA"/>
        </w:rPr>
        <w:t>8排污影响与制约因素</w:t>
      </w:r>
    </w:p>
    <w:p>
      <w:pPr>
        <w:bidi w:val="0"/>
        <w:rPr>
          <w:rFonts w:hint="eastAsia"/>
          <w:lang w:val="en-US" w:eastAsia="zh-CN"/>
        </w:rPr>
      </w:pPr>
      <w:r>
        <w:rPr>
          <w:rFonts w:hint="eastAsia" w:ascii="Times New Roman" w:hAnsi="Times New Roman"/>
          <w:color w:val="000000"/>
          <w:u w:val="single"/>
        </w:rPr>
        <w:t>根据前面章节分析，本项目对水功能区水质、水生生态系统、</w:t>
      </w:r>
      <w:r>
        <w:rPr>
          <w:rFonts w:hint="eastAsia" w:ascii="Times New Roman" w:hAnsi="Times New Roman"/>
          <w:color w:val="000000"/>
          <w:u w:val="single"/>
          <w:lang w:val="en-US" w:eastAsia="zh-CN"/>
        </w:rPr>
        <w:t>地下水环境、</w:t>
      </w:r>
      <w:r>
        <w:rPr>
          <w:rFonts w:hint="eastAsia" w:ascii="Times New Roman" w:hAnsi="Times New Roman"/>
          <w:color w:val="000000"/>
          <w:u w:val="single"/>
        </w:rPr>
        <w:t>第三方用水户的影响较小</w:t>
      </w:r>
      <w:r>
        <w:rPr>
          <w:rFonts w:hint="eastAsia" w:ascii="Times New Roman" w:hAnsi="Times New Roman"/>
          <w:color w:val="000000"/>
          <w:u w:val="single"/>
          <w:lang w:eastAsia="zh-CN"/>
        </w:rPr>
        <w:t>，</w:t>
      </w:r>
      <w:r>
        <w:rPr>
          <w:rFonts w:hint="eastAsia" w:ascii="Times New Roman" w:hAnsi="Times New Roman"/>
          <w:color w:val="000000"/>
          <w:szCs w:val="28"/>
          <w:u w:val="single"/>
        </w:rPr>
        <w:t>项目属于环境治理项目，通过本项目的实施，区域环境将得到改善，本项目无环境制约因素</w:t>
      </w:r>
      <w:r>
        <w:rPr>
          <w:rFonts w:hint="eastAsia" w:ascii="Times New Roman" w:hAnsi="Times New Roman"/>
          <w:color w:val="000000"/>
          <w:szCs w:val="28"/>
          <w:u w:val="single"/>
          <w:lang w:eastAsia="zh-CN"/>
        </w:rPr>
        <w:t>，</w:t>
      </w:r>
      <w:r>
        <w:rPr>
          <w:rFonts w:hint="eastAsia" w:ascii="Times New Roman" w:hAnsi="Times New Roman"/>
          <w:color w:val="000000"/>
          <w:u w:val="single"/>
        </w:rPr>
        <w:t>故本项目入河排污口设置可行，排污口设置基本合理。</w:t>
      </w:r>
    </w:p>
    <w:p>
      <w:pPr>
        <w:pStyle w:val="5"/>
        <w:bidi w:val="0"/>
        <w:ind w:left="0" w:leftChars="0" w:firstLine="0" w:firstLineChars="0"/>
        <w:jc w:val="both"/>
        <w:rPr>
          <w:rFonts w:hint="eastAsia"/>
          <w:b/>
          <w:bCs w:val="0"/>
          <w:lang w:val="en-US" w:eastAsia="zh-CN"/>
        </w:rPr>
      </w:pPr>
      <w:r>
        <w:rPr>
          <w:rFonts w:hint="eastAsia"/>
          <w:b/>
          <w:bCs w:val="0"/>
          <w:lang w:val="en-US" w:eastAsia="zh-CN"/>
        </w:rPr>
        <w:t>8.6水资源保护措施</w:t>
      </w:r>
    </w:p>
    <w:p>
      <w:pPr>
        <w:pStyle w:val="6"/>
        <w:bidi w:val="0"/>
        <w:jc w:val="both"/>
        <w:rPr>
          <w:rFonts w:hint="eastAsia"/>
          <w:lang w:val="en-US" w:eastAsia="zh-CN"/>
        </w:rPr>
      </w:pPr>
      <w:r>
        <w:rPr>
          <w:rFonts w:hint="eastAsia"/>
          <w:lang w:val="en-US" w:eastAsia="zh-CN"/>
        </w:rPr>
        <w:t>8.6.1工程措施</w:t>
      </w:r>
    </w:p>
    <w:p>
      <w:pPr>
        <w:jc w:val="both"/>
        <w:rPr>
          <w:rFonts w:hint="eastAsia"/>
          <w:lang w:val="en-US" w:eastAsia="zh-CN"/>
        </w:rPr>
      </w:pPr>
      <w:r>
        <w:rPr>
          <w:rFonts w:hint="eastAsia"/>
          <w:lang w:val="en-US" w:eastAsia="zh-CN"/>
        </w:rPr>
        <w:t>根据现场实地考察，永顺经济开发区猛洞河产业园污水处理厂选用的各类机械、设备、设施尽可能采用先进、优质产品，并具有较高的自控水平，实现故障设备自动报警；对所有设备定期进行检查、维护、保养；本工程结构应充分考虑抗震问题，以六度以上抗震强度进行设计、建设；电力供应系统采用双备份；对各种污水处理设施建构筑物进行防渗处理，阻隔污染物进入地下水体中，做到废水不下渗。厂内污泥临时堆放场地，地面采取硬化、防渗处理。</w:t>
      </w:r>
    </w:p>
    <w:p>
      <w:pPr>
        <w:pStyle w:val="6"/>
        <w:bidi w:val="0"/>
        <w:jc w:val="both"/>
        <w:rPr>
          <w:rFonts w:hint="eastAsia"/>
          <w:lang w:val="en-US" w:eastAsia="zh-CN"/>
        </w:rPr>
      </w:pPr>
      <w:r>
        <w:rPr>
          <w:rFonts w:hint="eastAsia"/>
          <w:lang w:val="en-US" w:eastAsia="zh-CN"/>
        </w:rPr>
        <w:t>8.6.2管理措施</w:t>
      </w:r>
    </w:p>
    <w:p>
      <w:pPr>
        <w:rPr>
          <w:rFonts w:hint="eastAsia"/>
          <w:lang w:val="en-US" w:eastAsia="zh-CN"/>
        </w:rPr>
      </w:pPr>
      <w:r>
        <w:rPr>
          <w:rFonts w:hint="eastAsia"/>
          <w:lang w:val="en-US" w:eastAsia="zh-CN"/>
        </w:rPr>
        <w:t>为了保证废污水得到有效处理，实现废污水达标排放，避免工程运行期间出现废污水非正常排放，或将非正常排放损失降至最低，需制定防范措施。</w:t>
      </w:r>
    </w:p>
    <w:p>
      <w:pPr>
        <w:pStyle w:val="69"/>
        <w:bidi w:val="0"/>
        <w:rPr>
          <w:rFonts w:hint="eastAsia"/>
          <w:lang w:val="en-US" w:eastAsia="zh-CN"/>
        </w:rPr>
      </w:pPr>
      <w:r>
        <w:rPr>
          <w:rFonts w:hint="eastAsia"/>
          <w:lang w:val="en-US" w:eastAsia="zh-CN"/>
        </w:rPr>
        <w:t>8.6.2.1.水污染防治措施</w:t>
      </w:r>
    </w:p>
    <w:p>
      <w:pPr>
        <w:rPr>
          <w:rFonts w:hint="eastAsia"/>
          <w:lang w:val="en-US" w:eastAsia="zh-CN"/>
        </w:rPr>
      </w:pPr>
      <w:r>
        <w:rPr>
          <w:rFonts w:hint="eastAsia"/>
          <w:lang w:val="en-US" w:eastAsia="zh-CN"/>
        </w:rPr>
        <w:t>对废水处理设施的运转情况要及时监测，确保处理装置正常高效运转，对进水和出水水质要定期监测，根据不同的水质水量及时调整处理单元的运转参数，保障设施的正常和高效运行，以保证最佳的处理效率。</w:t>
      </w:r>
    </w:p>
    <w:p>
      <w:pPr>
        <w:rPr>
          <w:rFonts w:hint="eastAsia"/>
          <w:lang w:val="en-US" w:eastAsia="zh-CN"/>
        </w:rPr>
      </w:pPr>
      <w:r>
        <w:rPr>
          <w:rFonts w:hint="eastAsia"/>
          <w:lang w:val="en-US" w:eastAsia="zh-CN"/>
        </w:rPr>
        <w:t>加强对各类机械设备及排水设备的定期检查、维护和管理，同时将配备必要的备用设备，当设备出现运转故障时及时更换，以减少事故的隐患。</w:t>
      </w:r>
    </w:p>
    <w:p>
      <w:pPr>
        <w:rPr>
          <w:rFonts w:hint="eastAsia"/>
          <w:lang w:val="en-US" w:eastAsia="zh-CN"/>
        </w:rPr>
      </w:pPr>
      <w:r>
        <w:rPr>
          <w:rFonts w:hint="eastAsia"/>
          <w:lang w:val="en-US" w:eastAsia="zh-CN"/>
        </w:rPr>
        <w:t>防止风险事故的发生，从设计、管理等方面入手，提出可行的事故防范对策和措施，建立事故应急反应系统。</w:t>
      </w:r>
    </w:p>
    <w:p>
      <w:pPr>
        <w:pStyle w:val="69"/>
        <w:bidi w:val="0"/>
        <w:rPr>
          <w:rFonts w:hint="eastAsia"/>
          <w:lang w:val="en-US" w:eastAsia="zh-CN"/>
        </w:rPr>
      </w:pPr>
      <w:r>
        <w:rPr>
          <w:rFonts w:hint="eastAsia"/>
          <w:lang w:val="en-US" w:eastAsia="zh-CN"/>
        </w:rPr>
        <w:t>8.6.2.2.监督管理措施</w:t>
      </w:r>
    </w:p>
    <w:p>
      <w:pPr>
        <w:rPr>
          <w:rFonts w:hint="eastAsia"/>
          <w:lang w:val="en-US" w:eastAsia="zh-CN"/>
        </w:rPr>
      </w:pPr>
      <w:r>
        <w:rPr>
          <w:rFonts w:hint="eastAsia"/>
          <w:lang w:val="en-US" w:eastAsia="zh-CN"/>
        </w:rPr>
        <w:t>①宣传、组织、贯彻国家有关水生态环境保护的方针、政策、法令和条例，搞好项目运行期间环境保护工作，执行上级主管部门建立的各种环境管理制度。</w:t>
      </w:r>
    </w:p>
    <w:p>
      <w:pPr>
        <w:rPr>
          <w:rFonts w:hint="eastAsia"/>
          <w:lang w:val="en-US" w:eastAsia="zh-CN"/>
        </w:rPr>
      </w:pPr>
      <w:r>
        <w:rPr>
          <w:rFonts w:hint="eastAsia"/>
          <w:lang w:val="en-US" w:eastAsia="zh-CN"/>
        </w:rPr>
        <w:t>②在取得了环评批复建设投产后，加快自主：“三同时”验收：设置单位领导并组织工程运行期（包括非正常运行期）的环境监测工作，建立档案。</w:t>
      </w:r>
    </w:p>
    <w:p>
      <w:pPr>
        <w:rPr>
          <w:rFonts w:hint="eastAsia"/>
          <w:lang w:val="en-US" w:eastAsia="zh-CN"/>
        </w:rPr>
      </w:pPr>
      <w:r>
        <w:rPr>
          <w:rFonts w:hint="eastAsia"/>
          <w:lang w:val="en-US" w:eastAsia="zh-CN"/>
        </w:rPr>
        <w:t>③加强水资源保护的宣传，加强水法规定的宣贯，提高企业全员水资源保护的意识，保证工程建成后，环境保护工作能按设计方案运行。</w:t>
      </w:r>
    </w:p>
    <w:p>
      <w:pPr>
        <w:rPr>
          <w:rFonts w:hint="eastAsia"/>
          <w:lang w:val="en-US" w:eastAsia="zh-CN"/>
        </w:rPr>
      </w:pPr>
      <w:r>
        <w:rPr>
          <w:rFonts w:hint="eastAsia"/>
          <w:lang w:val="en-US" w:eastAsia="zh-CN"/>
        </w:rPr>
        <w:t>④对项目涉及水域要进行水质监测，并协助当地生态环境部门做好水污染防治工作。</w:t>
      </w:r>
    </w:p>
    <w:p>
      <w:pPr>
        <w:rPr>
          <w:rFonts w:hint="eastAsia"/>
          <w:lang w:val="en-US" w:eastAsia="zh-CN"/>
        </w:rPr>
      </w:pPr>
      <w:r>
        <w:rPr>
          <w:rFonts w:hint="eastAsia"/>
          <w:lang w:val="en-US" w:eastAsia="zh-CN"/>
        </w:rPr>
        <w:t>⑤在废水处置抽排装置设施出现故障时，应立即检修，严格禁止未经处理废水排放。</w:t>
      </w:r>
    </w:p>
    <w:p>
      <w:pPr>
        <w:rPr>
          <w:rFonts w:hint="eastAsia"/>
          <w:lang w:val="en-US" w:eastAsia="zh-CN"/>
        </w:rPr>
      </w:pPr>
      <w:r>
        <w:rPr>
          <w:rFonts w:hint="eastAsia"/>
          <w:lang w:val="en-US" w:eastAsia="zh-CN"/>
        </w:rPr>
        <w:t>⑥建立水质保护管理措施，并不断充实和完善各项管理制度。健全水质保护管理机构，实行统一领导，分区负责，保障各项水质保护规章制度有效实施。</w:t>
      </w:r>
    </w:p>
    <w:p>
      <w:pPr>
        <w:rPr>
          <w:rFonts w:hint="eastAsia"/>
          <w:lang w:val="en-US" w:eastAsia="zh-CN"/>
        </w:rPr>
      </w:pPr>
      <w:r>
        <w:rPr>
          <w:rFonts w:hint="eastAsia"/>
          <w:lang w:val="en-US" w:eastAsia="zh-CN"/>
        </w:rPr>
        <w:t>⑦积极开展环保教育、技术培训和学术交流活动，提高员工素质，推广利用先进技术和经验。</w:t>
      </w:r>
    </w:p>
    <w:p>
      <w:pPr>
        <w:rPr>
          <w:rFonts w:hint="eastAsia"/>
          <w:lang w:val="en-US" w:eastAsia="zh-CN"/>
        </w:rPr>
      </w:pPr>
      <w:r>
        <w:rPr>
          <w:rFonts w:hint="eastAsia"/>
          <w:lang w:val="en-US" w:eastAsia="zh-CN"/>
        </w:rPr>
        <w:t>⑧加强水功能区水质监测工作，及时了解水功能区的水环境状况，依照相关法律由地方生态环境主管部门加强监督管理，确保达到水功能区管理目标。</w:t>
      </w:r>
    </w:p>
    <w:p>
      <w:pPr>
        <w:rPr>
          <w:rFonts w:hint="eastAsia"/>
          <w:lang w:val="en-US" w:eastAsia="zh-CN"/>
        </w:rPr>
      </w:pPr>
      <w:r>
        <w:rPr>
          <w:rFonts w:hint="eastAsia"/>
          <w:lang w:val="en-US" w:eastAsia="zh-CN"/>
        </w:rPr>
        <w:t>⑨对排污口按照“一口一册”要求建立统一档案，实现相关部门对入河排污口数据信息共享。</w:t>
      </w:r>
    </w:p>
    <w:p>
      <w:pPr>
        <w:pStyle w:val="6"/>
        <w:bidi w:val="0"/>
        <w:jc w:val="both"/>
        <w:rPr>
          <w:rFonts w:hint="eastAsia"/>
          <w:lang w:val="en-US" w:eastAsia="zh-CN"/>
        </w:rPr>
      </w:pPr>
      <w:r>
        <w:rPr>
          <w:rFonts w:hint="eastAsia"/>
          <w:lang w:val="en-US" w:eastAsia="zh-CN"/>
        </w:rPr>
        <w:t>8.6.3事故排污时应急措施</w:t>
      </w:r>
    </w:p>
    <w:p>
      <w:pPr>
        <w:pStyle w:val="69"/>
        <w:bidi w:val="0"/>
        <w:rPr>
          <w:rFonts w:hint="eastAsia"/>
          <w:lang w:val="en-US" w:eastAsia="zh-CN"/>
        </w:rPr>
      </w:pPr>
      <w:r>
        <w:rPr>
          <w:rFonts w:hint="eastAsia"/>
          <w:lang w:val="en-US" w:eastAsia="zh-CN"/>
        </w:rPr>
        <w:t>8.6.3.1水环境风险分析</w:t>
      </w:r>
    </w:p>
    <w:p>
      <w:pPr>
        <w:jc w:val="both"/>
        <w:rPr>
          <w:rFonts w:hint="eastAsia"/>
          <w:lang w:val="en-US" w:eastAsia="zh-CN"/>
        </w:rPr>
      </w:pPr>
      <w:r>
        <w:rPr>
          <w:rFonts w:hint="eastAsia"/>
          <w:lang w:val="en-US" w:eastAsia="zh-CN"/>
        </w:rPr>
        <w:t>风险概率估算和事故后果分析说明存在发生突发性事故对环境的潜在威胁。国内外经验说明，及早落实有效的防治措施，将会减少事故的发生和使事故可能造成的危害减小到最低程度，减轻突发性事故对水环境和生态环境的影响，以实现经济效益与环境效益的统一。为达到以上目的，有必要从日常管理上实行全面和严格的对策措施，同时准备健全的事故应急对策，以便应付可能发生的事故。永顺经济开发区猛洞河产业园污水处理厂入河排污口论证项目排口在事故排放时，若生产过程中使用的化学品也泄漏进入猛洞河，可能在短时间内造成下游水质局部影响。</w:t>
      </w:r>
    </w:p>
    <w:p>
      <w:pPr>
        <w:jc w:val="both"/>
        <w:rPr>
          <w:rFonts w:hint="eastAsia"/>
          <w:lang w:val="en-US" w:eastAsia="zh-CN"/>
        </w:rPr>
      </w:pPr>
      <w:r>
        <w:rPr>
          <w:rFonts w:hint="eastAsia"/>
          <w:lang w:val="en-US" w:eastAsia="zh-CN"/>
        </w:rPr>
        <w:t>废水处理设施因各种原因不能正常运行时，原废水如果直接排放进入猛洞河，将使下游水体受到明显污染，对河道水质造成较明显影响，对水生态环境影响较大。</w:t>
      </w:r>
    </w:p>
    <w:p>
      <w:pPr>
        <w:jc w:val="both"/>
        <w:rPr>
          <w:rFonts w:hint="eastAsia"/>
          <w:lang w:val="en-US" w:eastAsia="zh-CN"/>
        </w:rPr>
      </w:pPr>
      <w:r>
        <w:rPr>
          <w:rFonts w:hint="eastAsia"/>
          <w:lang w:val="en-US" w:eastAsia="zh-CN"/>
        </w:rPr>
        <w:t>永顺经济开发区猛洞河产业园污水处理厂入河排污口论证项目排口拟选用的工艺及工程设施的分析，其污水排放事故风险的类型主要包括进废水溢流排放、系统设备故障、员工操作不当、管网破损、温度异常，尤其是冬季，温度低，可导致生化处理效率下降、暴雨期进水以及突发性外部场内化学品（矿物油）泄漏事故等方面。</w:t>
      </w:r>
    </w:p>
    <w:p>
      <w:pPr>
        <w:pStyle w:val="69"/>
        <w:bidi w:val="0"/>
        <w:rPr>
          <w:rFonts w:hint="eastAsia"/>
          <w:lang w:val="en-US" w:eastAsia="zh-CN"/>
        </w:rPr>
      </w:pPr>
      <w:r>
        <w:rPr>
          <w:rFonts w:hint="eastAsia"/>
          <w:lang w:val="en-US" w:eastAsia="zh-CN"/>
        </w:rPr>
        <w:t>8.6.3.2风险防范措施</w:t>
      </w:r>
    </w:p>
    <w:p>
      <w:pPr>
        <w:jc w:val="both"/>
        <w:rPr>
          <w:rFonts w:hint="eastAsia"/>
          <w:lang w:val="en-US" w:eastAsia="zh-CN"/>
        </w:rPr>
      </w:pPr>
      <w:r>
        <w:rPr>
          <w:rFonts w:hint="eastAsia"/>
          <w:lang w:val="en-US" w:eastAsia="zh-CN"/>
        </w:rPr>
        <w:t>（a）风险防范工程措施</w:t>
      </w:r>
    </w:p>
    <w:p>
      <w:pPr>
        <w:jc w:val="both"/>
        <w:rPr>
          <w:rFonts w:hint="eastAsia"/>
          <w:lang w:val="en-US" w:eastAsia="zh-CN"/>
        </w:rPr>
      </w:pPr>
      <w:r>
        <w:rPr>
          <w:rFonts w:hint="eastAsia"/>
          <w:lang w:val="en-US" w:eastAsia="zh-CN"/>
        </w:rPr>
        <w:t>废水处理设施的事故主要来源于设计、设备、管理等环节，主要防治措施如下：</w:t>
      </w:r>
    </w:p>
    <w:p>
      <w:pPr>
        <w:jc w:val="both"/>
        <w:rPr>
          <w:rFonts w:hint="eastAsia"/>
          <w:lang w:val="en-US" w:eastAsia="zh-CN"/>
        </w:rPr>
      </w:pPr>
      <w:r>
        <w:rPr>
          <w:rFonts w:hint="eastAsia"/>
          <w:lang w:val="en-US" w:eastAsia="zh-CN"/>
        </w:rPr>
        <w:t>①废水处理设施建议采用备用电源，机械设备采用性能可靠优质产品:并配备一定的应急物资。</w:t>
      </w:r>
    </w:p>
    <w:p>
      <w:pPr>
        <w:jc w:val="both"/>
        <w:rPr>
          <w:rFonts w:hint="eastAsia"/>
          <w:lang w:val="en-US" w:eastAsia="zh-CN"/>
        </w:rPr>
      </w:pPr>
      <w:r>
        <w:rPr>
          <w:rFonts w:hint="eastAsia"/>
          <w:lang w:val="en-US" w:eastAsia="zh-CN"/>
        </w:rPr>
        <w:t>②为使在事故状态下废水处理设施能够迅速恢复正常这常运行，应在主要水工建筑物的容积上留有相应的的缓冲能力，并配有相应的设备(如事故池)，污水处理站预留有部分容积，设有调节池。</w:t>
      </w:r>
    </w:p>
    <w:p>
      <w:pPr>
        <w:jc w:val="both"/>
        <w:rPr>
          <w:rFonts w:hint="eastAsia"/>
          <w:lang w:val="en-US" w:eastAsia="zh-CN"/>
        </w:rPr>
      </w:pPr>
      <w:r>
        <w:rPr>
          <w:rFonts w:hint="eastAsia"/>
          <w:lang w:val="en-US" w:eastAsia="zh-CN"/>
        </w:rPr>
        <w:t>③选用优质设备，对废水处理排水等各种设备，选择质量优良、事故率低、便于维修的产品。关键设备应一备一用，易损部件要有备用件，在出现事故时能及时更换。</w:t>
      </w:r>
    </w:p>
    <w:p>
      <w:pPr>
        <w:jc w:val="both"/>
        <w:rPr>
          <w:rFonts w:hint="eastAsia"/>
          <w:lang w:val="en-US" w:eastAsia="zh-CN"/>
        </w:rPr>
      </w:pPr>
      <w:r>
        <w:rPr>
          <w:rFonts w:hint="eastAsia"/>
          <w:lang w:val="en-US" w:eastAsia="zh-CN"/>
        </w:rPr>
        <w:t>④加强事故苗头监控，定期巡检、调节、保养、维修。及时发现有可能引起事故的异常运行苗头，消除事故隐患。</w:t>
      </w:r>
    </w:p>
    <w:p>
      <w:pPr>
        <w:jc w:val="both"/>
        <w:rPr>
          <w:rFonts w:hint="eastAsia"/>
          <w:lang w:val="en-US" w:eastAsia="zh-CN"/>
        </w:rPr>
      </w:pPr>
      <w:r>
        <w:rPr>
          <w:rFonts w:hint="eastAsia"/>
          <w:lang w:val="en-US" w:eastAsia="zh-CN"/>
        </w:rPr>
        <w:t>⑤建立安全操作规程，在平时严格按规程办事，定期对负责污水处理运营人员的理论知识和操作技能进行培训和检查。建立安全责任制度，在日常的工作管理方面建立一套完整的制度，落实到人、明确职责、定期检查。</w:t>
      </w:r>
    </w:p>
    <w:p>
      <w:pPr>
        <w:jc w:val="both"/>
        <w:rPr>
          <w:rFonts w:hint="eastAsia"/>
          <w:lang w:val="en-US" w:eastAsia="zh-CN"/>
        </w:rPr>
      </w:pPr>
      <w:r>
        <w:rPr>
          <w:rFonts w:hint="eastAsia"/>
          <w:lang w:val="en-US" w:eastAsia="zh-CN"/>
        </w:rPr>
        <w:t>⑥加强运行管理和进出水的监测工作，根据《排污单位自行监测技术指南总则》(HJ819-2017)进行定时检测：未经处理达标的废水严禁外排。</w:t>
      </w:r>
    </w:p>
    <w:p>
      <w:pPr>
        <w:jc w:val="both"/>
        <w:rPr>
          <w:rFonts w:hint="eastAsia"/>
          <w:lang w:val="en-US" w:eastAsia="zh-CN"/>
        </w:rPr>
      </w:pPr>
      <w:r>
        <w:rPr>
          <w:rFonts w:hint="eastAsia"/>
          <w:lang w:val="en-US" w:eastAsia="zh-CN"/>
        </w:rPr>
        <w:t>⑦制定操作性较强的事故应急预案，明确事故发生时的应急、抢险操作制度。落实各项工作人员的责任，做到责任到人，并在平时定期进行预演。</w:t>
      </w:r>
    </w:p>
    <w:p>
      <w:pPr>
        <w:jc w:val="both"/>
        <w:rPr>
          <w:rFonts w:hint="eastAsia"/>
          <w:lang w:val="en-US" w:eastAsia="zh-CN"/>
        </w:rPr>
      </w:pPr>
      <w:r>
        <w:rPr>
          <w:rFonts w:hint="eastAsia"/>
          <w:lang w:val="en-US" w:eastAsia="zh-CN"/>
        </w:rPr>
        <w:t>（b）预防措施</w:t>
      </w:r>
    </w:p>
    <w:p>
      <w:pPr>
        <w:jc w:val="both"/>
        <w:rPr>
          <w:rFonts w:hint="eastAsia"/>
          <w:lang w:val="en-US" w:eastAsia="zh-CN"/>
        </w:rPr>
      </w:pPr>
      <w:r>
        <w:rPr>
          <w:rFonts w:hint="eastAsia"/>
          <w:lang w:val="en-US" w:eastAsia="zh-CN"/>
        </w:rPr>
        <w:t>（1）生产过程中的危险预防措施：</w:t>
      </w:r>
    </w:p>
    <w:p>
      <w:pPr>
        <w:jc w:val="both"/>
        <w:rPr>
          <w:rFonts w:hint="eastAsia"/>
          <w:lang w:val="en-US" w:eastAsia="zh-CN"/>
        </w:rPr>
      </w:pPr>
      <w:r>
        <w:rPr>
          <w:rFonts w:hint="eastAsia"/>
          <w:lang w:val="en-US" w:eastAsia="zh-CN"/>
        </w:rPr>
        <w:t>①污水处理厂进出水水质执行定期监测制度，了解水厂进出水水质情况，防止污水水质水量波动影响水厂正常运行，及时合理的调节运行工况，严禁长时间超负荷运行；</w:t>
      </w:r>
    </w:p>
    <w:p>
      <w:pPr>
        <w:jc w:val="both"/>
        <w:rPr>
          <w:rFonts w:hint="eastAsia"/>
          <w:lang w:val="en-US" w:eastAsia="zh-CN"/>
        </w:rPr>
      </w:pPr>
      <w:r>
        <w:rPr>
          <w:rFonts w:hint="eastAsia"/>
          <w:lang w:val="en-US" w:eastAsia="zh-CN"/>
        </w:rPr>
        <w:t>②加药间设置“闲人免进”、“严禁烟火”以及化学危险品警示牌；</w:t>
      </w:r>
    </w:p>
    <w:p>
      <w:pPr>
        <w:jc w:val="both"/>
        <w:rPr>
          <w:rFonts w:hint="eastAsia"/>
          <w:lang w:val="en-US" w:eastAsia="zh-CN"/>
        </w:rPr>
      </w:pPr>
      <w:r>
        <w:rPr>
          <w:rFonts w:hint="eastAsia"/>
          <w:lang w:val="en-US" w:eastAsia="zh-CN"/>
        </w:rPr>
        <w:t>③厂区内消防事故导流渠直接通向事故池（调节池），并确保厂区管网流渠畅通以及事故池（调节池）的水位处在正常水位线；</w:t>
      </w:r>
    </w:p>
    <w:p>
      <w:pPr>
        <w:jc w:val="both"/>
        <w:rPr>
          <w:rFonts w:hint="eastAsia"/>
          <w:lang w:val="en-US" w:eastAsia="zh-CN"/>
        </w:rPr>
      </w:pPr>
      <w:r>
        <w:rPr>
          <w:rFonts w:hint="eastAsia"/>
          <w:lang w:val="en-US" w:eastAsia="zh-CN"/>
        </w:rPr>
        <w:t>④污水处理设施沿池部位设置了可靠的防护设施、安全围栏；</w:t>
      </w:r>
    </w:p>
    <w:p>
      <w:pPr>
        <w:jc w:val="both"/>
        <w:rPr>
          <w:rFonts w:hint="eastAsia"/>
          <w:lang w:val="en-US" w:eastAsia="zh-CN"/>
        </w:rPr>
      </w:pPr>
      <w:r>
        <w:rPr>
          <w:rFonts w:hint="eastAsia"/>
          <w:lang w:val="en-US" w:eastAsia="zh-CN"/>
        </w:rPr>
        <w:t>⑤在生产过程中，接触和使用有毒有害化学品时，必须按照规定穿戴防护衣具。</w:t>
      </w:r>
    </w:p>
    <w:p>
      <w:pPr>
        <w:jc w:val="both"/>
        <w:rPr>
          <w:rFonts w:hint="eastAsia"/>
          <w:lang w:val="en-US" w:eastAsia="zh-CN"/>
        </w:rPr>
      </w:pPr>
      <w:r>
        <w:rPr>
          <w:rFonts w:hint="eastAsia"/>
          <w:lang w:val="en-US" w:eastAsia="zh-CN"/>
        </w:rPr>
        <w:t>（2）管理及操作环节危险预防措施</w:t>
      </w:r>
    </w:p>
    <w:p>
      <w:pPr>
        <w:jc w:val="both"/>
        <w:rPr>
          <w:rFonts w:hint="eastAsia"/>
          <w:lang w:val="en-US" w:eastAsia="zh-CN"/>
        </w:rPr>
      </w:pPr>
      <w:r>
        <w:rPr>
          <w:rFonts w:hint="eastAsia"/>
          <w:lang w:val="en-US" w:eastAsia="zh-CN"/>
        </w:rPr>
        <w:t>①建立健全安全生产责任制，制定安全生产规章制度和操作规程；</w:t>
      </w:r>
    </w:p>
    <w:p>
      <w:pPr>
        <w:jc w:val="both"/>
        <w:rPr>
          <w:rFonts w:hint="eastAsia"/>
          <w:lang w:val="en-US" w:eastAsia="zh-CN"/>
        </w:rPr>
      </w:pPr>
      <w:r>
        <w:rPr>
          <w:rFonts w:hint="eastAsia"/>
          <w:lang w:val="en-US" w:eastAsia="zh-CN"/>
        </w:rPr>
        <w:t>②各生产、经营、储存单元，配备专职安全生产管理人员；各生产单元的主要负责人和安全生产管理人员应当接受有关主管部门的安全生产知识和管理能力考核，合格后方可任职；</w:t>
      </w:r>
    </w:p>
    <w:p>
      <w:pPr>
        <w:jc w:val="both"/>
        <w:rPr>
          <w:rFonts w:hint="eastAsia"/>
          <w:lang w:val="en-US" w:eastAsia="zh-CN"/>
        </w:rPr>
      </w:pPr>
      <w:r>
        <w:rPr>
          <w:rFonts w:hint="eastAsia"/>
          <w:lang w:val="en-US" w:eastAsia="zh-CN"/>
        </w:rPr>
        <w:t>③对工作人员应进行安全生产教育和培训，并定期进行理论和实践考核，保证工作人员具备必要的安全生产资质，并熟悉安全生产规章制度和安全生产规程；</w:t>
      </w:r>
    </w:p>
    <w:p>
      <w:pPr>
        <w:jc w:val="both"/>
        <w:rPr>
          <w:rFonts w:hint="eastAsia"/>
          <w:lang w:val="en-US" w:eastAsia="zh-CN"/>
        </w:rPr>
      </w:pPr>
      <w:r>
        <w:rPr>
          <w:rFonts w:hint="eastAsia"/>
          <w:lang w:val="en-US" w:eastAsia="zh-CN"/>
        </w:rPr>
        <w:t>④严格执行危险化学品安全管理制度，落实安全责任制，加强加药间的安全管理。对储藏区保管员加强安全培训，使其掌握危险化学品的危险特性和应急救援措施；</w:t>
      </w:r>
    </w:p>
    <w:p>
      <w:pPr>
        <w:jc w:val="both"/>
        <w:rPr>
          <w:rFonts w:hint="eastAsia"/>
          <w:lang w:val="en-US" w:eastAsia="zh-CN"/>
        </w:rPr>
      </w:pPr>
      <w:r>
        <w:rPr>
          <w:rFonts w:hint="eastAsia"/>
          <w:lang w:val="en-US" w:eastAsia="zh-CN"/>
        </w:rPr>
        <w:t>⑤工作人员严格按照规程进行操作，并按照要求穿工作服和使用劳动防护用品，如操作加药设备时应戴橡胶手套、穿胶靴、戴口罩以及防护服；电气检修时应穿绝缘靴、戴绝缘手套等；对劳保用品如防毒面具等应定期检测，以确保其有效性；</w:t>
      </w:r>
    </w:p>
    <w:p>
      <w:pPr>
        <w:jc w:val="both"/>
        <w:rPr>
          <w:rFonts w:hint="eastAsia"/>
          <w:lang w:val="en-US" w:eastAsia="zh-CN"/>
        </w:rPr>
      </w:pPr>
      <w:r>
        <w:rPr>
          <w:rFonts w:hint="eastAsia"/>
          <w:lang w:val="en-US" w:eastAsia="zh-CN"/>
        </w:rPr>
        <w:t>⑥运输危险化学品时，使用有危险货物道路运输资质的车辆，司机、押运员持证上岗。装卸过程应做到轻装轻卸；运输时运输车辆应配备相应品种和数量的消防器材。严禁与酸类、易燃物、有机物、还原剂、自燃物品、遇湿易燃物品等并车混运。运输时车速不宜过快，不得强行超车。运输车辆装卸前后，均应彻底清扫、洗净，严禁混入有机物、易燃物等杂质；运输污泥的车辆为专业车辆，车厢可密闭，能防止发生突发事故时污泥泄漏至外环境；</w:t>
      </w:r>
    </w:p>
    <w:p>
      <w:pPr>
        <w:jc w:val="both"/>
        <w:rPr>
          <w:rFonts w:hint="eastAsia"/>
          <w:lang w:val="en-US" w:eastAsia="zh-CN"/>
        </w:rPr>
      </w:pPr>
      <w:r>
        <w:rPr>
          <w:rFonts w:hint="eastAsia"/>
          <w:lang w:val="en-US" w:eastAsia="zh-CN"/>
        </w:rPr>
        <w:t>⑦得知停电计划或发现临时停电时，应急小组应及时向当地环保部门汇报，并在事故处理过程中随时与供电部门及当地环保部门联系；</w:t>
      </w:r>
    </w:p>
    <w:p>
      <w:pPr>
        <w:jc w:val="both"/>
        <w:rPr>
          <w:rFonts w:hint="eastAsia"/>
          <w:lang w:val="en-US" w:eastAsia="zh-CN"/>
        </w:rPr>
      </w:pPr>
      <w:r>
        <w:rPr>
          <w:rFonts w:hint="eastAsia"/>
          <w:lang w:val="en-US" w:eastAsia="zh-CN"/>
        </w:rPr>
        <w:t>如属于计划停电，应保持停电信息与各进水阀门进行沟通，停电前，开启排水设备将管道内污水降至最低水平，以充分利用管网容积储水，送电后，立即开启阀门，通知企业进水，恢复生产，同时，根据停电时间的长短及污水厂调节池、管网情况确定能够容纳停电期间入厂得污水，如不能，上报生态环境局永顺分局，并及时通知下游企业，做好应急措施；</w:t>
      </w:r>
    </w:p>
    <w:p>
      <w:pPr>
        <w:jc w:val="both"/>
        <w:rPr>
          <w:rFonts w:hint="eastAsia"/>
          <w:lang w:val="en-US" w:eastAsia="zh-CN"/>
        </w:rPr>
      </w:pPr>
      <w:r>
        <w:rPr>
          <w:rFonts w:hint="eastAsia"/>
          <w:lang w:val="en-US" w:eastAsia="zh-CN"/>
        </w:rPr>
        <w:t>如临时停电，当班人员要立即排查停电原因，并向应急领导小组汇报。污水临时存放在事故池内，待事故排除后再将污水重新提升至污水处理厂；</w:t>
      </w:r>
    </w:p>
    <w:p>
      <w:pPr>
        <w:jc w:val="both"/>
        <w:rPr>
          <w:rFonts w:hint="eastAsia"/>
          <w:lang w:val="en-US" w:eastAsia="zh-CN"/>
        </w:rPr>
      </w:pPr>
      <w:r>
        <w:rPr>
          <w:rFonts w:hint="eastAsia"/>
          <w:lang w:val="en-US" w:eastAsia="zh-CN"/>
        </w:rPr>
        <w:t>⑧当出现设备故障及大修而无备用设备或备用设备无法启用等情况时，要及时与应急领导小组联系，确定大修时间，采取相关措施在大修期间存放污水，防止外排。在调节池与外排渠道间设置闸板，故障时及时关闭闸板，污水临时存放在调节池内，调节池内不能满足污水的存放时再排入猛洞河。同时，根据大修时间的长短及污水厂调节池、管网情况确定能否容纳大修期间入场的污水，如若不能则及时通知环保部门。</w:t>
      </w:r>
    </w:p>
    <w:p>
      <w:pPr>
        <w:jc w:val="both"/>
        <w:rPr>
          <w:rFonts w:hint="eastAsia"/>
          <w:lang w:val="en-US" w:eastAsia="zh-CN"/>
        </w:rPr>
      </w:pPr>
      <w:r>
        <w:rPr>
          <w:rFonts w:hint="eastAsia"/>
          <w:lang w:val="en-US" w:eastAsia="zh-CN"/>
        </w:rPr>
        <w:t>⑨安排至少2工人24小时巡查，检查排洪、排水设施有无淤堵、坍塌、结构变形，污水处理厂构筑物时候出现泄漏、塌陷，检查排渗设施是否运行正常；</w:t>
      </w:r>
    </w:p>
    <w:p>
      <w:pPr>
        <w:jc w:val="both"/>
        <w:rPr>
          <w:rFonts w:hint="eastAsia"/>
          <w:lang w:val="en-US" w:eastAsia="zh-CN"/>
        </w:rPr>
      </w:pPr>
      <w:r>
        <w:rPr>
          <w:rFonts w:hint="eastAsia"/>
          <w:lang w:val="en-US" w:eastAsia="zh-CN"/>
        </w:rPr>
        <w:t>⑩密切关注气象变化，加强对汛期进厂污水的监控，做好各项应急准备工作。汛期前，应对污水处理厂设施进行一次全面检查，消除事故隐患；雨季期间，加强对设施的日常检查，同时与气象部门保持经常联系，及时掌握气象信息；事故可能发生时，通过预先确定的报警方法及早采取措施。</w:t>
      </w:r>
    </w:p>
    <w:p>
      <w:pPr>
        <w:jc w:val="both"/>
        <w:rPr>
          <w:rFonts w:hint="eastAsia"/>
          <w:lang w:val="en-US" w:eastAsia="zh-CN"/>
        </w:rPr>
      </w:pPr>
      <w:r>
        <w:rPr>
          <w:rFonts w:hint="eastAsia"/>
          <w:lang w:val="en-US" w:eastAsia="zh-CN"/>
        </w:rPr>
        <w:t>（3）职业卫生环节危险预防措施</w:t>
      </w:r>
    </w:p>
    <w:p>
      <w:pPr>
        <w:jc w:val="both"/>
        <w:rPr>
          <w:rFonts w:hint="eastAsia"/>
          <w:lang w:val="en-US" w:eastAsia="zh-CN"/>
        </w:rPr>
      </w:pPr>
      <w:r>
        <w:rPr>
          <w:rFonts w:hint="eastAsia"/>
          <w:lang w:val="en-US" w:eastAsia="zh-CN"/>
        </w:rPr>
        <w:t>①加药间内存贮有危险化学品作业区，配备了淋浴设施，并配置了事故柜和急救箱等防护设施；</w:t>
      </w:r>
    </w:p>
    <w:p>
      <w:pPr>
        <w:jc w:val="both"/>
        <w:rPr>
          <w:rFonts w:hint="eastAsia"/>
          <w:lang w:val="en-US" w:eastAsia="zh-CN"/>
        </w:rPr>
      </w:pPr>
      <w:r>
        <w:rPr>
          <w:rFonts w:hint="eastAsia"/>
          <w:lang w:val="en-US" w:eastAsia="zh-CN"/>
        </w:rPr>
        <w:t>②工作人员应配备了必要的个人防护用品和应急药箱，装备必要的药品，发生小事故时能采取自救措施。</w:t>
      </w:r>
    </w:p>
    <w:p>
      <w:pPr>
        <w:jc w:val="both"/>
        <w:rPr>
          <w:rFonts w:hint="eastAsia"/>
          <w:lang w:val="en-US" w:eastAsia="zh-CN"/>
        </w:rPr>
      </w:pPr>
      <w:r>
        <w:rPr>
          <w:rFonts w:hint="eastAsia"/>
          <w:lang w:val="en-US" w:eastAsia="zh-CN"/>
        </w:rPr>
        <w:t>（5）其他危险环节预防措施</w:t>
      </w:r>
    </w:p>
    <w:p>
      <w:pPr>
        <w:jc w:val="both"/>
        <w:rPr>
          <w:rFonts w:hint="eastAsia"/>
          <w:lang w:val="en-US" w:eastAsia="zh-CN"/>
        </w:rPr>
      </w:pPr>
      <w:r>
        <w:rPr>
          <w:rFonts w:hint="eastAsia"/>
          <w:lang w:val="en-US" w:eastAsia="zh-CN"/>
        </w:rPr>
        <w:t>①为防止突然停电时给企业造成突发事件，本污水厂与电厂形成沟通机制；</w:t>
      </w:r>
    </w:p>
    <w:p>
      <w:pPr>
        <w:jc w:val="both"/>
        <w:rPr>
          <w:rFonts w:hint="eastAsia"/>
          <w:lang w:val="en-US" w:eastAsia="zh-CN"/>
        </w:rPr>
      </w:pPr>
      <w:r>
        <w:rPr>
          <w:rFonts w:hint="eastAsia"/>
          <w:lang w:val="en-US" w:eastAsia="zh-CN"/>
        </w:rPr>
        <w:t>②各生产单元配置了应急照明装置；</w:t>
      </w:r>
    </w:p>
    <w:p>
      <w:pPr>
        <w:jc w:val="both"/>
        <w:rPr>
          <w:rFonts w:hint="eastAsia"/>
          <w:lang w:val="en-US" w:eastAsia="zh-CN"/>
        </w:rPr>
      </w:pPr>
      <w:r>
        <w:rPr>
          <w:rFonts w:hint="eastAsia"/>
          <w:lang w:val="en-US" w:eastAsia="zh-CN"/>
        </w:rPr>
        <w:t>③污水处理厂厂区应广泛植树种草</w:t>
      </w:r>
    </w:p>
    <w:p>
      <w:pPr>
        <w:pStyle w:val="6"/>
        <w:bidi w:val="0"/>
        <w:jc w:val="both"/>
        <w:rPr>
          <w:rFonts w:hint="eastAsia"/>
          <w:lang w:val="en-US" w:eastAsia="zh-CN"/>
        </w:rPr>
      </w:pPr>
      <w:r>
        <w:rPr>
          <w:rFonts w:hint="eastAsia"/>
          <w:lang w:val="en-US" w:eastAsia="zh-CN"/>
        </w:rPr>
        <w:t>8.6.4应急处理措施</w:t>
      </w:r>
    </w:p>
    <w:p>
      <w:pPr>
        <w:jc w:val="both"/>
        <w:rPr>
          <w:rFonts w:hint="eastAsia"/>
          <w:lang w:val="en-US" w:eastAsia="zh-CN"/>
        </w:rPr>
      </w:pPr>
      <w:r>
        <w:rPr>
          <w:rFonts w:hint="eastAsia"/>
          <w:lang w:val="en-US" w:eastAsia="zh-CN"/>
        </w:rPr>
        <w:t>对废水处理设施可能发生的异常情况，积极防范，在突发性污染事故发生后，迅速、高效、有序地开展污染事故的应急处理工作，最大限度的避免和控制污染的扩大：确定潜在的事故、事件或紧急情况，确保经过处理的废水中污染物浓度符合国家对污水排放的有关规定，并能在事故发生后迅速有效控制处理。</w:t>
      </w:r>
    </w:p>
    <w:p>
      <w:pPr>
        <w:jc w:val="both"/>
        <w:rPr>
          <w:rFonts w:hint="eastAsia"/>
          <w:lang w:val="en-US" w:eastAsia="zh-CN"/>
        </w:rPr>
      </w:pPr>
      <w:r>
        <w:rPr>
          <w:rFonts w:hint="eastAsia"/>
          <w:lang w:val="en-US" w:eastAsia="zh-CN"/>
        </w:rPr>
        <w:t>针对废水处理设施可能发生的设备故障、管网破损、突发性外部事故等造成的水环境风险事故，提出如下应急处理措施：</w:t>
      </w:r>
    </w:p>
    <w:p>
      <w:pPr>
        <w:pStyle w:val="69"/>
        <w:bidi w:val="0"/>
        <w:rPr>
          <w:rFonts w:hint="eastAsia"/>
          <w:lang w:val="en-US" w:eastAsia="zh-CN"/>
        </w:rPr>
      </w:pPr>
      <w:r>
        <w:rPr>
          <w:rFonts w:hint="eastAsia"/>
          <w:lang w:val="en-US" w:eastAsia="zh-CN"/>
        </w:rPr>
        <w:t>8.6.4.1进污水输送管网泄漏事故发生后的应急处置措施</w:t>
      </w:r>
    </w:p>
    <w:p>
      <w:pPr>
        <w:jc w:val="both"/>
        <w:rPr>
          <w:rFonts w:hint="eastAsia"/>
          <w:lang w:val="en-US" w:eastAsia="zh-CN"/>
        </w:rPr>
      </w:pPr>
      <w:r>
        <w:rPr>
          <w:rFonts w:hint="eastAsia"/>
          <w:lang w:val="en-US" w:eastAsia="zh-CN"/>
        </w:rPr>
        <w:t>（1）厂外污水管网泄漏</w:t>
      </w:r>
    </w:p>
    <w:p>
      <w:pPr>
        <w:jc w:val="both"/>
        <w:rPr>
          <w:rFonts w:hint="eastAsia"/>
          <w:lang w:val="en-US" w:eastAsia="zh-CN"/>
        </w:rPr>
      </w:pPr>
      <w:r>
        <w:rPr>
          <w:rFonts w:hint="eastAsia"/>
          <w:lang w:val="en-US" w:eastAsia="zh-CN"/>
        </w:rPr>
        <w:t>①当确定发生管网泄漏时，立即通知施工队进行抢修；</w:t>
      </w:r>
    </w:p>
    <w:p>
      <w:pPr>
        <w:jc w:val="both"/>
        <w:rPr>
          <w:rFonts w:hint="eastAsia"/>
          <w:lang w:val="en-US" w:eastAsia="zh-CN"/>
        </w:rPr>
      </w:pPr>
      <w:r>
        <w:rPr>
          <w:rFonts w:hint="eastAsia"/>
          <w:lang w:val="en-US" w:eastAsia="zh-CN"/>
        </w:rPr>
        <w:t>②当发生大量废水外泄事故，及时抢修无效的，立即通知上级环保主管部门及猛洞河街道办事处、市人民政府，并请求支援。</w:t>
      </w:r>
    </w:p>
    <w:p>
      <w:pPr>
        <w:jc w:val="both"/>
        <w:rPr>
          <w:rFonts w:hint="eastAsia"/>
          <w:lang w:val="en-US" w:eastAsia="zh-CN"/>
        </w:rPr>
      </w:pPr>
      <w:r>
        <w:rPr>
          <w:rFonts w:hint="eastAsia"/>
          <w:lang w:val="en-US" w:eastAsia="zh-CN"/>
        </w:rPr>
        <w:t>（2）厂内污水管网发生泄漏时</w:t>
      </w:r>
    </w:p>
    <w:p>
      <w:pPr>
        <w:jc w:val="both"/>
        <w:rPr>
          <w:rFonts w:hint="eastAsia"/>
          <w:lang w:val="en-US" w:eastAsia="zh-CN"/>
        </w:rPr>
      </w:pPr>
      <w:r>
        <w:rPr>
          <w:rFonts w:hint="eastAsia"/>
          <w:lang w:val="en-US" w:eastAsia="zh-CN"/>
        </w:rPr>
        <w:t>①当管网泄露事故发生后，发现人在最短的时间内向应急事故处理领导小组报告，同时通知值班人员派维修人员来现场进行事故排查；</w:t>
      </w:r>
    </w:p>
    <w:p>
      <w:pPr>
        <w:jc w:val="both"/>
        <w:rPr>
          <w:rFonts w:hint="eastAsia"/>
          <w:lang w:val="en-US" w:eastAsia="zh-CN"/>
        </w:rPr>
      </w:pPr>
      <w:r>
        <w:rPr>
          <w:rFonts w:hint="eastAsia"/>
          <w:lang w:val="en-US" w:eastAsia="zh-CN"/>
        </w:rPr>
        <w:t>②有关人员到达现场之后，在保证人身安全的前提下，查找泄漏点，关闭相关的阀门，情况严重时可以关闭总阀门；</w:t>
      </w:r>
    </w:p>
    <w:p>
      <w:pPr>
        <w:jc w:val="both"/>
        <w:rPr>
          <w:rFonts w:hint="eastAsia"/>
          <w:lang w:val="en-US" w:eastAsia="zh-CN"/>
        </w:rPr>
      </w:pPr>
      <w:r>
        <w:rPr>
          <w:rFonts w:hint="eastAsia"/>
          <w:lang w:val="en-US" w:eastAsia="zh-CN"/>
        </w:rPr>
        <w:t>③确定抢修方案上报应急事故处理领导小组，获批准后对泄漏点进行抢修。</w:t>
      </w:r>
    </w:p>
    <w:p>
      <w:pPr>
        <w:jc w:val="both"/>
        <w:rPr>
          <w:rFonts w:hint="eastAsia"/>
          <w:lang w:val="en-US" w:eastAsia="zh-CN"/>
        </w:rPr>
      </w:pPr>
      <w:r>
        <w:rPr>
          <w:rFonts w:hint="eastAsia"/>
          <w:lang w:val="en-US" w:eastAsia="zh-CN"/>
        </w:rPr>
        <w:t>（3）防护措施</w:t>
      </w:r>
    </w:p>
    <w:p>
      <w:pPr>
        <w:jc w:val="both"/>
        <w:rPr>
          <w:rFonts w:hint="eastAsia"/>
          <w:lang w:val="en-US" w:eastAsia="zh-CN"/>
        </w:rPr>
      </w:pPr>
      <w:r>
        <w:rPr>
          <w:rFonts w:hint="eastAsia"/>
          <w:lang w:val="en-US" w:eastAsia="zh-CN"/>
        </w:rPr>
        <w:t>现场处置人员应穿好防护服，防止与污水长时间接触。</w:t>
      </w:r>
    </w:p>
    <w:p>
      <w:pPr>
        <w:pStyle w:val="69"/>
        <w:bidi w:val="0"/>
        <w:rPr>
          <w:rFonts w:hint="eastAsia"/>
          <w:lang w:val="en-US" w:eastAsia="zh-CN"/>
        </w:rPr>
      </w:pPr>
      <w:r>
        <w:rPr>
          <w:rFonts w:hint="eastAsia"/>
          <w:lang w:val="en-US" w:eastAsia="zh-CN"/>
        </w:rPr>
        <w:t>8.6.4.2停电造成污水处理厂无法正常工作的应急处置措施</w:t>
      </w:r>
    </w:p>
    <w:p>
      <w:pPr>
        <w:jc w:val="both"/>
        <w:rPr>
          <w:rFonts w:hint="eastAsia"/>
          <w:lang w:val="en-US" w:eastAsia="zh-CN"/>
        </w:rPr>
      </w:pPr>
      <w:r>
        <w:rPr>
          <w:rFonts w:hint="eastAsia"/>
          <w:lang w:val="en-US" w:eastAsia="zh-CN"/>
        </w:rPr>
        <w:t>（1）计划停电事故应急措施</w:t>
      </w:r>
    </w:p>
    <w:p>
      <w:pPr>
        <w:jc w:val="both"/>
        <w:rPr>
          <w:rFonts w:hint="eastAsia"/>
          <w:lang w:val="en-US" w:eastAsia="zh-CN"/>
        </w:rPr>
      </w:pPr>
      <w:r>
        <w:rPr>
          <w:rFonts w:hint="eastAsia"/>
          <w:lang w:val="en-US" w:eastAsia="zh-CN"/>
        </w:rPr>
        <w:t>得知停电计划后，班组值班人立即向污水厂负责人报告，污水厂负责人及时进行电力协调及现场考察，确定停电时间，计算本污水处理厂能否接纳停电期间进水，如不能，及时上报有关部门，猛洞河下游有关企业，做好相应的应急衔接，做好预防，将危害降至最低。</w:t>
      </w:r>
    </w:p>
    <w:p>
      <w:pPr>
        <w:jc w:val="both"/>
        <w:rPr>
          <w:rFonts w:hint="eastAsia"/>
          <w:lang w:val="en-US" w:eastAsia="zh-CN"/>
        </w:rPr>
      </w:pPr>
      <w:r>
        <w:rPr>
          <w:rFonts w:hint="eastAsia"/>
          <w:lang w:val="en-US" w:eastAsia="zh-CN"/>
        </w:rPr>
        <w:t>具体的应急过程为：</w:t>
      </w:r>
    </w:p>
    <w:p>
      <w:pPr>
        <w:jc w:val="both"/>
        <w:rPr>
          <w:rFonts w:hint="eastAsia"/>
          <w:lang w:val="en-US" w:eastAsia="zh-CN"/>
        </w:rPr>
      </w:pPr>
      <w:r>
        <w:rPr>
          <w:rFonts w:hint="eastAsia"/>
          <w:lang w:val="en-US" w:eastAsia="zh-CN"/>
        </w:rPr>
        <w:t>①应急小组保持停电信息与各企业进行沟通，停电前，将待处理废水引导至应急事故池，同时开启排水设备将管道内污水降至最低水平，以充分利用管网容积储水，并将排放口关闭，防止未处理的废水排放至猛洞河，使扩大危害；</w:t>
      </w:r>
    </w:p>
    <w:p>
      <w:pPr>
        <w:jc w:val="both"/>
        <w:rPr>
          <w:rFonts w:hint="eastAsia"/>
          <w:lang w:val="en-US" w:eastAsia="zh-CN"/>
        </w:rPr>
      </w:pPr>
      <w:r>
        <w:rPr>
          <w:rFonts w:hint="eastAsia"/>
          <w:lang w:val="en-US" w:eastAsia="zh-CN"/>
        </w:rPr>
        <w:t>②安排工作人员进行巡检，实时关注本污水处理厂处理设备以及管道有否泄漏情况，及时报告给应急指挥组，根据实际情况，做好相应处理；</w:t>
      </w:r>
    </w:p>
    <w:p>
      <w:pPr>
        <w:jc w:val="both"/>
        <w:rPr>
          <w:rFonts w:hint="eastAsia"/>
          <w:lang w:val="en-US" w:eastAsia="zh-CN"/>
        </w:rPr>
      </w:pPr>
      <w:r>
        <w:rPr>
          <w:rFonts w:hint="eastAsia"/>
          <w:lang w:val="en-US" w:eastAsia="zh-CN"/>
        </w:rPr>
        <w:t>③送电后，立即开启水泵，通知泵站进水，恢复生产。同时，根据停电时间的长短及污水处理厂调节池、管网情况确定能够容纳停电期间入厂得污水，如不能，及时通知当地环保部门，做好相关应急准备，降低影响。</w:t>
      </w:r>
    </w:p>
    <w:p>
      <w:pPr>
        <w:jc w:val="both"/>
        <w:rPr>
          <w:rFonts w:hint="eastAsia"/>
          <w:lang w:val="en-US" w:eastAsia="zh-CN"/>
        </w:rPr>
      </w:pPr>
      <w:r>
        <w:rPr>
          <w:rFonts w:hint="eastAsia"/>
          <w:lang w:val="en-US" w:eastAsia="zh-CN"/>
        </w:rPr>
        <w:t>（2）临时停电应采取以下措施</w:t>
      </w:r>
    </w:p>
    <w:p>
      <w:pPr>
        <w:jc w:val="both"/>
        <w:rPr>
          <w:rFonts w:hint="eastAsia"/>
          <w:lang w:val="en-US" w:eastAsia="zh-CN"/>
        </w:rPr>
      </w:pPr>
      <w:r>
        <w:rPr>
          <w:rFonts w:hint="eastAsia"/>
          <w:lang w:val="en-US" w:eastAsia="zh-CN"/>
        </w:rPr>
        <w:t>当现场人员发现电力故障造成停电，发现人员应：</w:t>
      </w:r>
    </w:p>
    <w:p>
      <w:pPr>
        <w:jc w:val="both"/>
        <w:rPr>
          <w:rFonts w:hint="eastAsia"/>
          <w:lang w:val="en-US" w:eastAsia="zh-CN"/>
        </w:rPr>
      </w:pPr>
      <w:r>
        <w:rPr>
          <w:rFonts w:hint="eastAsia"/>
          <w:lang w:val="en-US" w:eastAsia="zh-CN"/>
        </w:rPr>
        <w:t>①立即上报：现场发现人员立即向当班负责人报告，当班负责人根据停电维修严重程度和波及范围在5分钟内向公司应急领导小组报告，由应急指挥长决定启动Ⅲ级响应和Ⅲ级应急预案（由应急指挥组指挥长指挥协调整体应急抢险工作），根据事态发展情况，决定是否上报当地有关部门。</w:t>
      </w:r>
    </w:p>
    <w:p>
      <w:pPr>
        <w:jc w:val="both"/>
        <w:rPr>
          <w:rFonts w:hint="eastAsia"/>
          <w:lang w:val="en-US" w:eastAsia="zh-CN"/>
        </w:rPr>
      </w:pPr>
      <w:r>
        <w:rPr>
          <w:rFonts w:hint="eastAsia"/>
          <w:lang w:val="en-US" w:eastAsia="zh-CN"/>
        </w:rPr>
        <w:t>②现场处置：厂内故障停电立即组织力量维修；厂外事故停电时，关闭外排阀门，将废水临时存放在应急事故池（目前与调节池合建）内，待事故排除后再将废水重新提升至污水处理厂。</w:t>
      </w:r>
    </w:p>
    <w:p>
      <w:pPr>
        <w:jc w:val="both"/>
        <w:rPr>
          <w:rFonts w:hint="eastAsia"/>
          <w:lang w:val="en-US" w:eastAsia="zh-CN"/>
        </w:rPr>
      </w:pPr>
      <w:r>
        <w:rPr>
          <w:rFonts w:hint="eastAsia"/>
          <w:lang w:val="en-US" w:eastAsia="zh-CN"/>
        </w:rPr>
        <w:t>③环境监测组工作人员实时监测污水厂出水水质情况，并详细记录好监测数据，以备应急领导小组参考；</w:t>
      </w:r>
    </w:p>
    <w:p>
      <w:pPr>
        <w:jc w:val="both"/>
        <w:rPr>
          <w:rFonts w:hint="eastAsia"/>
          <w:lang w:val="en-US" w:eastAsia="zh-CN"/>
        </w:rPr>
      </w:pPr>
      <w:r>
        <w:rPr>
          <w:rFonts w:hint="eastAsia"/>
          <w:lang w:val="en-US" w:eastAsia="zh-CN"/>
        </w:rPr>
        <w:t>④事故排除后，环境监测人员持续监测出水环境状况，机械设备抢修人员负责对设备进行全面的维修保养，确保环境与设备全部安全后方可恢复生产；善后处理队负责进行事故原因调查和全面的设备安全检查，询问事故发现人有关情况，包括电力设备运行情况、故障部位等。</w:t>
      </w:r>
    </w:p>
    <w:p>
      <w:pPr>
        <w:pStyle w:val="69"/>
        <w:bidi w:val="0"/>
        <w:rPr>
          <w:rFonts w:hint="eastAsia"/>
          <w:lang w:val="en-US" w:eastAsia="zh-CN"/>
        </w:rPr>
      </w:pPr>
      <w:r>
        <w:rPr>
          <w:rFonts w:hint="eastAsia"/>
          <w:lang w:val="en-US" w:eastAsia="zh-CN"/>
        </w:rPr>
        <w:t>8.6.4.3设备故障的应急处置措施</w:t>
      </w:r>
    </w:p>
    <w:p>
      <w:pPr>
        <w:jc w:val="both"/>
        <w:rPr>
          <w:rFonts w:hint="eastAsia"/>
          <w:lang w:val="en-US" w:eastAsia="zh-CN"/>
        </w:rPr>
      </w:pPr>
      <w:r>
        <w:rPr>
          <w:rFonts w:hint="eastAsia"/>
          <w:lang w:val="en-US" w:eastAsia="zh-CN"/>
        </w:rPr>
        <w:t>当现场人员发现设备故障而无备用设备或备用设备无法启用等情况时，要及时与应急领导小组联系：</w:t>
      </w:r>
    </w:p>
    <w:p>
      <w:pPr>
        <w:jc w:val="both"/>
        <w:rPr>
          <w:rFonts w:hint="eastAsia"/>
          <w:lang w:val="en-US" w:eastAsia="zh-CN"/>
        </w:rPr>
      </w:pPr>
      <w:r>
        <w:rPr>
          <w:rFonts w:hint="eastAsia"/>
          <w:lang w:val="en-US" w:eastAsia="zh-CN"/>
        </w:rPr>
        <w:t>（1）立即上报：现场发现人员立即向事故所在当班负责人报告，当班负责人根据设备故障严重程度在5分钟内向污水处理厂应急领导小组报告，由应急指挥长决定是否启动Ⅳ级响应和Ⅳ级应急预案（由环境事故应急工作领导小组指挥长指挥协调整体应急抢险工作），根据事态发展情况，决定是否上报上级有关部门，接到报告后生态环境局永顺分局根据事态的进一步发展，决定是否扩大资源配置，扩大应急避险，启动Ⅲ级响应和Ⅲ级应急预案。</w:t>
      </w:r>
    </w:p>
    <w:p>
      <w:pPr>
        <w:jc w:val="both"/>
        <w:rPr>
          <w:rFonts w:hint="eastAsia"/>
          <w:lang w:val="en-US" w:eastAsia="zh-CN"/>
        </w:rPr>
      </w:pPr>
      <w:r>
        <w:rPr>
          <w:rFonts w:hint="eastAsia"/>
          <w:lang w:val="en-US" w:eastAsia="zh-CN"/>
        </w:rPr>
        <w:t>（2）现场处置：积极组织力量维修，第一时间将废水引导排放至应急事故池，防止外排。在调节池与外排渠道间设置闸板，故障时及时关闭闸板，污水临时存放在调节池内，待事故排除后，再将污水重新导入污水处理系统。同时，根据大修时间的长短及污水厂事故池、管网情况确定能否容纳大修期间入场的污水，如若不能则及时生态环境局永顺分局和周边企业，积极采取应急措施，降低事故影响。</w:t>
      </w:r>
    </w:p>
    <w:p>
      <w:pPr>
        <w:jc w:val="both"/>
        <w:rPr>
          <w:rFonts w:hint="eastAsia"/>
          <w:lang w:val="en-US" w:eastAsia="zh-CN"/>
        </w:rPr>
      </w:pPr>
      <w:r>
        <w:rPr>
          <w:rFonts w:hint="eastAsia"/>
          <w:lang w:val="en-US" w:eastAsia="zh-CN"/>
        </w:rPr>
        <w:t>（3）环境监测人员迅速赶到事故现场监测污水厂出水水质情况，并监测下游河流控制断面水质，并详细记录好监测数据，以备应急领导小组参考。</w:t>
      </w:r>
    </w:p>
    <w:p>
      <w:pPr>
        <w:bidi w:val="0"/>
        <w:jc w:val="both"/>
        <w:rPr>
          <w:rFonts w:hint="eastAsia"/>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26" w:charSpace="0"/>
        </w:sectPr>
      </w:pPr>
      <w:r>
        <w:rPr>
          <w:rFonts w:hint="eastAsia"/>
          <w:lang w:val="en-US" w:eastAsia="zh-CN"/>
        </w:rPr>
        <w:t>（4）事故排除后，环境监测人员持续监测出水环境状况，机械设备抢修人员负责对设备进行全面的维修保养，确保环境与设备全部安全后方可恢复生产；善后处理队负责进行事故原因调查和全面的设备安全检查，询问事故发现人有关情况，包括电力设备运行情况、故障部位等。</w:t>
      </w:r>
    </w:p>
    <w:p>
      <w:pPr>
        <w:pStyle w:val="4"/>
        <w:ind w:firstLine="643"/>
        <w:rPr>
          <w:rFonts w:hint="eastAsia"/>
          <w:color w:val="auto"/>
          <w:u w:val="none"/>
        </w:rPr>
      </w:pPr>
      <w:bookmarkStart w:id="321" w:name="_Toc23801"/>
      <w:r>
        <w:rPr>
          <w:rFonts w:hint="eastAsia"/>
          <w:color w:val="auto"/>
          <w:u w:val="none"/>
        </w:rPr>
        <w:t>第</w:t>
      </w:r>
      <w:r>
        <w:rPr>
          <w:rFonts w:hint="eastAsia"/>
          <w:color w:val="auto"/>
          <w:u w:val="none"/>
          <w:lang w:val="en-US" w:eastAsia="zh-CN"/>
        </w:rPr>
        <w:t>9</w:t>
      </w:r>
      <w:r>
        <w:rPr>
          <w:rFonts w:hint="eastAsia"/>
          <w:color w:val="auto"/>
          <w:u w:val="none"/>
        </w:rPr>
        <w:t>章 环境影响评价结论</w:t>
      </w:r>
      <w:bookmarkEnd w:id="321"/>
    </w:p>
    <w:p>
      <w:pPr>
        <w:pStyle w:val="76"/>
        <w:spacing w:before="163" w:after="163"/>
        <w:rPr>
          <w:color w:val="auto"/>
          <w:u w:val="none"/>
        </w:rPr>
      </w:pPr>
      <w:bookmarkStart w:id="322" w:name="_Toc27148"/>
      <w:r>
        <w:rPr>
          <w:rFonts w:hint="eastAsia"/>
          <w:color w:val="auto"/>
          <w:u w:val="none"/>
          <w:lang w:val="en-US" w:eastAsia="zh-CN"/>
        </w:rPr>
        <w:t>9</w:t>
      </w:r>
      <w:r>
        <w:rPr>
          <w:rFonts w:hint="eastAsia"/>
          <w:color w:val="auto"/>
          <w:u w:val="none"/>
        </w:rPr>
        <w:t>.1项目概况</w:t>
      </w:r>
      <w:bookmarkEnd w:id="322"/>
    </w:p>
    <w:p>
      <w:pPr>
        <w:pStyle w:val="6"/>
        <w:bidi w:val="0"/>
        <w:jc w:val="both"/>
      </w:pPr>
      <w:r>
        <w:rPr>
          <w:rFonts w:hint="eastAsia"/>
          <w:lang w:val="en-US" w:eastAsia="zh-CN"/>
        </w:rPr>
        <w:t>9</w:t>
      </w:r>
      <w:r>
        <w:rPr>
          <w:rFonts w:hint="eastAsia"/>
        </w:rPr>
        <w:t>.1.1建设项目概况</w:t>
      </w:r>
    </w:p>
    <w:p>
      <w:pPr>
        <w:ind w:firstLine="480"/>
        <w:rPr>
          <w:rFonts w:hint="eastAsia" w:eastAsia="宋体"/>
          <w:color w:val="auto"/>
          <w:kern w:val="0"/>
          <w:u w:val="none"/>
          <w:lang w:eastAsia="zh-CN"/>
        </w:rPr>
      </w:pPr>
      <w:r>
        <w:rPr>
          <w:rFonts w:hint="eastAsia"/>
          <w:color w:val="auto"/>
          <w:kern w:val="0"/>
          <w:u w:val="none"/>
        </w:rPr>
        <w:t>项目名称：</w:t>
      </w:r>
      <w:r>
        <w:rPr>
          <w:rFonts w:hint="eastAsia"/>
          <w:color w:val="auto"/>
          <w:kern w:val="0"/>
          <w:u w:val="none"/>
          <w:lang w:eastAsia="zh-CN"/>
        </w:rPr>
        <w:t>湖南永顺经济开发区猛洞河产业园污水处理厂建设项目</w:t>
      </w:r>
    </w:p>
    <w:p>
      <w:pPr>
        <w:ind w:firstLine="480"/>
        <w:rPr>
          <w:rFonts w:hint="eastAsia" w:eastAsia="宋体"/>
          <w:color w:val="auto"/>
          <w:kern w:val="0"/>
          <w:szCs w:val="21"/>
          <w:u w:val="none"/>
          <w:lang w:eastAsia="zh-CN"/>
        </w:rPr>
      </w:pPr>
      <w:r>
        <w:rPr>
          <w:rFonts w:hint="eastAsia"/>
          <w:color w:val="auto"/>
          <w:kern w:val="0"/>
          <w:u w:val="none"/>
        </w:rPr>
        <w:t>项目所在地：</w:t>
      </w:r>
      <w:r>
        <w:rPr>
          <w:rFonts w:hint="eastAsia"/>
          <w:color w:val="auto"/>
          <w:lang w:eastAsia="zh-CN"/>
        </w:rPr>
        <w:t>永顺经济开发区猛洞河产业园</w:t>
      </w:r>
    </w:p>
    <w:p>
      <w:pPr>
        <w:ind w:firstLine="480"/>
        <w:rPr>
          <w:rFonts w:hint="eastAsia" w:eastAsia="宋体"/>
          <w:color w:val="auto"/>
          <w:kern w:val="0"/>
          <w:u w:val="none"/>
          <w:lang w:eastAsia="zh-CN"/>
        </w:rPr>
      </w:pPr>
      <w:r>
        <w:rPr>
          <w:rFonts w:hint="eastAsia"/>
          <w:color w:val="auto"/>
          <w:kern w:val="0"/>
          <w:u w:val="none"/>
        </w:rPr>
        <w:t>建设单位：</w:t>
      </w:r>
      <w:r>
        <w:rPr>
          <w:rFonts w:hint="eastAsia"/>
          <w:color w:val="auto"/>
          <w:kern w:val="0"/>
          <w:u w:val="none"/>
          <w:lang w:eastAsia="zh-CN"/>
        </w:rPr>
        <w:t>湘西猛洞河旅游生态开发区建设有限责任公司</w:t>
      </w:r>
    </w:p>
    <w:p>
      <w:pPr>
        <w:ind w:firstLine="480"/>
        <w:rPr>
          <w:rFonts w:hint="eastAsia"/>
          <w:color w:val="auto"/>
          <w:kern w:val="0"/>
          <w:u w:val="none"/>
        </w:rPr>
      </w:pPr>
      <w:r>
        <w:rPr>
          <w:rFonts w:hint="eastAsia"/>
          <w:color w:val="auto"/>
          <w:kern w:val="0"/>
          <w:u w:val="none"/>
        </w:rPr>
        <w:t>建设性质：新建</w:t>
      </w:r>
    </w:p>
    <w:p>
      <w:pPr>
        <w:ind w:firstLine="480"/>
        <w:rPr>
          <w:color w:val="auto"/>
          <w:kern w:val="0"/>
          <w:u w:val="none"/>
        </w:rPr>
      </w:pPr>
      <w:r>
        <w:rPr>
          <w:rFonts w:hint="eastAsia"/>
          <w:color w:val="auto"/>
          <w:kern w:val="0"/>
          <w:u w:val="none"/>
        </w:rPr>
        <w:t>总投资：</w:t>
      </w:r>
      <w:r>
        <w:rPr>
          <w:rFonts w:hint="eastAsia"/>
          <w:color w:val="auto"/>
          <w:kern w:val="0"/>
          <w:u w:val="none"/>
          <w:lang w:val="en-US" w:eastAsia="zh-CN"/>
        </w:rPr>
        <w:t>1000</w:t>
      </w:r>
      <w:r>
        <w:rPr>
          <w:rFonts w:hint="eastAsia"/>
          <w:color w:val="auto"/>
          <w:kern w:val="0"/>
          <w:u w:val="none"/>
        </w:rPr>
        <w:t>万元</w:t>
      </w:r>
    </w:p>
    <w:p>
      <w:pPr>
        <w:ind w:firstLine="480"/>
        <w:rPr>
          <w:color w:val="auto"/>
          <w:kern w:val="0"/>
          <w:u w:val="none"/>
        </w:rPr>
      </w:pPr>
      <w:r>
        <w:rPr>
          <w:rFonts w:hint="eastAsia"/>
          <w:color w:val="auto"/>
          <w:kern w:val="0"/>
          <w:u w:val="none"/>
        </w:rPr>
        <w:t>征地面积：</w:t>
      </w:r>
      <w:r>
        <w:rPr>
          <w:rFonts w:hint="eastAsia"/>
          <w:color w:val="auto"/>
          <w:kern w:val="0"/>
          <w:u w:val="none"/>
          <w:lang w:val="en-US" w:eastAsia="zh-CN"/>
        </w:rPr>
        <w:t>816.48</w:t>
      </w:r>
      <w:r>
        <w:rPr>
          <w:color w:val="auto"/>
          <w:kern w:val="0"/>
          <w:u w:val="none"/>
        </w:rPr>
        <w:t>m</w:t>
      </w:r>
      <w:r>
        <w:rPr>
          <w:rFonts w:hint="eastAsia"/>
          <w:color w:val="auto"/>
          <w:kern w:val="0"/>
          <w:u w:val="none"/>
          <w:vertAlign w:val="superscript"/>
        </w:rPr>
        <w:t>2</w:t>
      </w:r>
    </w:p>
    <w:p>
      <w:pPr>
        <w:ind w:firstLine="480"/>
        <w:rPr>
          <w:rFonts w:hint="eastAsia" w:eastAsia="宋体"/>
          <w:color w:val="auto"/>
          <w:kern w:val="0"/>
          <w:u w:val="none"/>
          <w:lang w:eastAsia="zh-CN"/>
        </w:rPr>
      </w:pPr>
      <w:r>
        <w:rPr>
          <w:rFonts w:hint="eastAsia"/>
          <w:color w:val="auto"/>
          <w:kern w:val="0"/>
          <w:u w:val="none"/>
        </w:rPr>
        <w:t>建设工期：</w:t>
      </w:r>
      <w:r>
        <w:rPr>
          <w:rFonts w:hint="eastAsia"/>
          <w:color w:val="auto"/>
          <w:kern w:val="0"/>
          <w:u w:val="none"/>
          <w:lang w:eastAsia="zh-CN"/>
        </w:rPr>
        <w:t>一期</w:t>
      </w:r>
      <w:r>
        <w:rPr>
          <w:rFonts w:hint="eastAsia"/>
          <w:color w:val="auto"/>
          <w:kern w:val="0"/>
          <w:u w:val="none"/>
          <w:lang w:val="en-US" w:eastAsia="zh-CN"/>
        </w:rPr>
        <w:t>6</w:t>
      </w:r>
      <w:r>
        <w:rPr>
          <w:rFonts w:hint="eastAsia"/>
          <w:color w:val="auto"/>
          <w:kern w:val="0"/>
          <w:u w:val="none"/>
        </w:rPr>
        <w:t>个月</w:t>
      </w:r>
      <w:r>
        <w:rPr>
          <w:rFonts w:hint="eastAsia"/>
          <w:color w:val="auto"/>
          <w:kern w:val="0"/>
          <w:u w:val="none"/>
          <w:lang w:eastAsia="zh-CN"/>
        </w:rPr>
        <w:t>，二期</w:t>
      </w:r>
      <w:r>
        <w:rPr>
          <w:rFonts w:hint="eastAsia"/>
          <w:color w:val="auto"/>
          <w:kern w:val="0"/>
          <w:u w:val="none"/>
          <w:lang w:val="en-US" w:eastAsia="zh-CN"/>
        </w:rPr>
        <w:t>1</w:t>
      </w:r>
      <w:r>
        <w:rPr>
          <w:rFonts w:hint="eastAsia"/>
          <w:color w:val="auto"/>
          <w:kern w:val="0"/>
          <w:u w:val="none"/>
        </w:rPr>
        <w:t>个月</w:t>
      </w:r>
    </w:p>
    <w:p>
      <w:pPr>
        <w:ind w:firstLine="480"/>
        <w:rPr>
          <w:rFonts w:hint="eastAsia"/>
          <w:color w:val="auto"/>
          <w:kern w:val="0"/>
          <w:u w:val="none"/>
        </w:rPr>
      </w:pPr>
      <w:r>
        <w:rPr>
          <w:rFonts w:hint="eastAsia"/>
          <w:color w:val="auto"/>
          <w:kern w:val="0"/>
          <w:u w:val="none"/>
        </w:rPr>
        <w:t>处理工艺：“</w:t>
      </w:r>
      <w:r>
        <w:rPr>
          <w:rFonts w:hint="eastAsia"/>
          <w:color w:val="auto"/>
          <w:u w:val="none"/>
          <w:lang w:eastAsia="zh-CN"/>
        </w:rPr>
        <w:t>格栅渠</w:t>
      </w:r>
      <w:r>
        <w:rPr>
          <w:rFonts w:hint="eastAsia"/>
          <w:color w:val="auto"/>
          <w:u w:val="none"/>
        </w:rPr>
        <w:t>→沉砂池→调节池→</w:t>
      </w:r>
      <w:r>
        <w:rPr>
          <w:rFonts w:hint="eastAsia"/>
          <w:color w:val="auto"/>
          <w:u w:val="none"/>
          <w:lang w:val="en-US" w:eastAsia="zh-CN"/>
        </w:rPr>
        <w:t>MBR一体化设备</w:t>
      </w:r>
      <w:r>
        <w:rPr>
          <w:rFonts w:hint="eastAsia"/>
          <w:color w:val="auto"/>
          <w:u w:val="none"/>
        </w:rPr>
        <w:t>→紫外消毒→</w:t>
      </w:r>
      <w:r>
        <w:rPr>
          <w:rFonts w:hint="eastAsia"/>
          <w:color w:val="auto"/>
          <w:u w:val="none"/>
          <w:lang w:eastAsia="zh-CN"/>
        </w:rPr>
        <w:t>清水池</w:t>
      </w:r>
      <w:r>
        <w:rPr>
          <w:rFonts w:hint="eastAsia"/>
          <w:color w:val="auto"/>
          <w:kern w:val="0"/>
          <w:u w:val="none"/>
        </w:rPr>
        <w:t>”</w:t>
      </w:r>
    </w:p>
    <w:p>
      <w:pPr>
        <w:ind w:firstLine="480"/>
        <w:jc w:val="both"/>
        <w:rPr>
          <w:rFonts w:hint="eastAsia"/>
          <w:color w:val="auto"/>
          <w:kern w:val="0"/>
          <w:u w:val="none"/>
        </w:rPr>
      </w:pPr>
      <w:r>
        <w:rPr>
          <w:rFonts w:hint="eastAsia"/>
          <w:color w:val="auto"/>
          <w:kern w:val="0"/>
          <w:u w:val="none"/>
        </w:rPr>
        <w:t>项目内容及建设规模：</w:t>
      </w:r>
      <w:r>
        <w:rPr>
          <w:rFonts w:hint="eastAsia"/>
          <w:color w:val="auto"/>
          <w:kern w:val="0"/>
          <w:u w:val="single"/>
          <w:lang w:eastAsia="zh-CN"/>
        </w:rPr>
        <w:t>湖南永顺经济开发区猛洞河产业园污水处理厂建设项目</w:t>
      </w:r>
      <w:r>
        <w:rPr>
          <w:rFonts w:hint="eastAsia"/>
          <w:color w:val="auto"/>
          <w:kern w:val="0"/>
          <w:u w:val="single"/>
        </w:rPr>
        <w:t>建设内容包括污水处理厂建设、</w:t>
      </w:r>
      <w:r>
        <w:rPr>
          <w:rFonts w:hint="eastAsia"/>
          <w:color w:val="auto"/>
          <w:kern w:val="0"/>
          <w:u w:val="single"/>
          <w:lang w:eastAsia="zh-CN"/>
        </w:rPr>
        <w:t>配套管网建设</w:t>
      </w:r>
      <w:r>
        <w:rPr>
          <w:rFonts w:hint="eastAsia"/>
          <w:color w:val="auto"/>
          <w:kern w:val="0"/>
          <w:u w:val="single"/>
        </w:rPr>
        <w:t>，主要用于接收</w:t>
      </w:r>
      <w:r>
        <w:rPr>
          <w:rFonts w:hint="eastAsia"/>
          <w:color w:val="auto"/>
          <w:kern w:val="0"/>
          <w:u w:val="single"/>
          <w:lang w:eastAsia="zh-CN"/>
        </w:rPr>
        <w:t>猛洞河产业园内的企事业污水</w:t>
      </w:r>
      <w:r>
        <w:rPr>
          <w:rFonts w:hint="eastAsia"/>
          <w:color w:val="auto"/>
          <w:kern w:val="0"/>
          <w:u w:val="single"/>
        </w:rPr>
        <w:t>，</w:t>
      </w:r>
      <w:r>
        <w:rPr>
          <w:rFonts w:hint="eastAsia"/>
          <w:kern w:val="0"/>
          <w:u w:val="single"/>
        </w:rPr>
        <w:t>一期</w:t>
      </w:r>
      <w:r>
        <w:rPr>
          <w:rFonts w:hint="eastAsia"/>
          <w:kern w:val="0"/>
          <w:u w:val="single"/>
          <w:lang w:eastAsia="zh-CN"/>
        </w:rPr>
        <w:t>工程</w:t>
      </w:r>
      <w:r>
        <w:rPr>
          <w:rFonts w:hint="eastAsia"/>
          <w:kern w:val="0"/>
          <w:u w:val="single"/>
        </w:rPr>
        <w:t>规模为</w:t>
      </w:r>
      <w:r>
        <w:rPr>
          <w:rFonts w:hint="eastAsia"/>
          <w:kern w:val="0"/>
          <w:u w:val="single"/>
          <w:lang w:val="en-US" w:eastAsia="zh-CN"/>
        </w:rPr>
        <w:t>400</w:t>
      </w:r>
      <w:r>
        <w:rPr>
          <w:rFonts w:hint="eastAsia"/>
          <w:kern w:val="0"/>
          <w:u w:val="single"/>
        </w:rPr>
        <w:t>m</w:t>
      </w:r>
      <w:r>
        <w:rPr>
          <w:rFonts w:hint="eastAsia"/>
          <w:kern w:val="0"/>
          <w:u w:val="single"/>
          <w:vertAlign w:val="superscript"/>
        </w:rPr>
        <w:t>3</w:t>
      </w:r>
      <w:r>
        <w:rPr>
          <w:rFonts w:hint="eastAsia"/>
          <w:kern w:val="0"/>
          <w:u w:val="single"/>
        </w:rPr>
        <w:t>/d，</w:t>
      </w:r>
      <w:r>
        <w:rPr>
          <w:rFonts w:hint="eastAsia"/>
          <w:kern w:val="0"/>
          <w:u w:val="single"/>
          <w:lang w:eastAsia="zh-CN"/>
        </w:rPr>
        <w:t>建设内容包括</w:t>
      </w:r>
      <w:r>
        <w:rPr>
          <w:color w:val="auto"/>
          <w:spacing w:val="-8"/>
          <w:u w:val="single"/>
        </w:rPr>
        <w:t>格栅</w:t>
      </w:r>
      <w:r>
        <w:rPr>
          <w:rFonts w:hint="eastAsia"/>
          <w:color w:val="auto"/>
          <w:spacing w:val="-8"/>
          <w:u w:val="single"/>
          <w:lang w:eastAsia="zh-CN"/>
        </w:rPr>
        <w:t>渠</w:t>
      </w:r>
      <w:r>
        <w:rPr>
          <w:color w:val="auto"/>
          <w:spacing w:val="-8"/>
          <w:u w:val="single"/>
        </w:rPr>
        <w:t>、沉砂池、调节池</w:t>
      </w:r>
      <w:r>
        <w:rPr>
          <w:rFonts w:hint="eastAsia"/>
          <w:color w:val="auto"/>
          <w:spacing w:val="-8"/>
          <w:u w:val="single"/>
          <w:lang w:eastAsia="zh-CN"/>
        </w:rPr>
        <w:t>、</w:t>
      </w:r>
      <w:r>
        <w:rPr>
          <w:rFonts w:hint="eastAsia" w:ascii="宋体" w:hAnsi="宋体"/>
          <w:color w:val="auto"/>
          <w:kern w:val="0"/>
          <w:u w:val="single"/>
          <w:lang w:eastAsia="zh-CN"/>
        </w:rPr>
        <w:t>一体化</w:t>
      </w:r>
      <w:r>
        <w:rPr>
          <w:rFonts w:hint="default" w:ascii="Times New Roman" w:hAnsi="Times New Roman" w:cs="Times New Roman"/>
          <w:color w:val="auto"/>
          <w:kern w:val="0"/>
          <w:u w:val="single"/>
          <w:lang w:eastAsia="zh-CN"/>
        </w:rPr>
        <w:t>MBR污水处理装置</w:t>
      </w:r>
      <w:r>
        <w:rPr>
          <w:rFonts w:hint="default" w:ascii="Times New Roman" w:hAnsi="Times New Roman" w:cs="Times New Roman"/>
          <w:color w:val="auto"/>
          <w:spacing w:val="-8"/>
          <w:u w:val="single"/>
        </w:rPr>
        <w:t>、</w:t>
      </w:r>
      <w:r>
        <w:rPr>
          <w:rFonts w:hint="default" w:ascii="Times New Roman" w:hAnsi="Times New Roman" w:cs="Times New Roman"/>
          <w:color w:val="auto"/>
          <w:u w:val="single"/>
        </w:rPr>
        <w:t>膜离线清洗池</w:t>
      </w:r>
      <w:r>
        <w:rPr>
          <w:rFonts w:hint="default" w:ascii="Times New Roman" w:hAnsi="Times New Roman" w:cs="Times New Roman"/>
          <w:color w:val="auto"/>
          <w:u w:val="single"/>
          <w:lang w:eastAsia="zh-CN"/>
        </w:rPr>
        <w:t>、</w:t>
      </w:r>
      <w:r>
        <w:rPr>
          <w:rFonts w:hint="default" w:ascii="Times New Roman" w:hAnsi="Times New Roman" w:cs="Times New Roman"/>
          <w:color w:val="auto"/>
          <w:spacing w:val="-8"/>
          <w:u w:val="single"/>
          <w:lang w:eastAsia="zh-CN"/>
        </w:rPr>
        <w:t>清水池</w:t>
      </w:r>
      <w:r>
        <w:rPr>
          <w:rFonts w:hint="default" w:ascii="Times New Roman" w:hAnsi="Times New Roman" w:cs="Times New Roman"/>
          <w:color w:val="auto"/>
          <w:spacing w:val="-8"/>
          <w:u w:val="single"/>
        </w:rPr>
        <w:t>、</w:t>
      </w:r>
      <w:r>
        <w:rPr>
          <w:rFonts w:hint="default" w:ascii="Times New Roman" w:hAnsi="Times New Roman" w:cs="Times New Roman"/>
          <w:color w:val="auto"/>
          <w:spacing w:val="-8"/>
          <w:u w:val="single"/>
          <w:lang w:eastAsia="zh-CN"/>
        </w:rPr>
        <w:t>污泥池、加药间、污泥脱水间、配电间</w:t>
      </w:r>
      <w:r>
        <w:rPr>
          <w:rFonts w:hint="eastAsia" w:ascii="Times New Roman" w:hAnsi="Times New Roman" w:cs="Times New Roman"/>
          <w:color w:val="auto"/>
          <w:spacing w:val="-8"/>
          <w:u w:val="single"/>
          <w:lang w:eastAsia="zh-CN"/>
        </w:rPr>
        <w:t>、</w:t>
      </w:r>
      <w:r>
        <w:rPr>
          <w:rFonts w:hint="default" w:ascii="Times New Roman" w:hAnsi="Times New Roman" w:cs="Times New Roman"/>
          <w:kern w:val="0"/>
          <w:u w:val="single"/>
        </w:rPr>
        <w:t>污水收集管网长度</w:t>
      </w:r>
      <w:r>
        <w:rPr>
          <w:rFonts w:hint="default" w:ascii="Times New Roman" w:hAnsi="Times New Roman" w:cs="Times New Roman"/>
          <w:kern w:val="0"/>
          <w:u w:val="single"/>
          <w:lang w:val="en-US" w:eastAsia="zh-CN"/>
        </w:rPr>
        <w:t>1500</w:t>
      </w:r>
      <w:r>
        <w:rPr>
          <w:rFonts w:hint="default" w:ascii="Times New Roman" w:hAnsi="Times New Roman" w:cs="Times New Roman"/>
          <w:kern w:val="0"/>
          <w:u w:val="single"/>
        </w:rPr>
        <w:t>m</w:t>
      </w:r>
      <w:r>
        <w:rPr>
          <w:rFonts w:hint="eastAsia" w:ascii="Times New Roman" w:hAnsi="Times New Roman" w:cs="Times New Roman"/>
          <w:kern w:val="0"/>
          <w:u w:val="single"/>
          <w:lang w:eastAsia="zh-CN"/>
        </w:rPr>
        <w:t>、</w:t>
      </w:r>
      <w:r>
        <w:rPr>
          <w:rFonts w:hint="eastAsia"/>
          <w:color w:val="auto"/>
          <w:kern w:val="0"/>
          <w:u w:val="single"/>
        </w:rPr>
        <w:t>污水排放管网长度</w:t>
      </w:r>
      <w:r>
        <w:rPr>
          <w:rFonts w:hint="eastAsia"/>
          <w:color w:val="auto"/>
          <w:kern w:val="0"/>
          <w:u w:val="single"/>
          <w:lang w:val="en-US" w:eastAsia="zh-CN"/>
        </w:rPr>
        <w:t>2050</w:t>
      </w:r>
      <w:r>
        <w:rPr>
          <w:rFonts w:hint="eastAsia"/>
          <w:color w:val="auto"/>
          <w:kern w:val="0"/>
          <w:u w:val="single"/>
        </w:rPr>
        <w:t>m</w:t>
      </w:r>
      <w:r>
        <w:rPr>
          <w:rFonts w:hint="eastAsia"/>
          <w:color w:val="auto"/>
          <w:kern w:val="0"/>
          <w:u w:val="single"/>
          <w:lang w:eastAsia="zh-CN"/>
        </w:rPr>
        <w:t>。</w:t>
      </w:r>
      <w:r>
        <w:rPr>
          <w:rFonts w:hint="eastAsia"/>
          <w:kern w:val="0"/>
          <w:u w:val="single"/>
          <w:lang w:eastAsia="zh-CN"/>
        </w:rPr>
        <w:t>二期工程仅增加</w:t>
      </w:r>
      <w:r>
        <w:rPr>
          <w:rFonts w:hint="eastAsia"/>
          <w:kern w:val="0"/>
          <w:u w:val="single"/>
          <w:lang w:val="en-US" w:eastAsia="zh-CN"/>
        </w:rPr>
        <w:t>3套</w:t>
      </w:r>
      <w:r>
        <w:rPr>
          <w:rFonts w:hint="eastAsia" w:ascii="宋体" w:hAnsi="宋体"/>
          <w:color w:val="auto"/>
          <w:kern w:val="0"/>
          <w:u w:val="single"/>
          <w:lang w:eastAsia="zh-CN"/>
        </w:rPr>
        <w:t>一体化</w:t>
      </w:r>
      <w:r>
        <w:rPr>
          <w:rFonts w:hint="default" w:ascii="Times New Roman" w:hAnsi="Times New Roman" w:cs="Times New Roman"/>
          <w:color w:val="auto"/>
          <w:kern w:val="0"/>
          <w:u w:val="single"/>
          <w:lang w:eastAsia="zh-CN"/>
        </w:rPr>
        <w:t>MBR污水处理装置</w:t>
      </w:r>
      <w:r>
        <w:rPr>
          <w:rFonts w:hint="eastAsia" w:ascii="Times New Roman" w:hAnsi="Times New Roman" w:cs="Times New Roman"/>
          <w:color w:val="auto"/>
          <w:kern w:val="0"/>
          <w:u w:val="single"/>
          <w:lang w:eastAsia="zh-CN"/>
        </w:rPr>
        <w:t>（单套处理能力</w:t>
      </w:r>
      <w:r>
        <w:rPr>
          <w:rFonts w:hint="eastAsia" w:ascii="Times New Roman" w:hAnsi="Times New Roman" w:cs="Times New Roman"/>
          <w:color w:val="auto"/>
          <w:kern w:val="0"/>
          <w:u w:val="single"/>
          <w:lang w:val="en-US" w:eastAsia="zh-CN"/>
        </w:rPr>
        <w:t>200</w:t>
      </w:r>
      <w:r>
        <w:rPr>
          <w:rFonts w:hint="eastAsia"/>
          <w:kern w:val="0"/>
          <w:u w:val="single"/>
        </w:rPr>
        <w:t>m</w:t>
      </w:r>
      <w:r>
        <w:rPr>
          <w:rFonts w:hint="eastAsia"/>
          <w:kern w:val="0"/>
          <w:u w:val="single"/>
          <w:vertAlign w:val="superscript"/>
        </w:rPr>
        <w:t>3</w:t>
      </w:r>
      <w:r>
        <w:rPr>
          <w:rFonts w:hint="eastAsia"/>
          <w:kern w:val="0"/>
          <w:u w:val="single"/>
        </w:rPr>
        <w:t>/d</w:t>
      </w:r>
      <w:r>
        <w:rPr>
          <w:rFonts w:hint="eastAsia" w:ascii="Times New Roman" w:hAnsi="Times New Roman" w:cs="Times New Roman"/>
          <w:color w:val="auto"/>
          <w:kern w:val="0"/>
          <w:u w:val="single"/>
          <w:lang w:eastAsia="zh-CN"/>
        </w:rPr>
        <w:t>），增加后总处理规模为</w:t>
      </w:r>
      <w:r>
        <w:rPr>
          <w:rFonts w:hint="eastAsia" w:ascii="Times New Roman" w:hAnsi="Times New Roman" w:cs="Times New Roman"/>
          <w:color w:val="auto"/>
          <w:kern w:val="0"/>
          <w:u w:val="single"/>
          <w:lang w:val="en-US" w:eastAsia="zh-CN"/>
        </w:rPr>
        <w:t>1000</w:t>
      </w:r>
      <w:r>
        <w:rPr>
          <w:rFonts w:hint="eastAsia"/>
          <w:color w:val="auto"/>
          <w:kern w:val="0"/>
          <w:u w:val="single"/>
        </w:rPr>
        <w:t>m</w:t>
      </w:r>
      <w:r>
        <w:rPr>
          <w:rFonts w:hint="eastAsia"/>
          <w:color w:val="auto"/>
          <w:kern w:val="0"/>
          <w:u w:val="single"/>
          <w:vertAlign w:val="superscript"/>
        </w:rPr>
        <w:t>3</w:t>
      </w:r>
      <w:r>
        <w:rPr>
          <w:rFonts w:hint="eastAsia"/>
          <w:color w:val="auto"/>
          <w:kern w:val="0"/>
          <w:u w:val="single"/>
        </w:rPr>
        <w:t>/d。</w:t>
      </w:r>
      <w:r>
        <w:rPr>
          <w:color w:val="auto"/>
          <w:kern w:val="0"/>
          <w:szCs w:val="21"/>
          <w:u w:val="single"/>
        </w:rPr>
        <w:t>本</w:t>
      </w:r>
      <w:r>
        <w:rPr>
          <w:rFonts w:hint="eastAsia"/>
          <w:color w:val="auto"/>
          <w:kern w:val="0"/>
          <w:szCs w:val="21"/>
          <w:u w:val="single"/>
        </w:rPr>
        <w:t>工程</w:t>
      </w:r>
      <w:r>
        <w:rPr>
          <w:color w:val="auto"/>
          <w:kern w:val="0"/>
          <w:szCs w:val="21"/>
          <w:u w:val="single"/>
        </w:rPr>
        <w:t>污水处理厂厂区总</w:t>
      </w:r>
      <w:r>
        <w:rPr>
          <w:rFonts w:hint="eastAsia"/>
          <w:color w:val="auto"/>
          <w:kern w:val="0"/>
          <w:szCs w:val="21"/>
          <w:u w:val="single"/>
        </w:rPr>
        <w:t>征地</w:t>
      </w:r>
      <w:r>
        <w:rPr>
          <w:color w:val="auto"/>
          <w:kern w:val="0"/>
          <w:szCs w:val="21"/>
          <w:u w:val="single"/>
        </w:rPr>
        <w:t>面积</w:t>
      </w:r>
      <w:r>
        <w:rPr>
          <w:rFonts w:hint="eastAsia"/>
          <w:color w:val="auto"/>
          <w:kern w:val="0"/>
          <w:u w:val="single"/>
          <w:lang w:val="en-US" w:eastAsia="zh-CN"/>
        </w:rPr>
        <w:t>816.48</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szCs w:val="21"/>
          <w:u w:val="single"/>
        </w:rPr>
        <w:t>，</w:t>
      </w:r>
      <w:r>
        <w:rPr>
          <w:rFonts w:hint="eastAsia"/>
          <w:color w:val="auto"/>
          <w:kern w:val="0"/>
          <w:szCs w:val="21"/>
          <w:u w:val="single"/>
          <w:lang w:eastAsia="zh-CN"/>
        </w:rPr>
        <w:t>总建筑占地</w:t>
      </w:r>
      <w:r>
        <w:rPr>
          <w:rFonts w:hint="eastAsia"/>
          <w:color w:val="auto"/>
          <w:kern w:val="0"/>
          <w:szCs w:val="21"/>
          <w:u w:val="single"/>
        </w:rPr>
        <w:t>面积</w:t>
      </w:r>
      <w:r>
        <w:rPr>
          <w:rFonts w:hint="eastAsia"/>
          <w:color w:val="auto"/>
          <w:kern w:val="0"/>
          <w:u w:val="single"/>
          <w:lang w:val="en-US" w:eastAsia="zh-CN"/>
        </w:rPr>
        <w:t>570.56</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szCs w:val="21"/>
          <w:u w:val="single"/>
        </w:rPr>
        <w:t>，</w:t>
      </w:r>
      <w:r>
        <w:rPr>
          <w:rFonts w:hint="eastAsia"/>
          <w:color w:val="auto"/>
          <w:kern w:val="0"/>
          <w:szCs w:val="21"/>
          <w:u w:val="single"/>
          <w:lang w:eastAsia="zh-CN"/>
        </w:rPr>
        <w:t>操作间占地</w:t>
      </w:r>
      <w:r>
        <w:rPr>
          <w:rFonts w:hint="eastAsia"/>
          <w:color w:val="auto"/>
          <w:kern w:val="0"/>
          <w:szCs w:val="21"/>
          <w:u w:val="single"/>
        </w:rPr>
        <w:t>面积</w:t>
      </w:r>
      <w:r>
        <w:rPr>
          <w:rFonts w:hint="eastAsia"/>
          <w:color w:val="auto"/>
          <w:kern w:val="0"/>
          <w:szCs w:val="21"/>
          <w:u w:val="single"/>
          <w:lang w:val="en-US" w:eastAsia="zh-CN"/>
        </w:rPr>
        <w:t>54.60</w:t>
      </w:r>
      <w:r>
        <w:rPr>
          <w:rFonts w:hint="eastAsia"/>
          <w:color w:val="auto"/>
          <w:kern w:val="0"/>
          <w:szCs w:val="21"/>
          <w:u w:val="single"/>
        </w:rPr>
        <w:t>m</w:t>
      </w:r>
      <w:r>
        <w:rPr>
          <w:rFonts w:hint="eastAsia"/>
          <w:color w:val="auto"/>
          <w:kern w:val="0"/>
          <w:szCs w:val="21"/>
          <w:u w:val="single"/>
          <w:vertAlign w:val="superscript"/>
        </w:rPr>
        <w:t>2</w:t>
      </w:r>
      <w:r>
        <w:rPr>
          <w:rFonts w:hint="eastAsia"/>
          <w:color w:val="auto"/>
          <w:kern w:val="0"/>
          <w:u w:val="single"/>
        </w:rPr>
        <w:t>。</w:t>
      </w:r>
    </w:p>
    <w:p>
      <w:pPr>
        <w:ind w:firstLine="480"/>
        <w:jc w:val="both"/>
        <w:rPr>
          <w:color w:val="auto"/>
          <w:kern w:val="0"/>
          <w:u w:val="none"/>
        </w:rPr>
      </w:pPr>
      <w:r>
        <w:rPr>
          <w:rFonts w:hint="eastAsia"/>
          <w:color w:val="auto"/>
          <w:kern w:val="0"/>
          <w:u w:val="none"/>
        </w:rPr>
        <w:t>服务范围：</w:t>
      </w:r>
      <w:r>
        <w:rPr>
          <w:rFonts w:hint="eastAsia"/>
          <w:color w:val="auto"/>
          <w:kern w:val="0"/>
          <w:lang w:eastAsia="zh-CN"/>
        </w:rPr>
        <w:t>永顺经济开发区猛洞河产业园内的企事业污水</w:t>
      </w:r>
      <w:r>
        <w:rPr>
          <w:rFonts w:hint="eastAsia"/>
          <w:color w:val="auto"/>
          <w:kern w:val="0"/>
          <w:u w:val="none"/>
        </w:rPr>
        <w:t>。</w:t>
      </w:r>
    </w:p>
    <w:p>
      <w:pPr>
        <w:pStyle w:val="6"/>
        <w:bidi w:val="0"/>
        <w:jc w:val="both"/>
        <w:rPr>
          <w:rFonts w:hint="eastAsia"/>
        </w:rPr>
      </w:pPr>
      <w:r>
        <w:rPr>
          <w:rFonts w:hint="eastAsia"/>
          <w:lang w:val="en-US" w:eastAsia="zh-CN"/>
        </w:rPr>
        <w:t>9</w:t>
      </w:r>
      <w:r>
        <w:rPr>
          <w:rFonts w:hint="eastAsia"/>
        </w:rPr>
        <w:t>.1.2与产业政策及规划符合性分析</w:t>
      </w:r>
    </w:p>
    <w:p>
      <w:pPr>
        <w:ind w:firstLine="480"/>
        <w:jc w:val="both"/>
        <w:rPr>
          <w:color w:val="auto"/>
          <w:kern w:val="0"/>
          <w:u w:val="none"/>
        </w:rPr>
      </w:pPr>
      <w:r>
        <w:rPr>
          <w:color w:val="auto"/>
          <w:kern w:val="0"/>
          <w:u w:val="none"/>
        </w:rPr>
        <w:t>根据国家发改委公布的《产业结构调整指导目录（201</w:t>
      </w:r>
      <w:r>
        <w:rPr>
          <w:rFonts w:hint="eastAsia"/>
          <w:color w:val="auto"/>
          <w:kern w:val="0"/>
          <w:u w:val="none"/>
        </w:rPr>
        <w:t>1</w:t>
      </w:r>
      <w:r>
        <w:rPr>
          <w:color w:val="auto"/>
          <w:kern w:val="0"/>
          <w:u w:val="none"/>
        </w:rPr>
        <w:t>年本）》（2013修订）</w:t>
      </w:r>
      <w:r>
        <w:rPr>
          <w:rFonts w:hint="eastAsia"/>
          <w:color w:val="auto"/>
          <w:kern w:val="0"/>
          <w:u w:val="none"/>
        </w:rPr>
        <w:t>，“</w:t>
      </w:r>
      <w:r>
        <w:rPr>
          <w:color w:val="auto"/>
          <w:kern w:val="0"/>
          <w:u w:val="none"/>
        </w:rPr>
        <w:t>三废</w:t>
      </w:r>
      <w:r>
        <w:rPr>
          <w:rFonts w:hint="eastAsia"/>
          <w:color w:val="auto"/>
          <w:kern w:val="0"/>
          <w:u w:val="none"/>
        </w:rPr>
        <w:t>”</w:t>
      </w:r>
      <w:r>
        <w:rPr>
          <w:color w:val="auto"/>
          <w:kern w:val="0"/>
          <w:u w:val="none"/>
        </w:rPr>
        <w:t>综合利用与治理工程属鼓励类建设项目（第</w:t>
      </w:r>
      <w:r>
        <w:rPr>
          <w:rFonts w:hint="eastAsia"/>
          <w:color w:val="auto"/>
          <w:kern w:val="0"/>
          <w:u w:val="none"/>
          <w:lang w:eastAsia="zh-CN"/>
        </w:rPr>
        <w:t>四十三</w:t>
      </w:r>
      <w:r>
        <w:rPr>
          <w:color w:val="auto"/>
          <w:kern w:val="0"/>
          <w:u w:val="none"/>
        </w:rPr>
        <w:t>项环境保护与资源节约综合利用第15条），本工程属于城市污水治理工程，本工程属鼓励类建设工程，符合国家产业政策。</w:t>
      </w:r>
    </w:p>
    <w:p>
      <w:pPr>
        <w:pStyle w:val="76"/>
        <w:spacing w:before="163" w:after="163"/>
        <w:rPr>
          <w:color w:val="auto"/>
          <w:u w:val="none"/>
        </w:rPr>
      </w:pPr>
      <w:bookmarkStart w:id="323" w:name="_Toc21773"/>
      <w:r>
        <w:rPr>
          <w:rFonts w:hint="eastAsia"/>
          <w:color w:val="auto"/>
          <w:u w:val="none"/>
          <w:lang w:val="en-US" w:eastAsia="zh-CN"/>
        </w:rPr>
        <w:t>9</w:t>
      </w:r>
      <w:r>
        <w:rPr>
          <w:rFonts w:hint="eastAsia"/>
          <w:color w:val="auto"/>
          <w:u w:val="none"/>
        </w:rPr>
        <w:t>.2环境质量现状</w:t>
      </w:r>
      <w:bookmarkEnd w:id="323"/>
    </w:p>
    <w:p>
      <w:pPr>
        <w:ind w:firstLine="480"/>
        <w:jc w:val="both"/>
        <w:rPr>
          <w:rFonts w:hint="eastAsia"/>
          <w:color w:val="auto"/>
          <w:kern w:val="0"/>
          <w:u w:val="none"/>
        </w:rPr>
      </w:pPr>
      <w:r>
        <w:rPr>
          <w:color w:val="auto"/>
          <w:kern w:val="0"/>
          <w:u w:val="none"/>
        </w:rPr>
        <w:t>（</w:t>
      </w:r>
      <w:r>
        <w:rPr>
          <w:rFonts w:eastAsia="Times New Roman"/>
          <w:color w:val="auto"/>
          <w:kern w:val="0"/>
          <w:u w:val="none"/>
        </w:rPr>
        <w:t>1</w:t>
      </w:r>
      <w:r>
        <w:rPr>
          <w:color w:val="auto"/>
          <w:kern w:val="0"/>
          <w:u w:val="none"/>
        </w:rPr>
        <w:t>）环境空气质量现状</w:t>
      </w:r>
    </w:p>
    <w:p>
      <w:pPr>
        <w:ind w:firstLine="480"/>
        <w:jc w:val="both"/>
        <w:rPr>
          <w:color w:val="auto"/>
          <w:kern w:val="0"/>
          <w:u w:val="none"/>
        </w:rPr>
      </w:pPr>
      <w:r>
        <w:rPr>
          <w:color w:val="auto"/>
          <w:kern w:val="0"/>
          <w:u w:val="none"/>
        </w:rPr>
        <w:t>监测期间，各监测点位所有监测因子均未超标，TSP浓度满足《环境空气质量标准》（GB3095-2012）二级标准。硫化氢、氨小时浓度满足</w:t>
      </w:r>
      <w:r>
        <w:rPr>
          <w:rFonts w:hint="eastAsia"/>
          <w:color w:val="auto"/>
          <w:kern w:val="0"/>
          <w:u w:val="none"/>
        </w:rPr>
        <w:t>《环境影响评价技术导则—大气环境》（HJ2.2-2018）附录 D 中质量浓度参考限值</w:t>
      </w:r>
      <w:r>
        <w:rPr>
          <w:color w:val="auto"/>
          <w:kern w:val="0"/>
          <w:u w:val="none"/>
        </w:rPr>
        <w:t>。说明项目拟建地环境空气质量较好。</w:t>
      </w:r>
    </w:p>
    <w:p>
      <w:pPr>
        <w:ind w:firstLine="480"/>
        <w:jc w:val="both"/>
        <w:rPr>
          <w:rFonts w:hint="eastAsia"/>
          <w:color w:val="auto"/>
          <w:kern w:val="0"/>
          <w:u w:val="none"/>
        </w:rPr>
      </w:pPr>
      <w:r>
        <w:rPr>
          <w:color w:val="auto"/>
          <w:kern w:val="0"/>
          <w:u w:val="none"/>
        </w:rPr>
        <w:t>（2）地表水环境现状</w:t>
      </w:r>
    </w:p>
    <w:p>
      <w:pPr>
        <w:ind w:firstLine="480"/>
        <w:jc w:val="both"/>
        <w:rPr>
          <w:color w:val="auto"/>
          <w:kern w:val="0"/>
          <w:u w:val="none"/>
        </w:rPr>
      </w:pPr>
      <w:r>
        <w:rPr>
          <w:color w:val="auto"/>
          <w:kern w:val="0"/>
          <w:u w:val="none"/>
        </w:rPr>
        <w:t>监测期间，</w:t>
      </w:r>
      <w:r>
        <w:rPr>
          <w:rFonts w:hint="eastAsia"/>
          <w:color w:val="auto"/>
          <w:kern w:val="0"/>
          <w:u w:val="none"/>
        </w:rPr>
        <w:t>本项目监测的W</w:t>
      </w:r>
      <w:r>
        <w:rPr>
          <w:rFonts w:hint="eastAsia"/>
          <w:color w:val="auto"/>
          <w:kern w:val="0"/>
          <w:u w:val="none"/>
          <w:lang w:val="en-US" w:eastAsia="zh-CN"/>
        </w:rPr>
        <w:t>3</w:t>
      </w:r>
      <w:r>
        <w:rPr>
          <w:rFonts w:hint="eastAsia"/>
          <w:color w:val="auto"/>
          <w:kern w:val="0"/>
          <w:u w:val="none"/>
          <w:lang w:eastAsia="zh-CN"/>
        </w:rPr>
        <w:t>猛洞河</w:t>
      </w:r>
      <w:r>
        <w:rPr>
          <w:rFonts w:hint="eastAsia"/>
          <w:color w:val="auto"/>
          <w:kern w:val="0"/>
          <w:u w:val="none"/>
        </w:rPr>
        <w:t>，项目拟建排污口上游500m处、W</w:t>
      </w:r>
      <w:r>
        <w:rPr>
          <w:rFonts w:hint="eastAsia"/>
          <w:color w:val="auto"/>
          <w:kern w:val="0"/>
          <w:u w:val="none"/>
          <w:lang w:val="en-US" w:eastAsia="zh-CN"/>
        </w:rPr>
        <w:t>4</w:t>
      </w:r>
      <w:r>
        <w:rPr>
          <w:rFonts w:hint="eastAsia"/>
          <w:color w:val="auto"/>
          <w:kern w:val="0"/>
          <w:u w:val="none"/>
          <w:lang w:eastAsia="zh-CN"/>
        </w:rPr>
        <w:t>猛洞河</w:t>
      </w:r>
      <w:r>
        <w:rPr>
          <w:rFonts w:hint="eastAsia"/>
          <w:color w:val="auto"/>
          <w:kern w:val="0"/>
          <w:u w:val="none"/>
        </w:rPr>
        <w:t>，项目拟建排污口下游</w:t>
      </w:r>
      <w:r>
        <w:rPr>
          <w:color w:val="auto"/>
          <w:kern w:val="0"/>
          <w:u w:val="none"/>
        </w:rPr>
        <w:t>10</w:t>
      </w:r>
      <w:r>
        <w:rPr>
          <w:rFonts w:hint="eastAsia"/>
          <w:color w:val="auto"/>
          <w:kern w:val="0"/>
          <w:u w:val="none"/>
        </w:rPr>
        <w:t>00m处、W</w:t>
      </w:r>
      <w:r>
        <w:rPr>
          <w:rFonts w:hint="eastAsia"/>
          <w:color w:val="auto"/>
          <w:kern w:val="0"/>
          <w:u w:val="none"/>
          <w:lang w:val="en-US" w:eastAsia="zh-CN"/>
        </w:rPr>
        <w:t>5污水处理厂拟建排污口</w:t>
      </w:r>
      <w:r>
        <w:rPr>
          <w:rFonts w:hint="eastAsia"/>
          <w:color w:val="auto"/>
          <w:kern w:val="0"/>
          <w:u w:val="none"/>
        </w:rPr>
        <w:t>处</w:t>
      </w:r>
      <w:r>
        <w:rPr>
          <w:color w:val="auto"/>
          <w:kern w:val="0"/>
          <w:u w:val="none"/>
        </w:rPr>
        <w:t>全部监测因子均满足《地表水环境质量标准》（GB3838-2002）</w:t>
      </w:r>
      <w:r>
        <w:rPr>
          <w:rFonts w:hint="eastAsia"/>
          <w:color w:val="auto"/>
          <w:kern w:val="0"/>
          <w:u w:val="none"/>
        </w:rPr>
        <w:t>Ⅲ</w:t>
      </w:r>
      <w:r>
        <w:rPr>
          <w:color w:val="auto"/>
          <w:kern w:val="0"/>
          <w:u w:val="none"/>
        </w:rPr>
        <w:t>类标准要求。</w:t>
      </w:r>
      <w:r>
        <w:rPr>
          <w:rFonts w:hint="eastAsia"/>
          <w:color w:val="auto"/>
          <w:kern w:val="0"/>
          <w:u w:val="none"/>
        </w:rPr>
        <w:t>当</w:t>
      </w:r>
      <w:r>
        <w:rPr>
          <w:color w:val="auto"/>
          <w:kern w:val="0"/>
          <w:u w:val="none"/>
        </w:rPr>
        <w:t>地地表水环境质量较好。</w:t>
      </w:r>
    </w:p>
    <w:p>
      <w:pPr>
        <w:ind w:firstLine="480"/>
        <w:jc w:val="both"/>
        <w:rPr>
          <w:rFonts w:hint="eastAsia"/>
          <w:color w:val="auto"/>
          <w:kern w:val="0"/>
          <w:u w:val="none"/>
        </w:rPr>
      </w:pPr>
      <w:r>
        <w:rPr>
          <w:color w:val="auto"/>
          <w:kern w:val="0"/>
          <w:u w:val="none"/>
        </w:rPr>
        <w:t>（3）地下水环境现状</w:t>
      </w:r>
    </w:p>
    <w:p>
      <w:pPr>
        <w:wordWrap w:val="0"/>
        <w:ind w:firstLine="480"/>
        <w:jc w:val="both"/>
        <w:rPr>
          <w:color w:val="auto"/>
          <w:kern w:val="0"/>
          <w:u w:val="none"/>
        </w:rPr>
      </w:pPr>
      <w:r>
        <w:rPr>
          <w:color w:val="auto"/>
          <w:kern w:val="0"/>
          <w:u w:val="none"/>
        </w:rPr>
        <w:t>本项目周边地下水各监测点位各监测因子均符合《地下水质量标准》（GB/T14848-2017）</w:t>
      </w:r>
      <w:r>
        <w:rPr>
          <w:rFonts w:hint="eastAsia"/>
          <w:color w:val="auto"/>
          <w:kern w:val="0"/>
          <w:u w:val="none"/>
        </w:rPr>
        <w:t>Ⅲ</w:t>
      </w:r>
      <w:r>
        <w:rPr>
          <w:color w:val="auto"/>
          <w:kern w:val="0"/>
          <w:u w:val="none"/>
        </w:rPr>
        <w:t>类标准要求，地下水环境质量较好。</w:t>
      </w:r>
    </w:p>
    <w:p>
      <w:pPr>
        <w:ind w:firstLine="480"/>
        <w:jc w:val="both"/>
        <w:rPr>
          <w:rFonts w:hint="eastAsia"/>
          <w:color w:val="auto"/>
          <w:kern w:val="0"/>
          <w:u w:val="none"/>
        </w:rPr>
      </w:pPr>
      <w:r>
        <w:rPr>
          <w:rFonts w:hint="eastAsia"/>
          <w:color w:val="auto"/>
          <w:kern w:val="0"/>
          <w:u w:val="none"/>
        </w:rPr>
        <w:t>（4）声环境现状</w:t>
      </w:r>
    </w:p>
    <w:p>
      <w:pPr>
        <w:ind w:firstLine="480"/>
        <w:jc w:val="both"/>
        <w:rPr>
          <w:rFonts w:hint="eastAsia"/>
          <w:color w:val="auto"/>
          <w:kern w:val="0"/>
          <w:u w:val="none"/>
        </w:rPr>
      </w:pPr>
      <w:r>
        <w:rPr>
          <w:rFonts w:hint="eastAsia"/>
          <w:color w:val="auto"/>
          <w:kern w:val="0"/>
          <w:u w:val="none"/>
        </w:rPr>
        <w:t>项目厂界东、西、南、北</w:t>
      </w:r>
      <w:r>
        <w:rPr>
          <w:rFonts w:hint="eastAsia"/>
          <w:color w:val="auto"/>
          <w:kern w:val="0"/>
          <w:u w:val="none"/>
          <w:lang w:val="en-US" w:eastAsia="zh-CN"/>
        </w:rPr>
        <w:t>4</w:t>
      </w:r>
      <w:r>
        <w:rPr>
          <w:rFonts w:hint="eastAsia"/>
          <w:color w:val="auto"/>
          <w:kern w:val="0"/>
          <w:u w:val="none"/>
        </w:rPr>
        <w:t>个监测点</w:t>
      </w:r>
      <w:r>
        <w:rPr>
          <w:rFonts w:hint="eastAsia"/>
          <w:color w:val="auto"/>
          <w:kern w:val="0"/>
          <w:u w:val="none"/>
          <w:lang w:eastAsia="zh-CN"/>
        </w:rPr>
        <w:t>及西北侧</w:t>
      </w:r>
      <w:r>
        <w:rPr>
          <w:rFonts w:hint="eastAsia"/>
          <w:color w:val="auto"/>
          <w:kern w:val="0"/>
          <w:u w:val="none"/>
          <w:lang w:val="en-US" w:eastAsia="zh-CN"/>
        </w:rPr>
        <w:t>50m公租房居民点</w:t>
      </w:r>
      <w:r>
        <w:rPr>
          <w:rFonts w:hint="eastAsia"/>
          <w:color w:val="auto"/>
          <w:kern w:val="0"/>
          <w:u w:val="none"/>
        </w:rPr>
        <w:t>昼夜噪声均满足《声环境质量标准》（GB</w:t>
      </w:r>
      <w:r>
        <w:rPr>
          <w:color w:val="auto"/>
          <w:kern w:val="0"/>
          <w:u w:val="none"/>
        </w:rPr>
        <w:t>3096-2008</w:t>
      </w:r>
      <w:r>
        <w:rPr>
          <w:rFonts w:hint="eastAsia"/>
          <w:color w:val="auto"/>
          <w:kern w:val="0"/>
          <w:u w:val="none"/>
        </w:rPr>
        <w:t>）</w:t>
      </w:r>
      <w:r>
        <w:rPr>
          <w:rFonts w:hint="eastAsia"/>
          <w:color w:val="auto"/>
          <w:kern w:val="0"/>
          <w:u w:val="none"/>
          <w:lang w:val="en-US" w:eastAsia="zh-CN"/>
        </w:rPr>
        <w:t>3</w:t>
      </w:r>
      <w:r>
        <w:rPr>
          <w:rFonts w:hint="eastAsia"/>
          <w:color w:val="auto"/>
          <w:kern w:val="0"/>
          <w:u w:val="none"/>
        </w:rPr>
        <w:t>类标准要求，区域声环境质量良好。</w:t>
      </w:r>
    </w:p>
    <w:p>
      <w:pPr>
        <w:ind w:firstLine="480"/>
        <w:jc w:val="both"/>
        <w:rPr>
          <w:color w:val="auto"/>
          <w:kern w:val="0"/>
          <w:u w:val="none"/>
        </w:rPr>
      </w:pPr>
      <w:r>
        <w:rPr>
          <w:rFonts w:hint="eastAsia"/>
          <w:color w:val="auto"/>
          <w:kern w:val="0"/>
          <w:u w:val="none"/>
        </w:rPr>
        <w:t>（5）土壤环境现状</w:t>
      </w:r>
    </w:p>
    <w:p>
      <w:pPr>
        <w:ind w:firstLine="480"/>
        <w:jc w:val="both"/>
        <w:rPr>
          <w:rFonts w:hint="eastAsia"/>
          <w:color w:val="auto"/>
          <w:kern w:val="0"/>
          <w:u w:val="none"/>
        </w:rPr>
      </w:pPr>
      <w:r>
        <w:rPr>
          <w:rFonts w:hint="eastAsia"/>
          <w:color w:val="auto"/>
          <w:kern w:val="0"/>
          <w:u w:val="none"/>
        </w:rPr>
        <w:t>项目厂界土壤低于《土壤环境质量 建设用地土壤污染风险管控标准（试行）》（</w:t>
      </w:r>
      <w:r>
        <w:rPr>
          <w:color w:val="auto"/>
          <w:kern w:val="0"/>
          <w:u w:val="none"/>
        </w:rPr>
        <w:t>GB36600-2018</w:t>
      </w:r>
      <w:r>
        <w:rPr>
          <w:rFonts w:hint="eastAsia"/>
          <w:color w:val="auto"/>
          <w:kern w:val="0"/>
          <w:u w:val="none"/>
        </w:rPr>
        <w:t>）标准，区域土壤环境质量良好。</w:t>
      </w:r>
    </w:p>
    <w:p>
      <w:pPr>
        <w:ind w:firstLine="480"/>
        <w:jc w:val="both"/>
        <w:rPr>
          <w:rFonts w:hint="eastAsia" w:eastAsia="宋体"/>
          <w:color w:val="auto"/>
          <w:kern w:val="0"/>
          <w:u w:val="none"/>
          <w:lang w:eastAsia="zh-CN"/>
        </w:rPr>
      </w:pPr>
      <w:r>
        <w:rPr>
          <w:rFonts w:hint="eastAsia"/>
          <w:color w:val="auto"/>
          <w:kern w:val="0"/>
          <w:u w:val="none"/>
        </w:rPr>
        <w:t>（6）</w:t>
      </w:r>
      <w:r>
        <w:rPr>
          <w:rFonts w:hint="eastAsia"/>
          <w:color w:val="auto"/>
          <w:kern w:val="0"/>
          <w:u w:val="none"/>
          <w:lang w:eastAsia="zh-CN"/>
        </w:rPr>
        <w:t>底泥环境现状</w:t>
      </w:r>
    </w:p>
    <w:p>
      <w:pPr>
        <w:ind w:firstLine="480"/>
        <w:jc w:val="both"/>
        <w:rPr>
          <w:rFonts w:hint="eastAsia" w:eastAsia="宋体"/>
          <w:color w:val="auto"/>
          <w:kern w:val="0"/>
          <w:u w:val="none"/>
          <w:lang w:eastAsia="zh-CN"/>
        </w:rPr>
      </w:pPr>
      <w:r>
        <w:rPr>
          <w:rFonts w:hint="eastAsia"/>
          <w:color w:val="auto"/>
          <w:kern w:val="0"/>
          <w:u w:val="none"/>
          <w:lang w:eastAsia="zh-CN"/>
        </w:rPr>
        <w:t>根据项目底泥监测点检测结果</w:t>
      </w:r>
      <w:r>
        <w:rPr>
          <w:rFonts w:hint="eastAsia"/>
          <w:color w:val="auto"/>
          <w:kern w:val="0"/>
          <w:u w:val="none"/>
        </w:rPr>
        <w:t>，区域</w:t>
      </w:r>
      <w:r>
        <w:rPr>
          <w:rFonts w:hint="eastAsia"/>
          <w:color w:val="auto"/>
          <w:kern w:val="0"/>
          <w:u w:val="none"/>
          <w:lang w:eastAsia="zh-CN"/>
        </w:rPr>
        <w:t>底泥</w:t>
      </w:r>
      <w:r>
        <w:rPr>
          <w:rFonts w:hint="eastAsia"/>
          <w:color w:val="auto"/>
          <w:kern w:val="0"/>
          <w:u w:val="none"/>
        </w:rPr>
        <w:t>环境质量良好</w:t>
      </w:r>
      <w:r>
        <w:rPr>
          <w:rFonts w:hint="eastAsia"/>
          <w:color w:val="auto"/>
          <w:kern w:val="0"/>
          <w:u w:val="none"/>
          <w:lang w:eastAsia="zh-CN"/>
        </w:rPr>
        <w:t>。</w:t>
      </w:r>
    </w:p>
    <w:p>
      <w:pPr>
        <w:ind w:firstLine="480"/>
        <w:jc w:val="both"/>
        <w:rPr>
          <w:color w:val="auto"/>
          <w:kern w:val="0"/>
          <w:u w:val="none"/>
        </w:rPr>
      </w:pPr>
      <w:r>
        <w:rPr>
          <w:rFonts w:hint="eastAsia"/>
          <w:color w:val="auto"/>
          <w:kern w:val="0"/>
          <w:u w:val="none"/>
          <w:lang w:eastAsia="zh-CN"/>
        </w:rPr>
        <w:t>（</w:t>
      </w:r>
      <w:r>
        <w:rPr>
          <w:rFonts w:hint="eastAsia"/>
          <w:color w:val="auto"/>
          <w:kern w:val="0"/>
          <w:u w:val="none"/>
          <w:lang w:val="en-US" w:eastAsia="zh-CN"/>
        </w:rPr>
        <w:t>7</w:t>
      </w:r>
      <w:r>
        <w:rPr>
          <w:rFonts w:hint="eastAsia"/>
          <w:color w:val="auto"/>
          <w:kern w:val="0"/>
          <w:u w:val="none"/>
          <w:lang w:eastAsia="zh-CN"/>
        </w:rPr>
        <w:t>）</w:t>
      </w:r>
      <w:r>
        <w:rPr>
          <w:rFonts w:hint="eastAsia"/>
          <w:color w:val="auto"/>
          <w:kern w:val="0"/>
          <w:u w:val="none"/>
        </w:rPr>
        <w:t>生态环境现状</w:t>
      </w:r>
    </w:p>
    <w:p>
      <w:pPr>
        <w:ind w:firstLine="480"/>
        <w:jc w:val="both"/>
        <w:rPr>
          <w:color w:val="auto"/>
          <w:kern w:val="0"/>
          <w:u w:val="none"/>
        </w:rPr>
      </w:pPr>
      <w:r>
        <w:rPr>
          <w:rFonts w:hint="eastAsia"/>
          <w:color w:val="auto"/>
          <w:kern w:val="0"/>
          <w:u w:val="none"/>
        </w:rPr>
        <w:t>项目所在地生态环境较为简单，生态环境质量较好。</w:t>
      </w:r>
    </w:p>
    <w:p>
      <w:pPr>
        <w:pStyle w:val="5"/>
        <w:bidi w:val="0"/>
        <w:rPr>
          <w:rFonts w:hint="eastAsia"/>
        </w:rPr>
      </w:pPr>
      <w:bookmarkStart w:id="324" w:name="_Toc11084"/>
      <w:r>
        <w:rPr>
          <w:rFonts w:hint="eastAsia"/>
          <w:lang w:val="en-US" w:eastAsia="zh-CN"/>
        </w:rPr>
        <w:t>9</w:t>
      </w:r>
      <w:r>
        <w:rPr>
          <w:rFonts w:hint="eastAsia"/>
        </w:rPr>
        <w:t>.3环保投资及总量控制</w:t>
      </w:r>
      <w:bookmarkEnd w:id="324"/>
    </w:p>
    <w:p>
      <w:pPr>
        <w:ind w:firstLine="480"/>
        <w:rPr>
          <w:rFonts w:hint="eastAsia"/>
          <w:color w:val="auto"/>
          <w:kern w:val="0"/>
          <w:u w:val="none"/>
        </w:rPr>
      </w:pPr>
      <w:r>
        <w:rPr>
          <w:color w:val="auto"/>
          <w:kern w:val="0"/>
          <w:u w:val="none"/>
        </w:rPr>
        <w:t>本工程本身是一项旨在削减区域废水污染物排放量的环保工程，工程本身的全部投资都用于环境保护基础设施建设。本工程用于施工期环境环保和营运期二次污染防治的环保投资为</w:t>
      </w:r>
      <w:r>
        <w:rPr>
          <w:rFonts w:hint="eastAsia"/>
          <w:color w:val="auto"/>
          <w:kern w:val="0"/>
          <w:u w:val="none"/>
          <w:lang w:val="en-US" w:eastAsia="zh-CN"/>
        </w:rPr>
        <w:t>80</w:t>
      </w:r>
      <w:r>
        <w:rPr>
          <w:color w:val="auto"/>
          <w:kern w:val="0"/>
          <w:u w:val="none"/>
        </w:rPr>
        <w:t>万元，约占项目总投资的</w:t>
      </w:r>
      <w:r>
        <w:rPr>
          <w:rFonts w:hint="eastAsia"/>
          <w:color w:val="auto"/>
          <w:kern w:val="0"/>
          <w:u w:val="none"/>
          <w:lang w:val="en-US" w:eastAsia="zh-CN"/>
        </w:rPr>
        <w:t>8</w:t>
      </w:r>
      <w:r>
        <w:rPr>
          <w:rFonts w:hint="eastAsia"/>
          <w:color w:val="auto"/>
          <w:kern w:val="0"/>
          <w:u w:val="none"/>
        </w:rPr>
        <w:t>%</w:t>
      </w:r>
      <w:r>
        <w:rPr>
          <w:color w:val="auto"/>
          <w:kern w:val="0"/>
          <w:u w:val="none"/>
        </w:rPr>
        <w:t>。</w:t>
      </w:r>
    </w:p>
    <w:p>
      <w:pPr>
        <w:pStyle w:val="5"/>
        <w:bidi w:val="0"/>
        <w:ind w:left="0" w:leftChars="0" w:firstLine="0" w:firstLineChars="0"/>
      </w:pPr>
      <w:bookmarkStart w:id="325" w:name="_Toc14592"/>
      <w:r>
        <w:rPr>
          <w:rFonts w:hint="eastAsia"/>
          <w:lang w:val="en-US" w:eastAsia="zh-CN"/>
        </w:rPr>
        <w:t>9</w:t>
      </w:r>
      <w:r>
        <w:rPr>
          <w:rFonts w:hint="eastAsia"/>
        </w:rPr>
        <w:t>.4主要环境影响评价</w:t>
      </w:r>
      <w:bookmarkEnd w:id="325"/>
    </w:p>
    <w:p>
      <w:pPr>
        <w:ind w:firstLine="480"/>
        <w:rPr>
          <w:rFonts w:hint="eastAsia"/>
          <w:color w:val="auto"/>
          <w:kern w:val="0"/>
          <w:u w:val="none"/>
        </w:rPr>
      </w:pPr>
      <w:r>
        <w:rPr>
          <w:rFonts w:hint="eastAsia"/>
          <w:color w:val="auto"/>
          <w:kern w:val="0"/>
          <w:u w:val="none"/>
        </w:rPr>
        <w:t>（1）地表水环境</w:t>
      </w:r>
    </w:p>
    <w:p>
      <w:pPr>
        <w:ind w:firstLine="480"/>
        <w:rPr>
          <w:color w:val="auto"/>
          <w:kern w:val="0"/>
          <w:u w:val="none"/>
        </w:rPr>
      </w:pPr>
      <w:r>
        <w:rPr>
          <w:rFonts w:hint="eastAsia"/>
          <w:color w:val="auto"/>
          <w:kern w:val="0"/>
          <w:u w:val="none"/>
        </w:rPr>
        <w:t>本工程运营期根据预测结果可知，正常工况下达标排放，枯水期叠加背景值后</w:t>
      </w:r>
      <w:r>
        <w:rPr>
          <w:rFonts w:hint="eastAsia"/>
          <w:color w:val="auto"/>
          <w:kern w:val="0"/>
          <w:u w:val="none"/>
          <w:lang w:eastAsia="zh-CN"/>
        </w:rPr>
        <w:t>猛洞河</w:t>
      </w:r>
      <w:r>
        <w:rPr>
          <w:rFonts w:hint="eastAsia"/>
          <w:color w:val="auto"/>
          <w:kern w:val="0"/>
          <w:u w:val="none"/>
        </w:rPr>
        <w:t>中COD、NH</w:t>
      </w:r>
      <w:r>
        <w:rPr>
          <w:rFonts w:hint="eastAsia"/>
          <w:color w:val="auto"/>
          <w:kern w:val="0"/>
          <w:u w:val="none"/>
          <w:vertAlign w:val="subscript"/>
        </w:rPr>
        <w:t>3</w:t>
      </w:r>
      <w:r>
        <w:rPr>
          <w:rFonts w:hint="eastAsia"/>
          <w:color w:val="auto"/>
          <w:kern w:val="0"/>
          <w:u w:val="none"/>
        </w:rPr>
        <w:t>-N、T</w:t>
      </w:r>
      <w:r>
        <w:rPr>
          <w:color w:val="auto"/>
          <w:kern w:val="0"/>
          <w:u w:val="none"/>
        </w:rPr>
        <w:t>P</w:t>
      </w:r>
      <w:r>
        <w:rPr>
          <w:rFonts w:hint="eastAsia"/>
          <w:color w:val="auto"/>
          <w:kern w:val="0"/>
          <w:u w:val="none"/>
        </w:rPr>
        <w:t>浓度均无超标现象，项目废水排放对地表水体</w:t>
      </w:r>
      <w:r>
        <w:rPr>
          <w:rFonts w:hint="eastAsia"/>
          <w:color w:val="auto"/>
          <w:kern w:val="0"/>
          <w:u w:val="none"/>
          <w:lang w:eastAsia="zh-CN"/>
        </w:rPr>
        <w:t>猛洞河</w:t>
      </w:r>
      <w:r>
        <w:rPr>
          <w:rFonts w:hint="eastAsia"/>
          <w:color w:val="auto"/>
          <w:kern w:val="0"/>
          <w:u w:val="none"/>
        </w:rPr>
        <w:t>水质影响较小。事故工况下，枯水期项目排污口下游</w:t>
      </w:r>
      <w:r>
        <w:rPr>
          <w:rFonts w:hint="eastAsia"/>
          <w:color w:val="auto"/>
          <w:kern w:val="0"/>
          <w:u w:val="none"/>
          <w:lang w:eastAsia="zh-CN"/>
        </w:rPr>
        <w:t>猛洞河</w:t>
      </w:r>
      <w:r>
        <w:rPr>
          <w:rFonts w:hint="eastAsia"/>
          <w:color w:val="auto"/>
          <w:kern w:val="0"/>
          <w:u w:val="none"/>
        </w:rPr>
        <w:t>水质</w:t>
      </w:r>
      <w:r>
        <w:rPr>
          <w:rFonts w:hint="eastAsia"/>
          <w:color w:val="auto"/>
          <w:kern w:val="0"/>
          <w:u w:val="none"/>
          <w:lang w:eastAsia="zh-CN"/>
        </w:rPr>
        <w:t>仍未超标</w:t>
      </w:r>
      <w:r>
        <w:rPr>
          <w:rFonts w:hint="eastAsia"/>
          <w:color w:val="auto"/>
          <w:kern w:val="0"/>
          <w:u w:val="none"/>
        </w:rPr>
        <w:t>，</w:t>
      </w:r>
      <w:r>
        <w:rPr>
          <w:rFonts w:hint="eastAsia"/>
          <w:color w:val="auto"/>
          <w:kern w:val="0"/>
          <w:u w:val="none"/>
          <w:lang w:eastAsia="zh-CN"/>
        </w:rPr>
        <w:t>但为保护猛洞河水体，</w:t>
      </w:r>
      <w:r>
        <w:rPr>
          <w:rFonts w:hint="eastAsia"/>
          <w:color w:val="auto"/>
          <w:kern w:val="0"/>
          <w:u w:val="none"/>
        </w:rPr>
        <w:t>建设单位应严禁杜绝将污水未处理而直接排入水体，采取有效的风险防范措施。</w:t>
      </w:r>
    </w:p>
    <w:p>
      <w:pPr>
        <w:ind w:firstLine="480"/>
        <w:rPr>
          <w:rFonts w:hint="eastAsia"/>
          <w:color w:val="auto"/>
          <w:kern w:val="0"/>
          <w:u w:val="none"/>
        </w:rPr>
      </w:pPr>
      <w:r>
        <w:rPr>
          <w:rFonts w:hint="eastAsia"/>
          <w:color w:val="auto"/>
          <w:kern w:val="0"/>
          <w:u w:val="none"/>
        </w:rPr>
        <w:t>（2）地下水</w:t>
      </w:r>
    </w:p>
    <w:p>
      <w:pPr>
        <w:ind w:firstLine="480"/>
        <w:rPr>
          <w:color w:val="auto"/>
          <w:kern w:val="0"/>
          <w:u w:val="none"/>
        </w:rPr>
      </w:pPr>
      <w:r>
        <w:rPr>
          <w:rFonts w:hint="eastAsia"/>
          <w:color w:val="auto"/>
          <w:kern w:val="0"/>
          <w:u w:val="none"/>
        </w:rPr>
        <w:t>污水在处理的过程中，如处理池体发生渗漏，会通过土壤向下渗透，从而造成地下水的污染。为了防止对地下水环境的污染，所以污水处理池要分区防渗，并加强池体日常的巡检，发生裂隙及时汇报并采取应急措施。通过以上措施，本项目对地下水影响较小。</w:t>
      </w:r>
    </w:p>
    <w:p>
      <w:pPr>
        <w:ind w:firstLine="480"/>
        <w:rPr>
          <w:rFonts w:hint="eastAsia"/>
          <w:color w:val="auto"/>
          <w:kern w:val="0"/>
          <w:u w:val="none"/>
        </w:rPr>
      </w:pPr>
      <w:r>
        <w:rPr>
          <w:rFonts w:hint="eastAsia"/>
          <w:color w:val="auto"/>
          <w:kern w:val="0"/>
          <w:u w:val="none"/>
        </w:rPr>
        <w:t>（3）大气环境</w:t>
      </w:r>
    </w:p>
    <w:p>
      <w:pPr>
        <w:ind w:firstLine="480"/>
        <w:jc w:val="both"/>
        <w:rPr>
          <w:rFonts w:hint="eastAsia"/>
          <w:color w:val="auto"/>
          <w:kern w:val="0"/>
          <w:u w:val="none"/>
        </w:rPr>
      </w:pPr>
      <w:r>
        <w:rPr>
          <w:rFonts w:hint="eastAsia"/>
          <w:color w:val="auto"/>
          <w:kern w:val="0"/>
          <w:u w:val="single"/>
        </w:rPr>
        <w:t>由预测结果可见，项目废气处理设备正常运行时，点源NH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113</w:t>
      </w:r>
      <w:r>
        <w:rPr>
          <w:rFonts w:hint="eastAsia"/>
          <w:color w:val="auto"/>
          <w:kern w:val="0"/>
          <w:u w:val="single"/>
        </w:rPr>
        <w:t>m处出现浓度最大值，分别为</w:t>
      </w:r>
      <w:r>
        <w:rPr>
          <w:rFonts w:hint="eastAsia"/>
          <w:color w:val="auto"/>
          <w:u w:val="single"/>
          <w:lang w:val="en-US" w:eastAsia="zh-CN"/>
        </w:rPr>
        <w:t>0.000889</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w:t>
      </w:r>
      <w:r>
        <w:rPr>
          <w:rFonts w:hint="eastAsia"/>
          <w:color w:val="auto"/>
          <w:u w:val="single"/>
          <w:lang w:val="en-US" w:eastAsia="zh-CN"/>
        </w:rPr>
        <w:t>0.0000344</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，其占标率分别为</w:t>
      </w:r>
      <w:r>
        <w:rPr>
          <w:rFonts w:hint="eastAsia"/>
          <w:color w:val="auto"/>
          <w:kern w:val="0"/>
          <w:u w:val="single"/>
          <w:lang w:val="en-US" w:eastAsia="zh-CN"/>
        </w:rPr>
        <w:t>0.44</w:t>
      </w:r>
      <w:r>
        <w:rPr>
          <w:rFonts w:hint="eastAsia"/>
          <w:color w:val="auto"/>
          <w:kern w:val="0"/>
          <w:u w:val="single"/>
        </w:rPr>
        <w:t>%、</w:t>
      </w:r>
      <w:r>
        <w:rPr>
          <w:rFonts w:hint="eastAsia"/>
          <w:color w:val="auto"/>
          <w:kern w:val="0"/>
          <w:u w:val="single"/>
          <w:lang w:val="en-US" w:eastAsia="zh-CN"/>
        </w:rPr>
        <w:t>0.34</w:t>
      </w:r>
      <w:r>
        <w:rPr>
          <w:rFonts w:hint="eastAsia"/>
          <w:color w:val="auto"/>
          <w:kern w:val="0"/>
          <w:u w:val="single"/>
        </w:rPr>
        <w:t>%；点源NH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S非正常工况下在</w:t>
      </w:r>
      <w:r>
        <w:rPr>
          <w:rFonts w:hint="eastAsia"/>
          <w:color w:val="auto"/>
          <w:kern w:val="0"/>
          <w:u w:val="single"/>
          <w:lang w:val="en-US" w:eastAsia="zh-CN"/>
        </w:rPr>
        <w:t>113</w:t>
      </w:r>
      <w:r>
        <w:rPr>
          <w:rFonts w:hint="eastAsia"/>
          <w:color w:val="auto"/>
          <w:kern w:val="0"/>
          <w:u w:val="single"/>
        </w:rPr>
        <w:t>m处出现浓度最大值，分别为</w:t>
      </w:r>
      <w:r>
        <w:rPr>
          <w:rFonts w:hint="eastAsia"/>
          <w:color w:val="auto"/>
          <w:kern w:val="0"/>
          <w:u w:val="single"/>
          <w:lang w:val="en-US" w:eastAsia="zh-CN"/>
        </w:rPr>
        <w:t>0.00889</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w:t>
      </w:r>
      <w:r>
        <w:rPr>
          <w:rFonts w:hint="eastAsia" w:ascii="Times New Roman" w:hAnsi="Times New Roman" w:eastAsia="宋体" w:cs="Times New Roman"/>
          <w:color w:val="auto"/>
          <w:kern w:val="0"/>
          <w:u w:val="single"/>
          <w:lang w:val="en-US" w:eastAsia="zh-CN"/>
        </w:rPr>
        <w:t>0.0000393</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，其占标率分别为</w:t>
      </w:r>
      <w:r>
        <w:rPr>
          <w:rFonts w:hint="eastAsia"/>
          <w:color w:val="auto"/>
          <w:kern w:val="0"/>
          <w:u w:val="single"/>
          <w:lang w:val="en-US" w:eastAsia="zh-CN"/>
        </w:rPr>
        <w:t>0.39</w:t>
      </w:r>
      <w:r>
        <w:rPr>
          <w:rFonts w:hint="eastAsia"/>
          <w:color w:val="auto"/>
          <w:kern w:val="0"/>
          <w:u w:val="single"/>
        </w:rPr>
        <w:t>%、</w:t>
      </w:r>
      <w:r>
        <w:rPr>
          <w:rFonts w:hint="eastAsia"/>
          <w:color w:val="auto"/>
          <w:kern w:val="0"/>
          <w:u w:val="single"/>
          <w:lang w:val="en-US" w:eastAsia="zh-CN"/>
        </w:rPr>
        <w:t>0.01</w:t>
      </w:r>
      <w:r>
        <w:rPr>
          <w:rFonts w:hint="eastAsia"/>
          <w:color w:val="auto"/>
          <w:kern w:val="0"/>
          <w:u w:val="single"/>
        </w:rPr>
        <w:t>%</w:t>
      </w:r>
      <w:r>
        <w:rPr>
          <w:rFonts w:hint="eastAsia"/>
          <w:color w:val="auto"/>
          <w:u w:val="single"/>
        </w:rPr>
        <w:t>；</w:t>
      </w:r>
      <w:r>
        <w:rPr>
          <w:rFonts w:hint="eastAsia"/>
          <w:color w:val="auto"/>
          <w:kern w:val="0"/>
          <w:u w:val="single"/>
        </w:rPr>
        <w:t>面源NH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15</w:t>
      </w:r>
      <w:r>
        <w:rPr>
          <w:rFonts w:hint="eastAsia"/>
          <w:color w:val="auto"/>
          <w:kern w:val="0"/>
          <w:u w:val="single"/>
        </w:rPr>
        <w:t>m处出现浓度最大值，</w:t>
      </w:r>
      <w:r>
        <w:rPr>
          <w:rFonts w:hint="default" w:ascii="Times New Roman" w:hAnsi="Times New Roman" w:cs="Times New Roman"/>
          <w:color w:val="auto"/>
          <w:kern w:val="0"/>
          <w:sz w:val="24"/>
          <w:szCs w:val="24"/>
          <w:u w:val="single"/>
        </w:rPr>
        <w:t>分别为</w:t>
      </w:r>
      <w:r>
        <w:rPr>
          <w:rFonts w:hint="eastAsia" w:ascii="Times New Roman" w:hAnsi="Times New Roman" w:cs="Times New Roman"/>
          <w:color w:val="auto"/>
          <w:sz w:val="24"/>
          <w:szCs w:val="24"/>
          <w:u w:val="single"/>
          <w:lang w:val="en-US" w:eastAsia="zh-CN"/>
        </w:rPr>
        <w:t>0.0111</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w:t>
      </w:r>
      <w:r>
        <w:rPr>
          <w:rFonts w:hint="eastAsia" w:ascii="Times New Roman" w:hAnsi="Times New Roman" w:eastAsia="宋体" w:cs="Times New Roman"/>
          <w:color w:val="auto"/>
          <w:sz w:val="24"/>
          <w:szCs w:val="24"/>
          <w:u w:val="single"/>
          <w:lang w:val="en-US" w:eastAsia="zh-CN"/>
        </w:rPr>
        <w:t>0.000123</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w:t>
      </w:r>
      <w:r>
        <w:rPr>
          <w:rFonts w:hint="eastAsia"/>
          <w:color w:val="auto"/>
          <w:kern w:val="0"/>
          <w:u w:val="single"/>
        </w:rPr>
        <w:t>其占标率分别为</w:t>
      </w:r>
      <w:r>
        <w:rPr>
          <w:rFonts w:hint="eastAsia"/>
          <w:color w:val="auto"/>
          <w:kern w:val="0"/>
          <w:u w:val="single"/>
          <w:lang w:val="en-US" w:eastAsia="zh-CN"/>
        </w:rPr>
        <w:t>5.57</w:t>
      </w:r>
      <w:r>
        <w:rPr>
          <w:rFonts w:hint="eastAsia"/>
          <w:color w:val="auto"/>
          <w:kern w:val="0"/>
          <w:u w:val="single"/>
        </w:rPr>
        <w:t>%、</w:t>
      </w:r>
      <w:r>
        <w:rPr>
          <w:rFonts w:hint="eastAsia"/>
          <w:color w:val="auto"/>
          <w:kern w:val="0"/>
          <w:u w:val="single"/>
          <w:lang w:val="en-US" w:eastAsia="zh-CN"/>
        </w:rPr>
        <w:t>1.23</w:t>
      </w:r>
      <w:r>
        <w:rPr>
          <w:rFonts w:hint="eastAsia"/>
          <w:color w:val="auto"/>
          <w:kern w:val="0"/>
          <w:u w:val="single"/>
        </w:rPr>
        <w:t>%。</w:t>
      </w:r>
      <w:r>
        <w:rPr>
          <w:rFonts w:hint="eastAsia"/>
          <w:color w:val="auto"/>
          <w:kern w:val="0"/>
          <w:u w:val="single"/>
          <w:lang w:eastAsia="zh-CN"/>
        </w:rPr>
        <w:t>正常工况下</w:t>
      </w:r>
      <w:r>
        <w:rPr>
          <w:rFonts w:hint="eastAsia"/>
          <w:color w:val="auto"/>
          <w:kern w:val="0"/>
          <w:u w:val="single"/>
        </w:rPr>
        <w:t>点源NH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1000</w:t>
      </w:r>
      <w:r>
        <w:rPr>
          <w:rFonts w:hint="eastAsia"/>
          <w:color w:val="auto"/>
          <w:kern w:val="0"/>
          <w:u w:val="single"/>
        </w:rPr>
        <w:t>m处（</w:t>
      </w:r>
      <w:r>
        <w:rPr>
          <w:rFonts w:hint="eastAsia"/>
          <w:color w:val="auto"/>
          <w:kern w:val="0"/>
          <w:u w:val="single"/>
          <w:lang w:eastAsia="zh-CN"/>
        </w:rPr>
        <w:t>下风向</w:t>
      </w:r>
      <w:r>
        <w:rPr>
          <w:rFonts w:hint="eastAsia"/>
          <w:color w:val="auto"/>
          <w:kern w:val="0"/>
          <w:u w:val="single"/>
        </w:rPr>
        <w:t>最近居民点</w:t>
      </w:r>
      <w:r>
        <w:rPr>
          <w:rFonts w:hint="eastAsia"/>
          <w:color w:val="auto"/>
          <w:kern w:val="0"/>
          <w:u w:val="single"/>
          <w:lang w:eastAsia="zh-CN"/>
        </w:rPr>
        <w:t>曾家湾</w:t>
      </w:r>
      <w:r>
        <w:rPr>
          <w:rFonts w:hint="eastAsia"/>
          <w:color w:val="auto"/>
          <w:kern w:val="0"/>
          <w:u w:val="single"/>
        </w:rPr>
        <w:t>）浓度分</w:t>
      </w:r>
      <w:r>
        <w:rPr>
          <w:rFonts w:hint="default" w:ascii="Times New Roman" w:hAnsi="Times New Roman" w:cs="Times New Roman"/>
          <w:color w:val="auto"/>
          <w:kern w:val="0"/>
          <w:sz w:val="24"/>
          <w:szCs w:val="24"/>
          <w:u w:val="single"/>
        </w:rPr>
        <w:t>为</w:t>
      </w:r>
      <w:r>
        <w:rPr>
          <w:rFonts w:hint="eastAsia" w:ascii="Times New Roman" w:hAnsi="Times New Roman" w:cs="Times New Roman"/>
          <w:color w:val="auto"/>
          <w:sz w:val="24"/>
          <w:szCs w:val="24"/>
          <w:u w:val="single"/>
          <w:lang w:val="en-US" w:eastAsia="zh-CN"/>
        </w:rPr>
        <w:t>0.0000125</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w:t>
      </w:r>
      <w:r>
        <w:rPr>
          <w:rFonts w:hint="eastAsia" w:ascii="Times New Roman" w:hAnsi="Times New Roman" w:cs="Times New Roman"/>
          <w:color w:val="auto"/>
          <w:sz w:val="24"/>
          <w:szCs w:val="24"/>
          <w:u w:val="single"/>
          <w:lang w:val="en-US" w:eastAsia="zh-CN"/>
        </w:rPr>
        <w:t>0.000000484</w:t>
      </w:r>
      <w:r>
        <w:rPr>
          <w:rFonts w:hint="default" w:ascii="Times New Roman" w:hAnsi="Times New Roman" w:cs="Times New Roman"/>
          <w:color w:val="auto"/>
          <w:kern w:val="0"/>
          <w:sz w:val="24"/>
          <w:szCs w:val="24"/>
          <w:u w:val="single"/>
        </w:rPr>
        <w:t>μg/m</w:t>
      </w:r>
      <w:r>
        <w:rPr>
          <w:rFonts w:hint="default" w:ascii="Times New Roman" w:hAnsi="Times New Roman" w:cs="Times New Roman"/>
          <w:color w:val="auto"/>
          <w:kern w:val="0"/>
          <w:sz w:val="24"/>
          <w:szCs w:val="24"/>
          <w:u w:val="single"/>
          <w:vertAlign w:val="superscript"/>
        </w:rPr>
        <w:t>3</w:t>
      </w:r>
      <w:r>
        <w:rPr>
          <w:rFonts w:hint="default" w:ascii="Times New Roman" w:hAnsi="Times New Roman" w:cs="Times New Roman"/>
          <w:color w:val="auto"/>
          <w:kern w:val="0"/>
          <w:sz w:val="24"/>
          <w:szCs w:val="24"/>
          <w:u w:val="single"/>
        </w:rPr>
        <w:t>，其</w:t>
      </w:r>
      <w:r>
        <w:rPr>
          <w:rFonts w:hint="eastAsia"/>
          <w:color w:val="auto"/>
          <w:kern w:val="0"/>
          <w:u w:val="single"/>
        </w:rPr>
        <w:t>占标率分别为</w:t>
      </w:r>
      <w:r>
        <w:rPr>
          <w:rFonts w:hint="eastAsia"/>
          <w:color w:val="auto"/>
          <w:kern w:val="0"/>
          <w:u w:val="single"/>
          <w:lang w:val="en-US" w:eastAsia="zh-CN"/>
        </w:rPr>
        <w:t>0.06</w:t>
      </w:r>
      <w:r>
        <w:rPr>
          <w:rFonts w:hint="eastAsia"/>
          <w:color w:val="auto"/>
          <w:kern w:val="0"/>
          <w:u w:val="single"/>
        </w:rPr>
        <w:t>%、</w:t>
      </w:r>
      <w:r>
        <w:rPr>
          <w:rFonts w:hint="eastAsia"/>
          <w:color w:val="auto"/>
          <w:kern w:val="0"/>
          <w:u w:val="single"/>
          <w:lang w:val="en-US" w:eastAsia="zh-CN"/>
        </w:rPr>
        <w:t>0.05</w:t>
      </w:r>
      <w:r>
        <w:rPr>
          <w:rFonts w:hint="eastAsia"/>
          <w:color w:val="auto"/>
          <w:kern w:val="0"/>
          <w:u w:val="single"/>
        </w:rPr>
        <w:t>%，面源NH</w:t>
      </w:r>
      <w:r>
        <w:rPr>
          <w:rFonts w:hint="eastAsia"/>
          <w:color w:val="auto"/>
          <w:kern w:val="0"/>
          <w:u w:val="single"/>
          <w:vertAlign w:val="subscript"/>
        </w:rPr>
        <w:t>3</w:t>
      </w:r>
      <w:r>
        <w:rPr>
          <w:rFonts w:hint="eastAsia"/>
          <w:color w:val="auto"/>
          <w:kern w:val="0"/>
          <w:u w:val="single"/>
        </w:rPr>
        <w:t>、H</w:t>
      </w:r>
      <w:r>
        <w:rPr>
          <w:rFonts w:hint="eastAsia"/>
          <w:color w:val="auto"/>
          <w:kern w:val="0"/>
          <w:u w:val="single"/>
          <w:vertAlign w:val="subscript"/>
        </w:rPr>
        <w:t>2</w:t>
      </w:r>
      <w:r>
        <w:rPr>
          <w:rFonts w:hint="eastAsia"/>
          <w:color w:val="auto"/>
          <w:kern w:val="0"/>
          <w:u w:val="single"/>
        </w:rPr>
        <w:t>S在</w:t>
      </w:r>
      <w:r>
        <w:rPr>
          <w:rFonts w:hint="eastAsia"/>
          <w:color w:val="auto"/>
          <w:kern w:val="0"/>
          <w:u w:val="single"/>
          <w:lang w:val="en-US" w:eastAsia="zh-CN"/>
        </w:rPr>
        <w:t>1000</w:t>
      </w:r>
      <w:r>
        <w:rPr>
          <w:rFonts w:hint="eastAsia"/>
          <w:color w:val="auto"/>
          <w:kern w:val="0"/>
          <w:u w:val="single"/>
        </w:rPr>
        <w:t>m处（</w:t>
      </w:r>
      <w:r>
        <w:rPr>
          <w:rFonts w:hint="eastAsia"/>
          <w:color w:val="auto"/>
          <w:kern w:val="0"/>
          <w:u w:val="single"/>
          <w:lang w:eastAsia="zh-CN"/>
        </w:rPr>
        <w:t>下风向</w:t>
      </w:r>
      <w:r>
        <w:rPr>
          <w:rFonts w:hint="eastAsia"/>
          <w:color w:val="auto"/>
          <w:kern w:val="0"/>
          <w:u w:val="single"/>
        </w:rPr>
        <w:t>最近居民点</w:t>
      </w:r>
      <w:r>
        <w:rPr>
          <w:rFonts w:hint="eastAsia"/>
          <w:color w:val="auto"/>
          <w:kern w:val="0"/>
          <w:u w:val="single"/>
          <w:lang w:eastAsia="zh-CN"/>
        </w:rPr>
        <w:t>曾家湾</w:t>
      </w:r>
      <w:r>
        <w:rPr>
          <w:rFonts w:hint="eastAsia"/>
          <w:color w:val="auto"/>
          <w:kern w:val="0"/>
          <w:u w:val="single"/>
        </w:rPr>
        <w:t>）浓度分为</w:t>
      </w:r>
      <w:r>
        <w:rPr>
          <w:rFonts w:hint="eastAsia"/>
          <w:color w:val="auto"/>
          <w:kern w:val="0"/>
          <w:u w:val="single"/>
          <w:lang w:val="en-US" w:eastAsia="zh-CN"/>
        </w:rPr>
        <w:t>0.000106</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w:t>
      </w:r>
      <w:r>
        <w:rPr>
          <w:rFonts w:hint="eastAsia"/>
          <w:color w:val="auto"/>
          <w:kern w:val="0"/>
          <w:u w:val="single"/>
          <w:lang w:val="en-US" w:eastAsia="zh-CN"/>
        </w:rPr>
        <w:t>0.00000117</w:t>
      </w:r>
      <w:r>
        <w:rPr>
          <w:color w:val="auto"/>
          <w:kern w:val="0"/>
          <w:u w:val="single"/>
        </w:rPr>
        <w:t>μ</w:t>
      </w:r>
      <w:r>
        <w:rPr>
          <w:rFonts w:hint="eastAsia"/>
          <w:color w:val="auto"/>
          <w:kern w:val="0"/>
          <w:u w:val="single"/>
        </w:rPr>
        <w:t>g/m</w:t>
      </w:r>
      <w:r>
        <w:rPr>
          <w:rFonts w:hint="eastAsia"/>
          <w:color w:val="auto"/>
          <w:kern w:val="0"/>
          <w:u w:val="single"/>
          <w:vertAlign w:val="superscript"/>
        </w:rPr>
        <w:t>3</w:t>
      </w:r>
      <w:r>
        <w:rPr>
          <w:rFonts w:hint="eastAsia"/>
          <w:color w:val="auto"/>
          <w:kern w:val="0"/>
          <w:u w:val="single"/>
        </w:rPr>
        <w:t>，其占标率分别为</w:t>
      </w:r>
      <w:r>
        <w:rPr>
          <w:rFonts w:hint="eastAsia"/>
          <w:color w:val="auto"/>
          <w:kern w:val="0"/>
          <w:u w:val="single"/>
          <w:lang w:val="en-US" w:eastAsia="zh-CN"/>
        </w:rPr>
        <w:t>0.05</w:t>
      </w:r>
      <w:r>
        <w:rPr>
          <w:rFonts w:hint="eastAsia"/>
          <w:color w:val="auto"/>
          <w:kern w:val="0"/>
          <w:u w:val="single"/>
        </w:rPr>
        <w:t>%、</w:t>
      </w:r>
      <w:r>
        <w:rPr>
          <w:rFonts w:hint="eastAsia"/>
          <w:color w:val="auto"/>
          <w:kern w:val="0"/>
          <w:u w:val="single"/>
          <w:lang w:val="en-US" w:eastAsia="zh-CN"/>
        </w:rPr>
        <w:t>0.01</w:t>
      </w:r>
      <w:r>
        <w:rPr>
          <w:rFonts w:hint="eastAsia"/>
          <w:color w:val="auto"/>
          <w:kern w:val="0"/>
          <w:u w:val="single"/>
        </w:rPr>
        <w:t>%。</w:t>
      </w:r>
      <w:r>
        <w:rPr>
          <w:rFonts w:hint="eastAsia"/>
          <w:color w:val="auto"/>
          <w:kern w:val="0"/>
          <w:u w:val="single"/>
          <w:lang w:eastAsia="zh-CN"/>
        </w:rPr>
        <w:t>根据预测，</w:t>
      </w:r>
      <w:r>
        <w:rPr>
          <w:rFonts w:hint="eastAsia"/>
          <w:color w:val="auto"/>
          <w:kern w:val="0"/>
          <w:u w:val="single"/>
        </w:rPr>
        <w:t>项目废气正常排放时，各污染物最大落地浓度远低于相应质量标准要求，对周边环境空气几乎不会造成影响。</w:t>
      </w:r>
    </w:p>
    <w:p>
      <w:pPr>
        <w:ind w:firstLine="480"/>
        <w:rPr>
          <w:rFonts w:hint="eastAsia"/>
          <w:color w:val="auto"/>
          <w:kern w:val="0"/>
          <w:u w:val="none"/>
        </w:rPr>
      </w:pPr>
      <w:r>
        <w:rPr>
          <w:rFonts w:hint="eastAsia"/>
          <w:color w:val="auto"/>
          <w:kern w:val="0"/>
          <w:u w:val="none"/>
        </w:rPr>
        <w:t>（4）声环境</w:t>
      </w:r>
    </w:p>
    <w:p>
      <w:pPr>
        <w:ind w:firstLine="480"/>
        <w:jc w:val="both"/>
        <w:rPr>
          <w:color w:val="auto"/>
          <w:kern w:val="0"/>
          <w:u w:val="none"/>
        </w:rPr>
      </w:pPr>
      <w:r>
        <w:rPr>
          <w:rFonts w:hint="eastAsia"/>
          <w:color w:val="auto"/>
          <w:kern w:val="0"/>
          <w:u w:val="none"/>
        </w:rPr>
        <w:t>本项目主要的噪声源为鼓风机及各类</w:t>
      </w:r>
      <w:r>
        <w:rPr>
          <w:rFonts w:hint="eastAsia"/>
          <w:color w:val="auto"/>
          <w:kern w:val="0"/>
          <w:u w:val="none"/>
          <w:lang w:eastAsia="zh-CN"/>
        </w:rPr>
        <w:t>污水</w:t>
      </w:r>
      <w:r>
        <w:rPr>
          <w:rFonts w:hint="eastAsia"/>
          <w:color w:val="auto"/>
          <w:kern w:val="0"/>
          <w:u w:val="none"/>
        </w:rPr>
        <w:t>泵，经预测，在采取噪声防治措施下，项目厂界昼夜噪声贡献值均能达到《工业企业厂界环境噪声排放标准》</w:t>
      </w:r>
      <w:r>
        <w:rPr>
          <w:rFonts w:hint="eastAsia"/>
          <w:color w:val="auto"/>
          <w:kern w:val="0"/>
          <w:u w:val="none"/>
          <w:lang w:val="en-US" w:eastAsia="zh-CN"/>
        </w:rPr>
        <w:t>3</w:t>
      </w:r>
      <w:r>
        <w:rPr>
          <w:rFonts w:hint="eastAsia"/>
          <w:color w:val="auto"/>
          <w:kern w:val="0"/>
          <w:u w:val="none"/>
        </w:rPr>
        <w:t>类标准，项目最近</w:t>
      </w:r>
      <w:r>
        <w:rPr>
          <w:rFonts w:hint="eastAsia"/>
          <w:color w:val="auto"/>
          <w:kern w:val="0"/>
          <w:u w:val="none"/>
          <w:lang w:eastAsia="zh-CN"/>
        </w:rPr>
        <w:t>公租房</w:t>
      </w:r>
      <w:r>
        <w:rPr>
          <w:rFonts w:hint="eastAsia"/>
          <w:color w:val="auto"/>
          <w:kern w:val="0"/>
          <w:u w:val="none"/>
        </w:rPr>
        <w:t>居民点，位于项目建设地</w:t>
      </w:r>
      <w:r>
        <w:rPr>
          <w:rFonts w:hint="eastAsia"/>
          <w:color w:val="auto"/>
          <w:kern w:val="0"/>
          <w:u w:val="none"/>
          <w:lang w:eastAsia="zh-CN"/>
        </w:rPr>
        <w:t>西</w:t>
      </w:r>
      <w:r>
        <w:rPr>
          <w:rFonts w:hint="eastAsia"/>
          <w:color w:val="auto"/>
          <w:kern w:val="0"/>
          <w:u w:val="none"/>
        </w:rPr>
        <w:t>北侧约</w:t>
      </w:r>
      <w:r>
        <w:rPr>
          <w:rFonts w:hint="eastAsia"/>
          <w:color w:val="auto"/>
          <w:kern w:val="0"/>
          <w:u w:val="none"/>
          <w:lang w:val="en-US" w:eastAsia="zh-CN"/>
        </w:rPr>
        <w:t>50</w:t>
      </w:r>
      <w:r>
        <w:rPr>
          <w:rFonts w:hint="eastAsia"/>
          <w:color w:val="auto"/>
          <w:kern w:val="0"/>
          <w:u w:val="none"/>
        </w:rPr>
        <w:t>m处，对其影响较小，为了进一步减少污水处理厂设备噪声对周围环境的影响，环评建议做好相关噪声防治措施，以进一步减少噪声对周边厂区环境的影响。</w:t>
      </w:r>
    </w:p>
    <w:p>
      <w:pPr>
        <w:ind w:firstLine="480"/>
        <w:jc w:val="both"/>
        <w:rPr>
          <w:rFonts w:hint="eastAsia"/>
          <w:color w:val="auto"/>
          <w:kern w:val="0"/>
          <w:u w:val="none"/>
        </w:rPr>
      </w:pPr>
      <w:r>
        <w:rPr>
          <w:rFonts w:hint="eastAsia"/>
          <w:color w:val="auto"/>
          <w:kern w:val="0"/>
          <w:u w:val="none"/>
        </w:rPr>
        <w:t>（5）固体废物</w:t>
      </w:r>
    </w:p>
    <w:p>
      <w:pPr>
        <w:ind w:firstLine="480"/>
        <w:jc w:val="both"/>
        <w:rPr>
          <w:rFonts w:hint="eastAsia"/>
          <w:color w:val="auto"/>
          <w:kern w:val="0"/>
          <w:u w:val="none"/>
        </w:rPr>
      </w:pPr>
      <w:r>
        <w:rPr>
          <w:rFonts w:hint="eastAsia"/>
          <w:color w:val="auto"/>
          <w:kern w:val="0"/>
          <w:u w:val="none"/>
        </w:rPr>
        <w:t>本项目固体废物主要为</w:t>
      </w:r>
      <w:r>
        <w:rPr>
          <w:color w:val="auto"/>
          <w:kern w:val="0"/>
          <w:u w:val="none"/>
        </w:rPr>
        <w:t>格栅渣</w:t>
      </w:r>
      <w:r>
        <w:rPr>
          <w:rFonts w:hint="eastAsia"/>
          <w:color w:val="auto"/>
          <w:kern w:val="0"/>
          <w:u w:val="none"/>
        </w:rPr>
        <w:t>、</w:t>
      </w:r>
      <w:r>
        <w:rPr>
          <w:color w:val="auto"/>
          <w:kern w:val="0"/>
          <w:u w:val="none"/>
        </w:rPr>
        <w:t>沉砂池沉砂</w:t>
      </w:r>
      <w:r>
        <w:rPr>
          <w:rFonts w:hint="eastAsia"/>
          <w:color w:val="auto"/>
          <w:kern w:val="0"/>
          <w:u w:val="none"/>
        </w:rPr>
        <w:t>、生化处理系统剩余污泥</w:t>
      </w:r>
      <w:r>
        <w:rPr>
          <w:rFonts w:hint="eastAsia"/>
          <w:color w:val="auto"/>
          <w:kern w:val="0"/>
          <w:u w:val="none"/>
          <w:lang w:eastAsia="zh-CN"/>
        </w:rPr>
        <w:t>、</w:t>
      </w:r>
      <w:r>
        <w:rPr>
          <w:rFonts w:hint="eastAsia"/>
          <w:color w:val="auto"/>
          <w:kern w:val="0"/>
          <w:u w:val="none"/>
        </w:rPr>
        <w:t>少量废弃紫外灯管</w:t>
      </w:r>
      <w:r>
        <w:rPr>
          <w:rFonts w:hint="eastAsia"/>
          <w:color w:val="auto"/>
          <w:kern w:val="0"/>
          <w:u w:val="none"/>
          <w:lang w:eastAsia="zh-CN"/>
        </w:rPr>
        <w:t>及废活性炭</w:t>
      </w:r>
      <w:r>
        <w:rPr>
          <w:rFonts w:hint="eastAsia"/>
          <w:color w:val="auto"/>
          <w:kern w:val="0"/>
          <w:u w:val="none"/>
        </w:rPr>
        <w:t>，</w:t>
      </w:r>
      <w:r>
        <w:rPr>
          <w:color w:val="auto"/>
          <w:kern w:val="0"/>
          <w:u w:val="none"/>
        </w:rPr>
        <w:t>格栅渣成分主要为玻璃、塑料等垃圾，沉砂池沉砂主要的不溶性泥砂以无机物固体颗粒物为主，格栅渣与沉砂池中的沉渣存放于垃圾车内，定期外运至</w:t>
      </w:r>
      <w:r>
        <w:rPr>
          <w:rFonts w:hint="eastAsia"/>
          <w:color w:val="auto"/>
          <w:kern w:val="0"/>
          <w:u w:val="none"/>
          <w:lang w:eastAsia="zh-CN"/>
        </w:rPr>
        <w:t>永顺县</w:t>
      </w:r>
      <w:r>
        <w:rPr>
          <w:color w:val="auto"/>
          <w:kern w:val="0"/>
          <w:u w:val="none"/>
        </w:rPr>
        <w:t>垃圾填埋场卫生填埋</w:t>
      </w:r>
      <w:r>
        <w:rPr>
          <w:rFonts w:hint="eastAsia"/>
          <w:color w:val="auto"/>
          <w:kern w:val="0"/>
          <w:u w:val="none"/>
        </w:rPr>
        <w:t>，运输车辆要求为全封闭车辆，不得污染道路对环境造成影响。生化处理系统剩余污泥根据产业园入驻企业以及现有企业定位其主要成分为有机物，项目污泥脱水采用</w:t>
      </w:r>
      <w:r>
        <w:rPr>
          <w:rFonts w:hint="eastAsia"/>
          <w:color w:val="auto"/>
          <w:kern w:val="0"/>
          <w:u w:val="none"/>
          <w:lang w:eastAsia="zh-CN"/>
        </w:rPr>
        <w:t>叠螺式脱水</w:t>
      </w:r>
      <w:r>
        <w:rPr>
          <w:rFonts w:hint="eastAsia"/>
          <w:color w:val="auto"/>
          <w:kern w:val="0"/>
          <w:u w:val="none"/>
        </w:rPr>
        <w:t>机对其进行脱水处理，脱水后的污泥首先建设单位应按照《危险废物鉴别标准浸出毒性鉴别》（GB5085.3-2007）进行浸出实验，确认污泥性质，如属于危险废物，运营单位应按照危险废物要求进行管理，并委托具有相应资质单位进行安全处置；如鉴别属于一般固废，则可同格栅渣以及沉</w:t>
      </w:r>
      <w:r>
        <w:rPr>
          <w:color w:val="auto"/>
          <w:kern w:val="0"/>
          <w:u w:val="none"/>
        </w:rPr>
        <w:t>池沉砂</w:t>
      </w:r>
      <w:r>
        <w:rPr>
          <w:rFonts w:hint="eastAsia"/>
          <w:color w:val="auto"/>
          <w:kern w:val="0"/>
          <w:u w:val="none"/>
        </w:rPr>
        <w:t>固体废物</w:t>
      </w:r>
      <w:r>
        <w:rPr>
          <w:color w:val="auto"/>
          <w:kern w:val="0"/>
          <w:u w:val="none"/>
        </w:rPr>
        <w:t>外运至</w:t>
      </w:r>
      <w:r>
        <w:rPr>
          <w:rFonts w:hint="eastAsia"/>
          <w:color w:val="auto"/>
          <w:kern w:val="0"/>
          <w:u w:val="none"/>
          <w:lang w:eastAsia="zh-CN"/>
        </w:rPr>
        <w:t>永顺县</w:t>
      </w:r>
      <w:r>
        <w:rPr>
          <w:color w:val="auto"/>
          <w:kern w:val="0"/>
          <w:u w:val="none"/>
        </w:rPr>
        <w:t>垃圾填埋场卫生填埋</w:t>
      </w:r>
      <w:r>
        <w:rPr>
          <w:rFonts w:hint="eastAsia"/>
          <w:color w:val="auto"/>
          <w:kern w:val="0"/>
          <w:u w:val="none"/>
        </w:rPr>
        <w:t>，本环评要求，建设方应在建设期提前设立危险废物暂存间，在进行无害化处理前进行暂存处理，运营期后运营方在具体建设暂存间时，需严格按照《危险废物贮存污染控制标准》（GB18579-2001）及2013年修改单中危险废物贮存设施选址与设计原则对其进行设计，危险废物的堆放、贮存设施的运行和管理以及安全防护与监测需达到《危险废物贮存污染控制标准》（GB18579-2001）及2013年修改单中的相关要求，确保危险废物在进行无害化处理前不会对区域外环境以及周边敏感目标造成不良环境影响。</w:t>
      </w:r>
    </w:p>
    <w:p>
      <w:pPr>
        <w:pStyle w:val="76"/>
        <w:spacing w:before="163" w:after="163"/>
        <w:rPr>
          <w:rFonts w:hint="eastAsia"/>
          <w:color w:val="auto"/>
          <w:u w:val="none"/>
        </w:rPr>
      </w:pPr>
      <w:bookmarkStart w:id="326" w:name="_Toc7169"/>
      <w:r>
        <w:rPr>
          <w:rFonts w:hint="eastAsia"/>
          <w:color w:val="auto"/>
          <w:u w:val="none"/>
          <w:lang w:val="en-US" w:eastAsia="zh-CN"/>
        </w:rPr>
        <w:t>9</w:t>
      </w:r>
      <w:r>
        <w:rPr>
          <w:rFonts w:hint="eastAsia"/>
          <w:color w:val="auto"/>
          <w:u w:val="none"/>
        </w:rPr>
        <w:t>.</w:t>
      </w:r>
      <w:r>
        <w:rPr>
          <w:color w:val="auto"/>
          <w:u w:val="none"/>
        </w:rPr>
        <w:t>5</w:t>
      </w:r>
      <w:r>
        <w:rPr>
          <w:rFonts w:hint="eastAsia"/>
          <w:color w:val="auto"/>
          <w:u w:val="none"/>
        </w:rPr>
        <w:t>污染控制措施评述及污染物达标排放</w:t>
      </w:r>
      <w:bookmarkEnd w:id="326"/>
    </w:p>
    <w:p>
      <w:pPr>
        <w:ind w:firstLine="480"/>
        <w:rPr>
          <w:color w:val="auto"/>
          <w:kern w:val="0"/>
          <w:u w:val="none"/>
        </w:rPr>
      </w:pPr>
      <w:bookmarkStart w:id="327" w:name="_Toc1223"/>
      <w:bookmarkStart w:id="328" w:name="_Toc22015"/>
      <w:bookmarkStart w:id="329" w:name="_Toc11924"/>
      <w:bookmarkStart w:id="330" w:name="_Toc10115"/>
      <w:r>
        <w:rPr>
          <w:rFonts w:hint="eastAsia"/>
          <w:color w:val="auto"/>
          <w:kern w:val="0"/>
          <w:u w:val="none"/>
        </w:rPr>
        <w:t>（1）地表水污染防治措施</w:t>
      </w:r>
      <w:bookmarkEnd w:id="327"/>
      <w:bookmarkEnd w:id="328"/>
      <w:bookmarkEnd w:id="329"/>
      <w:bookmarkEnd w:id="330"/>
    </w:p>
    <w:p>
      <w:pPr>
        <w:widowControl w:val="0"/>
        <w:ind w:firstLine="480"/>
        <w:jc w:val="both"/>
        <w:rPr>
          <w:color w:val="auto"/>
          <w:kern w:val="0"/>
          <w:szCs w:val="21"/>
          <w:u w:val="none"/>
        </w:rPr>
      </w:pPr>
      <w:r>
        <w:rPr>
          <w:rFonts w:hint="eastAsia"/>
          <w:color w:val="auto"/>
          <w:kern w:val="0"/>
          <w:u w:val="none"/>
        </w:rPr>
        <w:t>本项目废水工艺采用</w:t>
      </w:r>
      <w:r>
        <w:rPr>
          <w:rFonts w:hint="eastAsia"/>
          <w:color w:val="auto"/>
          <w:kern w:val="0"/>
          <w:u w:val="none"/>
          <w:lang w:eastAsia="zh-CN"/>
        </w:rPr>
        <w:t>“</w:t>
      </w:r>
      <w:r>
        <w:rPr>
          <w:rFonts w:hint="eastAsia"/>
          <w:color w:val="auto"/>
          <w:u w:val="none"/>
          <w:lang w:eastAsia="zh-CN"/>
        </w:rPr>
        <w:t>格栅渠</w:t>
      </w:r>
      <w:r>
        <w:rPr>
          <w:rFonts w:hint="eastAsia"/>
          <w:color w:val="auto"/>
          <w:u w:val="none"/>
        </w:rPr>
        <w:t>→沉砂池→调节池→</w:t>
      </w:r>
      <w:r>
        <w:rPr>
          <w:rFonts w:hint="eastAsia"/>
          <w:color w:val="auto"/>
          <w:u w:val="none"/>
          <w:lang w:val="en-US" w:eastAsia="zh-CN"/>
        </w:rPr>
        <w:t>MBR一体化设备</w:t>
      </w:r>
      <w:r>
        <w:rPr>
          <w:rFonts w:hint="eastAsia"/>
          <w:color w:val="auto"/>
          <w:u w:val="none"/>
        </w:rPr>
        <w:t>→紫外消毒→</w:t>
      </w:r>
      <w:r>
        <w:rPr>
          <w:rFonts w:hint="eastAsia"/>
          <w:color w:val="auto"/>
          <w:u w:val="none"/>
          <w:lang w:eastAsia="zh-CN"/>
        </w:rPr>
        <w:t>清水池</w:t>
      </w:r>
      <w:r>
        <w:rPr>
          <w:rFonts w:hint="eastAsia"/>
          <w:color w:val="auto"/>
          <w:kern w:val="0"/>
          <w:u w:val="none"/>
          <w:lang w:eastAsia="zh-CN"/>
        </w:rPr>
        <w:t>”</w:t>
      </w:r>
      <w:r>
        <w:rPr>
          <w:rFonts w:hint="eastAsia"/>
          <w:color w:val="auto"/>
          <w:kern w:val="0"/>
          <w:u w:val="none"/>
        </w:rPr>
        <w:t>排放至</w:t>
      </w:r>
      <w:r>
        <w:rPr>
          <w:rFonts w:hint="eastAsia"/>
          <w:color w:val="auto"/>
          <w:kern w:val="0"/>
          <w:u w:val="none"/>
          <w:lang w:eastAsia="zh-CN"/>
        </w:rPr>
        <w:t>猛洞河</w:t>
      </w:r>
      <w:r>
        <w:rPr>
          <w:rFonts w:hint="eastAsia"/>
          <w:color w:val="auto"/>
          <w:kern w:val="0"/>
          <w:u w:val="none"/>
        </w:rPr>
        <w:t>需处理达到</w:t>
      </w:r>
      <w:bookmarkStart w:id="331" w:name="_Toc18145"/>
      <w:bookmarkStart w:id="332" w:name="_Toc30532"/>
      <w:bookmarkStart w:id="333" w:name="_Toc17802"/>
      <w:r>
        <w:rPr>
          <w:rFonts w:hint="eastAsia"/>
          <w:color w:val="auto"/>
          <w:u w:val="none"/>
        </w:rPr>
        <w:t>《城镇污水处理厂污染物排放标准》（GB18918-2002）表1中一级A标准</w:t>
      </w:r>
      <w:r>
        <w:rPr>
          <w:color w:val="auto"/>
          <w:kern w:val="0"/>
          <w:u w:val="none"/>
        </w:rPr>
        <w:t>。</w:t>
      </w:r>
    </w:p>
    <w:bookmarkEnd w:id="331"/>
    <w:bookmarkEnd w:id="332"/>
    <w:bookmarkEnd w:id="333"/>
    <w:p>
      <w:pPr>
        <w:ind w:firstLine="480"/>
        <w:jc w:val="both"/>
        <w:rPr>
          <w:color w:val="auto"/>
          <w:kern w:val="0"/>
          <w:u w:val="none"/>
        </w:rPr>
      </w:pPr>
      <w:bookmarkStart w:id="334" w:name="_Toc24762"/>
      <w:bookmarkStart w:id="335" w:name="_Toc24109"/>
      <w:bookmarkStart w:id="336" w:name="_Toc24461"/>
      <w:bookmarkStart w:id="337" w:name="_Toc18535"/>
      <w:r>
        <w:rPr>
          <w:rFonts w:hint="eastAsia"/>
          <w:color w:val="auto"/>
          <w:kern w:val="0"/>
          <w:u w:val="none"/>
        </w:rPr>
        <w:t>（</w:t>
      </w:r>
      <w:r>
        <w:rPr>
          <w:color w:val="auto"/>
          <w:kern w:val="0"/>
          <w:u w:val="none"/>
        </w:rPr>
        <w:t>2</w:t>
      </w:r>
      <w:r>
        <w:rPr>
          <w:rFonts w:hint="eastAsia"/>
          <w:color w:val="auto"/>
          <w:kern w:val="0"/>
          <w:u w:val="none"/>
        </w:rPr>
        <w:t>）大气污染防治措施</w:t>
      </w:r>
      <w:bookmarkEnd w:id="334"/>
      <w:bookmarkEnd w:id="335"/>
      <w:bookmarkEnd w:id="336"/>
      <w:bookmarkEnd w:id="337"/>
    </w:p>
    <w:p>
      <w:pPr>
        <w:ind w:firstLine="480"/>
        <w:jc w:val="both"/>
        <w:rPr>
          <w:color w:val="auto"/>
          <w:kern w:val="0"/>
          <w:u w:val="none"/>
        </w:rPr>
      </w:pPr>
      <w:r>
        <w:rPr>
          <w:color w:val="auto"/>
          <w:kern w:val="0"/>
          <w:u w:val="none"/>
        </w:rPr>
        <w:t>项目运行期间将有一定量的臭气产生，产生臭气的主要场所为</w:t>
      </w:r>
      <w:r>
        <w:rPr>
          <w:rFonts w:hint="eastAsia"/>
          <w:color w:val="auto"/>
          <w:kern w:val="0"/>
          <w:u w:val="none"/>
          <w:lang w:eastAsia="zh-CN"/>
        </w:rPr>
        <w:t>格栅渠</w:t>
      </w:r>
      <w:r>
        <w:rPr>
          <w:color w:val="auto"/>
          <w:kern w:val="0"/>
          <w:u w:val="none"/>
        </w:rPr>
        <w:t>、沉砂池、</w:t>
      </w:r>
      <w:r>
        <w:rPr>
          <w:rFonts w:hint="eastAsia"/>
          <w:color w:val="auto"/>
          <w:kern w:val="0"/>
          <w:u w:val="none"/>
          <w:lang w:eastAsia="zh-CN"/>
        </w:rPr>
        <w:t>调节池</w:t>
      </w:r>
      <w:r>
        <w:rPr>
          <w:rFonts w:hint="eastAsia"/>
          <w:color w:val="auto"/>
          <w:kern w:val="0"/>
          <w:u w:val="none"/>
        </w:rPr>
        <w:t>、</w:t>
      </w:r>
      <w:r>
        <w:rPr>
          <w:rFonts w:hint="eastAsia"/>
          <w:color w:val="auto"/>
          <w:kern w:val="0"/>
          <w:u w:val="none"/>
          <w:lang w:val="en-US" w:eastAsia="zh-CN"/>
        </w:rPr>
        <w:t>MBR设备</w:t>
      </w:r>
      <w:r>
        <w:rPr>
          <w:color w:val="auto"/>
          <w:kern w:val="0"/>
          <w:u w:val="none"/>
        </w:rPr>
        <w:t>、</w:t>
      </w:r>
      <w:r>
        <w:rPr>
          <w:rFonts w:hint="eastAsia"/>
          <w:color w:val="auto"/>
          <w:kern w:val="0"/>
          <w:u w:val="none"/>
          <w:lang w:eastAsia="zh-CN"/>
        </w:rPr>
        <w:t>污泥池、污泥脱水间</w:t>
      </w:r>
      <w:r>
        <w:rPr>
          <w:color w:val="auto"/>
          <w:kern w:val="0"/>
          <w:u w:val="none"/>
        </w:rPr>
        <w:t>等，项目拟对每组构筑物的恶臭污染源采用封闭式结构，</w:t>
      </w:r>
      <w:r>
        <w:rPr>
          <w:rFonts w:hint="eastAsia"/>
          <w:color w:val="auto"/>
          <w:kern w:val="0"/>
          <w:u w:val="none"/>
        </w:rPr>
        <w:t>定期喷洒植物除臭液，同时</w:t>
      </w:r>
      <w:r>
        <w:rPr>
          <w:color w:val="auto"/>
          <w:kern w:val="0"/>
          <w:u w:val="none"/>
        </w:rPr>
        <w:t>将</w:t>
      </w:r>
      <w:r>
        <w:rPr>
          <w:rFonts w:hint="eastAsia"/>
          <w:color w:val="auto"/>
          <w:kern w:val="0"/>
          <w:u w:val="none"/>
          <w:lang w:eastAsia="zh-CN"/>
        </w:rPr>
        <w:t>污泥脱水机</w:t>
      </w:r>
      <w:r>
        <w:rPr>
          <w:color w:val="auto"/>
          <w:kern w:val="0"/>
          <w:u w:val="none"/>
        </w:rPr>
        <w:t>产生的臭气抽送到除臭处理装置中进行集中处理后通过15m高排气筒排放，排气筒内径0.5m。同时通过在厂区周围设一定宽度的绿化带，利用耐臭气的高大乔木和灌木、地被进行密植，可以形成有效的安全隔离带，以防止污水处理厂内的臭气对周围环境的影响。</w:t>
      </w:r>
    </w:p>
    <w:p>
      <w:pPr>
        <w:ind w:firstLine="480"/>
        <w:rPr>
          <w:rFonts w:hint="eastAsia"/>
          <w:color w:val="auto"/>
          <w:kern w:val="0"/>
          <w:u w:val="none"/>
        </w:rPr>
      </w:pPr>
      <w:r>
        <w:rPr>
          <w:rFonts w:hint="eastAsia"/>
          <w:color w:val="auto"/>
          <w:kern w:val="0"/>
          <w:u w:val="none"/>
        </w:rPr>
        <w:t>（3）声环境</w:t>
      </w:r>
    </w:p>
    <w:p>
      <w:pPr>
        <w:ind w:firstLine="480"/>
        <w:rPr>
          <w:color w:val="auto"/>
          <w:kern w:val="0"/>
          <w:u w:val="none"/>
        </w:rPr>
      </w:pPr>
      <w:r>
        <w:rPr>
          <w:rFonts w:hint="eastAsia"/>
          <w:color w:val="auto"/>
          <w:kern w:val="0"/>
          <w:u w:val="none"/>
        </w:rPr>
        <w:t>本项目主要的噪声源为各类</w:t>
      </w:r>
      <w:r>
        <w:rPr>
          <w:rFonts w:hint="eastAsia"/>
          <w:color w:val="auto"/>
          <w:kern w:val="0"/>
          <w:u w:val="none"/>
          <w:lang w:eastAsia="zh-CN"/>
        </w:rPr>
        <w:t>污水泵、污水处理设备及设备</w:t>
      </w:r>
      <w:r>
        <w:rPr>
          <w:rFonts w:hint="eastAsia"/>
          <w:color w:val="auto"/>
          <w:kern w:val="0"/>
          <w:u w:val="none"/>
        </w:rPr>
        <w:t>，经预测，在采取噪声防治措施下，项目厂界昼夜噪声贡献值均能达到《工业企业厂界环境噪声排放标准》</w:t>
      </w:r>
      <w:r>
        <w:rPr>
          <w:rFonts w:hint="eastAsia"/>
          <w:color w:val="auto"/>
          <w:kern w:val="0"/>
          <w:u w:val="none"/>
          <w:lang w:val="en-US" w:eastAsia="zh-CN"/>
        </w:rPr>
        <w:t>3</w:t>
      </w:r>
      <w:r>
        <w:rPr>
          <w:rFonts w:hint="eastAsia"/>
          <w:color w:val="auto"/>
          <w:kern w:val="0"/>
          <w:u w:val="none"/>
        </w:rPr>
        <w:t>类标准，项目最近</w:t>
      </w:r>
      <w:r>
        <w:rPr>
          <w:rFonts w:hint="eastAsia"/>
          <w:color w:val="auto"/>
          <w:kern w:val="0"/>
          <w:u w:val="none"/>
          <w:lang w:eastAsia="zh-CN"/>
        </w:rPr>
        <w:t>公租房</w:t>
      </w:r>
      <w:r>
        <w:rPr>
          <w:rFonts w:hint="eastAsia"/>
          <w:color w:val="auto"/>
          <w:kern w:val="0"/>
          <w:u w:val="none"/>
        </w:rPr>
        <w:t>居民点，位于项目建设地</w:t>
      </w:r>
      <w:r>
        <w:rPr>
          <w:rFonts w:hint="eastAsia"/>
          <w:color w:val="auto"/>
          <w:kern w:val="0"/>
          <w:u w:val="none"/>
          <w:lang w:eastAsia="zh-CN"/>
        </w:rPr>
        <w:t>西</w:t>
      </w:r>
      <w:r>
        <w:rPr>
          <w:rFonts w:hint="eastAsia"/>
          <w:color w:val="auto"/>
          <w:kern w:val="0"/>
          <w:u w:val="none"/>
        </w:rPr>
        <w:t>北侧约</w:t>
      </w:r>
      <w:r>
        <w:rPr>
          <w:rFonts w:hint="eastAsia"/>
          <w:color w:val="auto"/>
          <w:kern w:val="0"/>
          <w:u w:val="none"/>
          <w:lang w:val="en-US" w:eastAsia="zh-CN"/>
        </w:rPr>
        <w:t>50</w:t>
      </w:r>
      <w:r>
        <w:rPr>
          <w:rFonts w:hint="eastAsia"/>
          <w:color w:val="auto"/>
          <w:kern w:val="0"/>
          <w:u w:val="none"/>
        </w:rPr>
        <w:t>m处，对其影响较小，为了进一步减少污水处理厂设备噪声对周围环境的影响，环评建议做好相关噪声防治措施，以进一步减少噪声对周边厂区环境的影响。</w:t>
      </w:r>
    </w:p>
    <w:p>
      <w:pPr>
        <w:ind w:firstLine="480"/>
        <w:rPr>
          <w:rFonts w:hint="eastAsia"/>
          <w:color w:val="auto"/>
          <w:kern w:val="0"/>
          <w:u w:val="none"/>
        </w:rPr>
      </w:pPr>
      <w:bookmarkStart w:id="338" w:name="_Toc32453"/>
      <w:bookmarkStart w:id="339" w:name="_Toc22442"/>
      <w:bookmarkStart w:id="340" w:name="_Toc16601"/>
      <w:bookmarkStart w:id="341" w:name="_Toc23426"/>
      <w:r>
        <w:rPr>
          <w:rFonts w:hint="eastAsia"/>
          <w:color w:val="auto"/>
          <w:kern w:val="0"/>
          <w:u w:val="none"/>
        </w:rPr>
        <w:t>（4）固废污染防治措施</w:t>
      </w:r>
      <w:bookmarkEnd w:id="338"/>
      <w:bookmarkEnd w:id="339"/>
      <w:bookmarkEnd w:id="340"/>
      <w:bookmarkEnd w:id="341"/>
    </w:p>
    <w:p>
      <w:pPr>
        <w:ind w:firstLine="480"/>
        <w:rPr>
          <w:rFonts w:hint="eastAsia"/>
          <w:color w:val="auto"/>
          <w:kern w:val="0"/>
          <w:u w:val="none"/>
        </w:rPr>
      </w:pPr>
      <w:r>
        <w:rPr>
          <w:color w:val="auto"/>
          <w:kern w:val="0"/>
          <w:u w:val="none"/>
        </w:rPr>
        <w:t>格栅渣与沉砂池中的沉渣存放于垃圾车内，定期外运至</w:t>
      </w:r>
      <w:r>
        <w:rPr>
          <w:rFonts w:hint="eastAsia"/>
          <w:color w:val="auto"/>
          <w:kern w:val="0"/>
          <w:u w:val="none"/>
          <w:lang w:eastAsia="zh-CN"/>
        </w:rPr>
        <w:t>永顺县</w:t>
      </w:r>
      <w:r>
        <w:rPr>
          <w:color w:val="auto"/>
          <w:kern w:val="0"/>
          <w:u w:val="none"/>
        </w:rPr>
        <w:t>垃圾填埋场卫生填埋</w:t>
      </w:r>
      <w:r>
        <w:rPr>
          <w:rFonts w:hint="eastAsia"/>
          <w:color w:val="auto"/>
          <w:kern w:val="0"/>
          <w:u w:val="none"/>
        </w:rPr>
        <w:t>，运输车辆要求为全封闭车辆，不得污染道路对环境造成影响。生化处理系统剩余污泥根据产业园入驻企业以及现有企业定位其主要成分为有机物，项目污泥脱水采用</w:t>
      </w:r>
      <w:r>
        <w:rPr>
          <w:rFonts w:hint="eastAsia"/>
          <w:color w:val="auto"/>
          <w:kern w:val="0"/>
          <w:u w:val="none"/>
          <w:lang w:eastAsia="zh-CN"/>
        </w:rPr>
        <w:t>叠螺</w:t>
      </w:r>
      <w:r>
        <w:rPr>
          <w:rFonts w:hint="eastAsia"/>
          <w:color w:val="auto"/>
          <w:kern w:val="0"/>
          <w:u w:val="none"/>
        </w:rPr>
        <w:t>式脱水机对其进行脱水处理，脱水后的污泥首先建设单位应按照《危险废物鉴别标准浸出毒性鉴别》（GB5085.3-2007）进行浸出实验，确认污泥性质，如属于危险废物，运营单位应按照危险废物要求进行管理，并委托具有相应资质单位进行安全处置；如鉴别属于一般固废，则可同格栅渣以及沉</w:t>
      </w:r>
      <w:r>
        <w:rPr>
          <w:color w:val="auto"/>
          <w:kern w:val="0"/>
          <w:u w:val="none"/>
        </w:rPr>
        <w:t>池沉砂</w:t>
      </w:r>
      <w:r>
        <w:rPr>
          <w:rFonts w:hint="eastAsia"/>
          <w:color w:val="auto"/>
          <w:kern w:val="0"/>
          <w:u w:val="none"/>
        </w:rPr>
        <w:t>固体废物</w:t>
      </w:r>
      <w:r>
        <w:rPr>
          <w:color w:val="auto"/>
          <w:kern w:val="0"/>
          <w:u w:val="none"/>
        </w:rPr>
        <w:t>外运至</w:t>
      </w:r>
      <w:r>
        <w:rPr>
          <w:rFonts w:hint="eastAsia"/>
          <w:color w:val="auto"/>
          <w:kern w:val="0"/>
          <w:u w:val="none"/>
          <w:lang w:eastAsia="zh-CN"/>
        </w:rPr>
        <w:t>永顺县</w:t>
      </w:r>
      <w:r>
        <w:rPr>
          <w:rFonts w:hint="eastAsia"/>
          <w:color w:val="auto"/>
          <w:kern w:val="0"/>
          <w:u w:val="none"/>
        </w:rPr>
        <w:t>垃圾填埋场卫生填埋。本环评要求，建设方应在建设期提前设立危险废物暂存间，在进行无害化处理前进行暂存处理，暂存间设置需按照《危险废物贮存污染控制标准》（GB18579-2001）及2013年修改单中的相关要求进行设置，通过以上相关固体废物处理措施，运营期固废满足《生活垃圾填埋场污染物控制标准》（GB16889-2008）、《城镇污水处理厂污泥处置-混合填埋用泥质》（GB/T23485-2009）以及《危险废物贮存污染控制标准》（GB18579-2001）及2013年修改单中相关要求。</w:t>
      </w:r>
    </w:p>
    <w:p>
      <w:pPr>
        <w:pStyle w:val="76"/>
        <w:spacing w:before="163" w:after="163"/>
        <w:rPr>
          <w:rFonts w:hint="eastAsia"/>
          <w:color w:val="auto"/>
          <w:kern w:val="0"/>
          <w:u w:val="none"/>
        </w:rPr>
      </w:pPr>
      <w:bookmarkStart w:id="342" w:name="_Toc22098"/>
      <w:r>
        <w:rPr>
          <w:rFonts w:hint="eastAsia"/>
          <w:color w:val="auto"/>
          <w:kern w:val="0"/>
          <w:u w:val="none"/>
          <w:lang w:val="en-US" w:eastAsia="zh-CN"/>
        </w:rPr>
        <w:t>9</w:t>
      </w:r>
      <w:r>
        <w:rPr>
          <w:rFonts w:hint="eastAsia"/>
          <w:color w:val="auto"/>
          <w:kern w:val="0"/>
          <w:u w:val="none"/>
        </w:rPr>
        <w:t>.</w:t>
      </w:r>
      <w:r>
        <w:rPr>
          <w:color w:val="auto"/>
          <w:kern w:val="0"/>
          <w:u w:val="none"/>
        </w:rPr>
        <w:t>6</w:t>
      </w:r>
      <w:r>
        <w:rPr>
          <w:rFonts w:hint="eastAsia"/>
          <w:color w:val="auto"/>
          <w:kern w:val="0"/>
          <w:u w:val="none"/>
        </w:rPr>
        <w:t>环境监测计划</w:t>
      </w:r>
      <w:bookmarkEnd w:id="342"/>
    </w:p>
    <w:p>
      <w:pPr>
        <w:ind w:firstLine="480"/>
        <w:jc w:val="both"/>
        <w:rPr>
          <w:rFonts w:hint="eastAsia"/>
          <w:color w:val="auto"/>
          <w:kern w:val="0"/>
          <w:u w:val="none"/>
        </w:rPr>
      </w:pPr>
      <w:r>
        <w:rPr>
          <w:rFonts w:hint="eastAsia"/>
          <w:color w:val="auto"/>
          <w:kern w:val="0"/>
          <w:u w:val="none"/>
        </w:rPr>
        <w:t>根据项目环境影响预测、分析，项目施工期监测主要对施工厂界噪声以及扬尘污染进行监测，</w:t>
      </w:r>
      <w:r>
        <w:rPr>
          <w:color w:val="auto"/>
          <w:kern w:val="0"/>
          <w:u w:val="none"/>
        </w:rPr>
        <w:t>营运期主要对企业入管污水水质，处理后污水排放口水质进行日常常规检测，对污水处理厂各运行单元内部水质进行定期监测，对</w:t>
      </w:r>
      <w:r>
        <w:rPr>
          <w:rFonts w:hint="eastAsia"/>
          <w:color w:val="auto"/>
          <w:kern w:val="0"/>
          <w:u w:val="none"/>
          <w:lang w:eastAsia="zh-CN"/>
        </w:rPr>
        <w:t>除臭设施排气筒、场内污水处理设施及</w:t>
      </w:r>
      <w:r>
        <w:rPr>
          <w:color w:val="auto"/>
          <w:kern w:val="0"/>
          <w:u w:val="none"/>
        </w:rPr>
        <w:t>厂界</w:t>
      </w:r>
      <w:r>
        <w:rPr>
          <w:rFonts w:hint="eastAsia"/>
          <w:color w:val="auto"/>
          <w:kern w:val="0"/>
          <w:u w:val="none"/>
          <w:lang w:eastAsia="zh-CN"/>
        </w:rPr>
        <w:t>的空气</w:t>
      </w:r>
      <w:r>
        <w:rPr>
          <w:color w:val="auto"/>
          <w:kern w:val="0"/>
          <w:u w:val="none"/>
        </w:rPr>
        <w:t>和厂界噪声进行定期监测，同时还应对污水排放口下游的</w:t>
      </w:r>
      <w:r>
        <w:rPr>
          <w:rFonts w:hint="eastAsia"/>
          <w:color w:val="auto"/>
          <w:kern w:val="0"/>
          <w:u w:val="none"/>
          <w:lang w:eastAsia="zh-CN"/>
        </w:rPr>
        <w:t>猛洞河</w:t>
      </w:r>
      <w:r>
        <w:rPr>
          <w:color w:val="auto"/>
          <w:kern w:val="0"/>
          <w:u w:val="none"/>
        </w:rPr>
        <w:t>进行定期监测。营运期环境监测的要求见</w:t>
      </w:r>
      <w:r>
        <w:rPr>
          <w:rFonts w:hint="eastAsia"/>
          <w:color w:val="auto"/>
          <w:kern w:val="0"/>
          <w:u w:val="none"/>
        </w:rPr>
        <w:t>7</w:t>
      </w:r>
      <w:r>
        <w:rPr>
          <w:color w:val="auto"/>
          <w:kern w:val="0"/>
          <w:u w:val="none"/>
        </w:rPr>
        <w:t>.5</w:t>
      </w:r>
      <w:r>
        <w:rPr>
          <w:rFonts w:hint="eastAsia"/>
          <w:color w:val="auto"/>
          <w:kern w:val="0"/>
          <w:u w:val="none"/>
        </w:rPr>
        <w:t>章节</w:t>
      </w:r>
      <w:r>
        <w:rPr>
          <w:color w:val="auto"/>
          <w:kern w:val="0"/>
          <w:u w:val="none"/>
        </w:rPr>
        <w:t>。</w:t>
      </w:r>
    </w:p>
    <w:p>
      <w:pPr>
        <w:ind w:firstLine="480"/>
        <w:jc w:val="both"/>
        <w:rPr>
          <w:color w:val="auto"/>
          <w:kern w:val="0"/>
          <w:u w:val="none"/>
        </w:rPr>
      </w:pPr>
      <w:r>
        <w:rPr>
          <w:color w:val="auto"/>
          <w:kern w:val="0"/>
          <w:u w:val="none"/>
        </w:rPr>
        <w:t>为了使地方环保管理部门对污水处理厂运行的管理，要求在排污口设置在线监测装置，监测因子包括流量、pH、CODcr、</w:t>
      </w:r>
      <w:r>
        <w:rPr>
          <w:rFonts w:hint="eastAsia"/>
          <w:color w:val="auto"/>
          <w:kern w:val="0"/>
          <w:u w:val="none"/>
        </w:rPr>
        <w:t>BOD、</w:t>
      </w:r>
      <w:r>
        <w:rPr>
          <w:color w:val="auto"/>
          <w:kern w:val="0"/>
          <w:u w:val="none"/>
        </w:rPr>
        <w:t>NH</w:t>
      </w:r>
      <w:r>
        <w:rPr>
          <w:rFonts w:hint="eastAsia"/>
          <w:color w:val="auto"/>
          <w:kern w:val="0"/>
          <w:u w:val="none"/>
          <w:vertAlign w:val="subscript"/>
        </w:rPr>
        <w:t>3</w:t>
      </w:r>
      <w:r>
        <w:rPr>
          <w:color w:val="auto"/>
          <w:kern w:val="0"/>
          <w:u w:val="none"/>
        </w:rPr>
        <w:t>-N、TP等。在线监测装置的终端和</w:t>
      </w:r>
      <w:r>
        <w:rPr>
          <w:rFonts w:hint="eastAsia"/>
          <w:color w:val="auto"/>
          <w:kern w:val="0"/>
          <w:u w:val="none"/>
        </w:rPr>
        <w:t>环保部门</w:t>
      </w:r>
      <w:r>
        <w:rPr>
          <w:color w:val="auto"/>
          <w:kern w:val="0"/>
          <w:u w:val="none"/>
        </w:rPr>
        <w:t>电脑监控装置相连接。确保当地环保管理部门对污水处理厂正常运转的管理。</w:t>
      </w:r>
    </w:p>
    <w:p>
      <w:pPr>
        <w:pStyle w:val="76"/>
        <w:spacing w:before="163" w:after="163"/>
        <w:rPr>
          <w:color w:val="auto"/>
          <w:u w:val="none"/>
        </w:rPr>
      </w:pPr>
      <w:bookmarkStart w:id="343" w:name="_Toc16920"/>
      <w:bookmarkStart w:id="344" w:name="_Toc30063"/>
      <w:bookmarkStart w:id="345" w:name="_Toc9807"/>
      <w:r>
        <w:rPr>
          <w:rFonts w:hint="eastAsia"/>
          <w:color w:val="auto"/>
          <w:u w:val="none"/>
          <w:lang w:val="en-US" w:eastAsia="zh-CN"/>
        </w:rPr>
        <w:t>9</w:t>
      </w:r>
      <w:r>
        <w:rPr>
          <w:color w:val="auto"/>
          <w:u w:val="none"/>
        </w:rPr>
        <w:t>.7公众参与调查结论</w:t>
      </w:r>
      <w:bookmarkEnd w:id="343"/>
      <w:bookmarkEnd w:id="344"/>
      <w:bookmarkEnd w:id="345"/>
    </w:p>
    <w:p>
      <w:pPr>
        <w:widowControl w:val="0"/>
        <w:adjustRightInd w:val="0"/>
        <w:snapToGrid w:val="0"/>
        <w:ind w:firstLine="480" w:firstLineChars="0"/>
        <w:jc w:val="both"/>
        <w:rPr>
          <w:color w:val="auto"/>
          <w:u w:val="none"/>
        </w:rPr>
      </w:pPr>
      <w:r>
        <w:rPr>
          <w:rFonts w:hint="eastAsia"/>
          <w:color w:val="auto"/>
          <w:u w:val="none"/>
          <w:lang w:eastAsia="zh-CN"/>
        </w:rPr>
        <w:t>湖南永顺经济开发区猛洞河产业园污水处理厂建设项目</w:t>
      </w:r>
      <w:r>
        <w:rPr>
          <w:bCs/>
          <w:color w:val="auto"/>
          <w:u w:val="none"/>
        </w:rPr>
        <w:t>第一次公示</w:t>
      </w:r>
      <w:r>
        <w:rPr>
          <w:color w:val="auto"/>
          <w:u w:val="none"/>
        </w:rPr>
        <w:t>于</w:t>
      </w:r>
      <w:r>
        <w:rPr>
          <w:rFonts w:hint="eastAsia"/>
          <w:color w:val="auto"/>
          <w:u w:val="none"/>
          <w:lang w:val="en-US" w:eastAsia="zh-CN"/>
        </w:rPr>
        <w:t>2022</w:t>
      </w:r>
      <w:r>
        <w:rPr>
          <w:color w:val="auto"/>
          <w:u w:val="none"/>
        </w:rPr>
        <w:t>年</w:t>
      </w:r>
      <w:r>
        <w:rPr>
          <w:rFonts w:hint="eastAsia"/>
          <w:color w:val="auto"/>
          <w:u w:val="none"/>
          <w:lang w:val="en-US" w:eastAsia="zh-CN"/>
        </w:rPr>
        <w:t>3</w:t>
      </w:r>
      <w:r>
        <w:rPr>
          <w:color w:val="auto"/>
          <w:u w:val="none"/>
        </w:rPr>
        <w:t>月</w:t>
      </w:r>
      <w:r>
        <w:rPr>
          <w:rFonts w:hint="eastAsia"/>
          <w:color w:val="auto"/>
          <w:u w:val="none"/>
          <w:lang w:val="en-US" w:eastAsia="zh-CN"/>
        </w:rPr>
        <w:t>8</w:t>
      </w:r>
      <w:r>
        <w:rPr>
          <w:color w:val="auto"/>
          <w:u w:val="none"/>
        </w:rPr>
        <w:t>日在</w:t>
      </w:r>
      <w:r>
        <w:rPr>
          <w:rFonts w:hint="eastAsia"/>
          <w:color w:val="auto"/>
          <w:u w:val="none"/>
          <w:lang w:eastAsia="zh-CN"/>
        </w:rPr>
        <w:t>长沙博大环保科技有限公司网站</w:t>
      </w:r>
      <w:r>
        <w:rPr>
          <w:color w:val="auto"/>
          <w:u w:val="none"/>
        </w:rPr>
        <w:t>公示；本项目征求意见稿公示于</w:t>
      </w:r>
      <w:r>
        <w:rPr>
          <w:rFonts w:hint="eastAsia"/>
          <w:color w:val="auto"/>
          <w:u w:val="none"/>
          <w:lang w:val="en-US" w:eastAsia="zh-CN"/>
        </w:rPr>
        <w:t>2022</w:t>
      </w:r>
      <w:r>
        <w:rPr>
          <w:color w:val="auto"/>
          <w:u w:val="none"/>
        </w:rPr>
        <w:t>年</w:t>
      </w:r>
      <w:r>
        <w:rPr>
          <w:rFonts w:hint="eastAsia"/>
          <w:color w:val="auto"/>
          <w:u w:val="none"/>
          <w:lang w:val="en-US" w:eastAsia="zh-CN"/>
        </w:rPr>
        <w:t>6</w:t>
      </w:r>
      <w:r>
        <w:rPr>
          <w:color w:val="auto"/>
          <w:u w:val="none"/>
        </w:rPr>
        <w:t>月</w:t>
      </w:r>
      <w:r>
        <w:rPr>
          <w:rFonts w:hint="eastAsia"/>
          <w:color w:val="auto"/>
          <w:u w:val="none"/>
          <w:lang w:val="en-US" w:eastAsia="zh-CN"/>
        </w:rPr>
        <w:t>6</w:t>
      </w:r>
      <w:r>
        <w:rPr>
          <w:color w:val="auto"/>
          <w:u w:val="none"/>
        </w:rPr>
        <w:t>日在</w:t>
      </w:r>
      <w:r>
        <w:rPr>
          <w:rFonts w:hint="eastAsia"/>
          <w:color w:val="auto"/>
          <w:u w:val="none"/>
          <w:lang w:eastAsia="zh-CN"/>
        </w:rPr>
        <w:t>长沙博大环保科技有限公司网站</w:t>
      </w:r>
      <w:r>
        <w:rPr>
          <w:color w:val="auto"/>
          <w:u w:val="none"/>
        </w:rPr>
        <w:t>公示，同时在征求意见稿公示的十个工作日内在吉首市《团结报》对本项目环境影响评价信息进行了</w:t>
      </w:r>
      <w:r>
        <w:rPr>
          <w:rFonts w:hint="eastAsia"/>
          <w:color w:val="auto"/>
          <w:u w:val="none"/>
        </w:rPr>
        <w:t>两次</w:t>
      </w:r>
      <w:r>
        <w:rPr>
          <w:color w:val="auto"/>
          <w:u w:val="none"/>
        </w:rPr>
        <w:t>登报公示，项目公众参与一次公示、征求意见稿公示期间均未收到公众以电话、信件或电子邮件等任何形式发回的反馈意见。</w:t>
      </w:r>
    </w:p>
    <w:p>
      <w:pPr>
        <w:widowControl w:val="0"/>
        <w:adjustRightInd w:val="0"/>
        <w:snapToGrid w:val="0"/>
        <w:ind w:firstLine="480" w:firstLineChars="0"/>
        <w:jc w:val="both"/>
        <w:rPr>
          <w:color w:val="auto"/>
          <w:u w:val="none"/>
        </w:rPr>
      </w:pPr>
      <w:r>
        <w:rPr>
          <w:color w:val="auto"/>
          <w:u w:val="none"/>
        </w:rPr>
        <w:t>在建设过程中，建设单位要妥善处理施工期产生的环境问题，在运营期加强防范管理，确保项目运营期噪声、废气排放能够达到相关标准后做到达标排放，废水不外排，同时对产生的固废妥善处置，将项目对环境的污染尽可能的降至最低程度。</w:t>
      </w:r>
    </w:p>
    <w:p>
      <w:pPr>
        <w:pStyle w:val="76"/>
        <w:spacing w:before="163" w:after="163"/>
        <w:rPr>
          <w:rFonts w:hint="eastAsia"/>
          <w:color w:val="auto"/>
          <w:kern w:val="0"/>
          <w:u w:val="none"/>
        </w:rPr>
      </w:pPr>
      <w:bookmarkStart w:id="346" w:name="_Toc32442"/>
      <w:r>
        <w:rPr>
          <w:rFonts w:hint="eastAsia"/>
          <w:color w:val="auto"/>
          <w:kern w:val="0"/>
          <w:u w:val="none"/>
          <w:lang w:val="en-US" w:eastAsia="zh-CN"/>
        </w:rPr>
        <w:t>9</w:t>
      </w:r>
      <w:r>
        <w:rPr>
          <w:rFonts w:hint="eastAsia"/>
          <w:color w:val="auto"/>
          <w:kern w:val="0"/>
          <w:u w:val="none"/>
        </w:rPr>
        <w:t>.</w:t>
      </w:r>
      <w:r>
        <w:rPr>
          <w:color w:val="auto"/>
          <w:kern w:val="0"/>
          <w:u w:val="none"/>
        </w:rPr>
        <w:t>8</w:t>
      </w:r>
      <w:r>
        <w:rPr>
          <w:rFonts w:hint="eastAsia"/>
          <w:color w:val="auto"/>
          <w:kern w:val="0"/>
          <w:u w:val="none"/>
        </w:rPr>
        <w:t>环评总结论</w:t>
      </w:r>
      <w:bookmarkEnd w:id="346"/>
    </w:p>
    <w:p>
      <w:pPr>
        <w:ind w:firstLine="480"/>
        <w:jc w:val="both"/>
        <w:rPr>
          <w:b/>
          <w:color w:val="auto"/>
          <w:kern w:val="0"/>
          <w:u w:val="none"/>
        </w:rPr>
      </w:pPr>
      <w:r>
        <w:rPr>
          <w:color w:val="auto"/>
          <w:kern w:val="0"/>
          <w:u w:val="none"/>
        </w:rPr>
        <w:t>本工程的建设符合区域规划的要求，选址合理，选用的工艺成熟可靠、安全有效，能够达到预期的处理效果，出水水质符合</w:t>
      </w:r>
      <w:r>
        <w:rPr>
          <w:rFonts w:hint="eastAsia"/>
          <w:color w:val="auto"/>
          <w:u w:val="none"/>
        </w:rPr>
        <w:t>《城镇污水处理厂污染物排放标准》（GB18918-2002）表1中一级A标准</w:t>
      </w:r>
      <w:r>
        <w:rPr>
          <w:color w:val="auto"/>
          <w:kern w:val="0"/>
          <w:u w:val="none"/>
        </w:rPr>
        <w:t>。处理过程中产生的二次污染经采取措施后能得到有效控制，对周边环境造成不利影响可以承受。工程建设具有显著的环境效益和社会效益，得到了公众的支持，在严格落实本报告提出的环保措施要求的前提下，从环境的角度看该工程建设是可行的。</w:t>
      </w:r>
    </w:p>
    <w:p>
      <w:pPr>
        <w:pStyle w:val="76"/>
        <w:spacing w:before="163" w:after="163"/>
        <w:rPr>
          <w:rFonts w:hint="eastAsia"/>
          <w:color w:val="auto"/>
          <w:kern w:val="0"/>
          <w:u w:val="none"/>
        </w:rPr>
      </w:pPr>
      <w:bookmarkStart w:id="347" w:name="_Toc3267"/>
      <w:r>
        <w:rPr>
          <w:rFonts w:hint="eastAsia"/>
          <w:color w:val="auto"/>
          <w:kern w:val="0"/>
          <w:u w:val="none"/>
          <w:lang w:val="en-US" w:eastAsia="zh-CN"/>
        </w:rPr>
        <w:t>9</w:t>
      </w:r>
      <w:r>
        <w:rPr>
          <w:rFonts w:hint="eastAsia"/>
          <w:color w:val="auto"/>
          <w:kern w:val="0"/>
          <w:u w:val="none"/>
        </w:rPr>
        <w:t>.</w:t>
      </w:r>
      <w:r>
        <w:rPr>
          <w:color w:val="auto"/>
          <w:kern w:val="0"/>
          <w:u w:val="none"/>
        </w:rPr>
        <w:t>9</w:t>
      </w:r>
      <w:r>
        <w:rPr>
          <w:rFonts w:hint="eastAsia"/>
          <w:color w:val="auto"/>
          <w:kern w:val="0"/>
          <w:u w:val="none"/>
        </w:rPr>
        <w:t>建议</w:t>
      </w:r>
      <w:bookmarkEnd w:id="347"/>
    </w:p>
    <w:p>
      <w:pPr>
        <w:ind w:firstLine="480"/>
        <w:rPr>
          <w:rFonts w:hint="eastAsia"/>
          <w:color w:val="auto"/>
          <w:kern w:val="0"/>
          <w:u w:val="none"/>
        </w:rPr>
      </w:pPr>
      <w:r>
        <w:rPr>
          <w:rFonts w:hint="eastAsia"/>
          <w:color w:val="auto"/>
          <w:kern w:val="0"/>
          <w:u w:val="none"/>
        </w:rPr>
        <w:t>（1）为保证污水处理厂的正常运行，应严格控制进入污水处理厂的工业废水水质，切实落实好工业废水的接管标准，加强管理确保入驻企业的污水预处理设施的正常运行，以保证进入污水处理厂的水质满足设计水质要求，杜绝不经妥善有效处理直接排放现象的出现，加强防范和采取应急措施，预防污水处理厂事故的发生。</w:t>
      </w:r>
    </w:p>
    <w:p>
      <w:pPr>
        <w:ind w:firstLine="480"/>
        <w:rPr>
          <w:rFonts w:hint="eastAsia"/>
          <w:color w:val="auto"/>
          <w:kern w:val="0"/>
          <w:u w:val="none"/>
        </w:rPr>
      </w:pPr>
      <w:r>
        <w:rPr>
          <w:rFonts w:hint="eastAsia"/>
          <w:color w:val="auto"/>
          <w:kern w:val="0"/>
          <w:u w:val="none"/>
        </w:rPr>
        <w:t>（2）厂界进行立体绿化，合理布置厂区设施位置，污水管道设计流量足够大，沉砂池或格栅井截留的固体废物及时清理，以减小项目产生的恶臭污染。</w:t>
      </w:r>
    </w:p>
    <w:p>
      <w:pPr>
        <w:ind w:firstLine="480"/>
        <w:rPr>
          <w:rFonts w:hint="eastAsia"/>
          <w:color w:val="auto"/>
          <w:kern w:val="0"/>
          <w:u w:val="none"/>
        </w:rPr>
      </w:pPr>
      <w:r>
        <w:rPr>
          <w:rFonts w:hint="eastAsia"/>
          <w:color w:val="auto"/>
          <w:kern w:val="0"/>
          <w:u w:val="none"/>
        </w:rPr>
        <w:t>（3）加强污水处理厂的运行管理问题，包括厂内以及厂外两部分：对于污水处理厂内部管理，应加强水质的监测，根据水质水量变化及时调整污水处理各工段处理程序，保证处理出水达到要求，同时要确保整个系统的稳定、正常、合理运行；对于厂外运行管理，重点监控产业园内入驻企业的排水水质，防止水质突然出现突变从而影响污水处理厂的稳定，最大限度的发挥污水处理厂集中处理的规模效益。</w:t>
      </w:r>
    </w:p>
    <w:p>
      <w:pPr>
        <w:ind w:firstLine="480"/>
        <w:rPr>
          <w:color w:val="auto"/>
          <w:kern w:val="0"/>
          <w:u w:val="none"/>
        </w:rPr>
      </w:pPr>
      <w:r>
        <w:rPr>
          <w:rFonts w:hint="eastAsia"/>
          <w:color w:val="auto"/>
          <w:kern w:val="0"/>
          <w:u w:val="none"/>
        </w:rPr>
        <w:t>（4）在设计阶段，进一步对园区内现有企业及规划入驻企业进行调查，根据调查情况，优化本项目进水水质、处理规模设计，在后期运行管理中，根据环境管理要求及园区企业所需中水情况，适时考虑建设中水回用工程，减少外排至</w:t>
      </w:r>
      <w:r>
        <w:rPr>
          <w:rFonts w:hint="eastAsia"/>
          <w:color w:val="auto"/>
          <w:kern w:val="0"/>
          <w:u w:val="none"/>
          <w:lang w:eastAsia="zh-CN"/>
        </w:rPr>
        <w:t>猛洞河</w:t>
      </w:r>
      <w:r>
        <w:rPr>
          <w:rFonts w:hint="eastAsia"/>
          <w:color w:val="auto"/>
          <w:kern w:val="0"/>
          <w:u w:val="none"/>
        </w:rPr>
        <w:t>的水污染物量。</w:t>
      </w:r>
    </w:p>
    <w:sectPr>
      <w:pgSz w:w="11906" w:h="16838"/>
      <w:pgMar w:top="1440" w:right="1800" w:bottom="1440" w:left="1800" w:header="851" w:footer="992" w:gutter="0"/>
      <w:pgBorders w:offsetFrom="page">
        <w:top w:val="none" w:sz="0" w:space="0"/>
        <w:left w:val="none" w:sz="0" w:space="0"/>
        <w:bottom w:val="none" w:sz="0" w:space="0"/>
        <w:right w:val="none" w:sz="0" w:space="0"/>
      </w:pgBorders>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w:rPr>
        <w:rFonts w:hint="eastAsia"/>
      </w:rPr>
      <w:t xml:space="preserve"> </w:t>
    </w:r>
  </w:p>
  <w:p>
    <w:pPr>
      <w:pStyle w:val="23"/>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w:fldChar w:fldCharType="begin"/>
    </w:r>
    <w:r>
      <w:instrText xml:space="preserve"> PAGE   \* MERGEFORMAT </w:instrText>
    </w:r>
    <w:r>
      <w:fldChar w:fldCharType="separate"/>
    </w:r>
    <w:r>
      <w:rPr>
        <w:lang w:val="zh-CN"/>
      </w:rPr>
      <w:t>III</w:t>
    </w:r>
    <w:r>
      <w:fldChar w:fldCharType="end"/>
    </w:r>
  </w:p>
  <w:p>
    <w:pPr>
      <w:pStyle w:val="23"/>
      <w:ind w:firstLine="361"/>
      <w:rPr>
        <w:b/>
      </w:rPr>
    </w:pPr>
    <w:r>
      <w:rPr>
        <w:rFonts w:hint="eastAsia"/>
        <w:b/>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w:fldChar w:fldCharType="begin"/>
    </w:r>
    <w:r>
      <w:instrText xml:space="preserve"> PAGE   \* MERGEFORMAT </w:instrText>
    </w:r>
    <w:r>
      <w:fldChar w:fldCharType="separate"/>
    </w:r>
    <w:r>
      <w:rPr>
        <w:lang w:val="zh-CN"/>
      </w:rPr>
      <w:t>16</w:t>
    </w:r>
    <w:r>
      <w:fldChar w:fldCharType="end"/>
    </w:r>
  </w:p>
  <w:p>
    <w:pPr>
      <w:pStyle w:val="23"/>
      <w:ind w:firstLine="361"/>
      <w:rPr>
        <w:rFonts w:hint="eastAsia" w:eastAsia="宋体"/>
        <w:b/>
        <w:lang w:eastAsia="zh-CN"/>
      </w:rPr>
    </w:pPr>
    <w:r>
      <w:rPr>
        <w:rFonts w:hint="eastAsia"/>
        <w:b/>
        <w:lang w:eastAsia="zh-CN"/>
      </w:rPr>
      <w:t>长沙博大环保科技有限公司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wrjIPdUBAACnAwAADgAAAAAAAAABACAA&#10;AAAiAQAAZHJzL2Uyb0RvYy54bWxQSwUGAAAAAAYABgBZAQAAaQUAAAAA&#10;">
              <v:fill on="f" focussize="0,0"/>
              <v:stroke on="f" weight="1.25pt"/>
              <v:imagedata o:title=""/>
              <o:lock v:ext="edit" aspectratio="f"/>
              <v:textbox inset="0mm,0mm,0mm,0mm" style="mso-fit-shape-to-text:t;">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3"/>
                          </w:pP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UKzEZdUBAACnAwAADgAAAAAAAAABACAA&#10;AAAiAQAAZHJzL2Uyb0RvYy54bWxQSwUGAAAAAAYABgBZAQAAaQUAAAAA&#10;">
              <v:fill on="f" focussize="0,0"/>
              <v:stroke on="f" weight="1.25pt"/>
              <v:imagedata o:title=""/>
              <o:lock v:ext="edit" aspectratio="f"/>
              <v:textbox inset="0mm,0mm,0mm,0mm" style="mso-fit-shape-to-text:t;">
                <w:txbxContent>
                  <w:p>
                    <w:pPr>
                      <w:pStyle w:val="2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w:fldChar w:fldCharType="begin"/>
    </w:r>
    <w:r>
      <w:instrText xml:space="preserve"> PAGE   \* MERGEFORMAT </w:instrText>
    </w:r>
    <w:r>
      <w:fldChar w:fldCharType="separate"/>
    </w:r>
    <w:r>
      <w:rPr>
        <w:lang w:val="zh-CN"/>
      </w:rPr>
      <w:t>55</w:t>
    </w:r>
    <w:r>
      <w:fldChar w:fldCharType="end"/>
    </w:r>
  </w:p>
  <w:p>
    <w:pPr>
      <w:pStyle w:val="23"/>
      <w:tabs>
        <w:tab w:val="left" w:pos="3450"/>
        <w:tab w:val="clear" w:pos="4153"/>
        <w:tab w:val="clear" w:pos="8306"/>
      </w:tabs>
      <w:ind w:firstLine="361"/>
      <w:rPr>
        <w:rFonts w:hint="eastAsia"/>
        <w:b/>
      </w:rPr>
    </w:pPr>
    <w:r>
      <w:rPr>
        <w:rFonts w:hint="eastAsia"/>
        <w:b/>
        <w:lang w:eastAsia="zh-CN"/>
      </w:rPr>
      <w:t>长沙博大环保科技有限公司</w:t>
    </w:r>
    <w:r>
      <w:rPr>
        <w:b/>
      </w:rPr>
      <w:tab/>
    </w:r>
  </w:p>
  <w:p>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1"/>
      <w:rPr>
        <w:rFonts w:hint="eastAsia" w:eastAsia="宋体"/>
        <w:b/>
        <w:lang w:eastAsia="zh-CN"/>
      </w:rPr>
    </w:pPr>
    <w:r>
      <w:rPr>
        <w:rFonts w:hint="eastAsia"/>
        <w:b/>
        <w:lang w:eastAsia="zh-CN"/>
      </w:rPr>
      <w:t>长沙博大环保科技有限公司</w:t>
    </w:r>
  </w:p>
  <w:p>
    <w:pPr>
      <w:pStyle w:val="23"/>
      <w:ind w:firstLine="360"/>
      <w:jc w:val="center"/>
    </w:pPr>
    <w:r>
      <w:fldChar w:fldCharType="begin"/>
    </w:r>
    <w:r>
      <w:instrText xml:space="preserve"> PAGE   \* MERGEFORMAT </w:instrText>
    </w:r>
    <w:r>
      <w:fldChar w:fldCharType="separate"/>
    </w:r>
    <w:r>
      <w:rPr>
        <w:lang w:val="zh-CN"/>
      </w:rPr>
      <w:t>80</w:t>
    </w:r>
    <w:r>
      <w:fldChar w:fldCharType="end"/>
    </w:r>
  </w:p>
  <w:p>
    <w:pPr>
      <w:pStyle w:val="23"/>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w:fldChar w:fldCharType="begin"/>
    </w:r>
    <w:r>
      <w:instrText xml:space="preserve"> PAGE   \* MERGEFORMAT </w:instrText>
    </w:r>
    <w:r>
      <w:fldChar w:fldCharType="separate"/>
    </w:r>
    <w:r>
      <w:rPr>
        <w:lang w:val="zh-CN"/>
      </w:rPr>
      <w:t>190</w:t>
    </w:r>
    <w:r>
      <w:fldChar w:fldCharType="end"/>
    </w:r>
  </w:p>
  <w:p>
    <w:pPr>
      <w:pStyle w:val="23"/>
      <w:ind w:firstLine="361"/>
      <w:rPr>
        <w:rFonts w:hint="eastAsia" w:eastAsia="宋体"/>
        <w:b/>
        <w:lang w:eastAsia="zh-CN"/>
      </w:rPr>
    </w:pPr>
    <w:r>
      <w:rPr>
        <w:rFonts w:hint="eastAsia"/>
        <w:b/>
        <w:lang w:eastAsia="zh-CN"/>
      </w:rPr>
      <w:t>长沙博大环保科技有限公司</w:t>
    </w:r>
  </w:p>
  <w:p>
    <w:pPr>
      <w:pStyle w:val="2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480"/>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1"/>
      <w:rPr>
        <w:b/>
      </w:rPr>
    </w:pPr>
    <w:r>
      <w:rPr>
        <w:rFonts w:hint="eastAsia"/>
        <w:b/>
        <w:lang w:eastAsia="zh-CN"/>
      </w:rPr>
      <w:t>湖南永顺经济开发区猛洞河产业园污水处理厂建设项目</w:t>
    </w:r>
    <w:r>
      <w:rPr>
        <w:rFonts w:hint="eastAsia"/>
        <w:b/>
      </w:rPr>
      <w:t>环境影响报告书</w:t>
    </w:r>
  </w:p>
  <w:p>
    <w:pPr>
      <w:ind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1"/>
    </w:pPr>
    <w:r>
      <w:rPr>
        <w:rFonts w:hint="eastAsia"/>
        <w:b/>
        <w:lang w:eastAsia="zh-CN"/>
      </w:rPr>
      <w:t>湖南永顺经济开发区猛洞河产业园污水处理厂建设项目</w:t>
    </w:r>
    <w:r>
      <w:rPr>
        <w:rFonts w:hint="eastAsia"/>
        <w:b/>
      </w:rPr>
      <w:t>环境影响报告书</w:t>
    </w:r>
  </w:p>
  <w:p>
    <w:pPr>
      <w:ind w:firstLine="361"/>
      <w:jc w:val="center"/>
      <w:rPr>
        <w:b/>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0A2527"/>
    <w:multiLevelType w:val="singleLevel"/>
    <w:tmpl w:val="940A2527"/>
    <w:lvl w:ilvl="0" w:tentative="0">
      <w:start w:val="1"/>
      <w:numFmt w:val="decimal"/>
      <w:suff w:val="nothing"/>
      <w:lvlText w:val="（%1）"/>
      <w:lvlJc w:val="left"/>
    </w:lvl>
  </w:abstractNum>
  <w:abstractNum w:abstractNumId="1">
    <w:nsid w:val="CBF4BBA9"/>
    <w:multiLevelType w:val="singleLevel"/>
    <w:tmpl w:val="CBF4BBA9"/>
    <w:lvl w:ilvl="0" w:tentative="0">
      <w:start w:val="1"/>
      <w:numFmt w:val="chineseCounting"/>
      <w:suff w:val="nothing"/>
      <w:lvlText w:val="%1、"/>
      <w:lvlJc w:val="left"/>
      <w:rPr>
        <w:rFonts w:hint="eastAsia"/>
      </w:rPr>
    </w:lvl>
  </w:abstractNum>
  <w:abstractNum w:abstractNumId="2">
    <w:nsid w:val="CD265C5A"/>
    <w:multiLevelType w:val="singleLevel"/>
    <w:tmpl w:val="CD265C5A"/>
    <w:lvl w:ilvl="0" w:tentative="0">
      <w:start w:val="8"/>
      <w:numFmt w:val="decimal"/>
      <w:suff w:val="space"/>
      <w:lvlText w:val="第%1章"/>
      <w:lvlJc w:val="left"/>
    </w:lvl>
  </w:abstractNum>
  <w:abstractNum w:abstractNumId="3">
    <w:nsid w:val="D60294BD"/>
    <w:multiLevelType w:val="singleLevel"/>
    <w:tmpl w:val="D60294BD"/>
    <w:lvl w:ilvl="0" w:tentative="0">
      <w:start w:val="1"/>
      <w:numFmt w:val="lowerLetter"/>
      <w:suff w:val="nothing"/>
      <w:lvlText w:val="%1、"/>
      <w:lvlJc w:val="left"/>
    </w:lvl>
  </w:abstractNum>
  <w:abstractNum w:abstractNumId="4">
    <w:nsid w:val="FCE9738F"/>
    <w:multiLevelType w:val="singleLevel"/>
    <w:tmpl w:val="FCE9738F"/>
    <w:lvl w:ilvl="0" w:tentative="0">
      <w:start w:val="2"/>
      <w:numFmt w:val="decimal"/>
      <w:suff w:val="nothing"/>
      <w:lvlText w:val="%1）"/>
      <w:lvlJc w:val="left"/>
    </w:lvl>
  </w:abstractNum>
  <w:abstractNum w:abstractNumId="5">
    <w:nsid w:val="1FC1A52B"/>
    <w:multiLevelType w:val="singleLevel"/>
    <w:tmpl w:val="1FC1A52B"/>
    <w:lvl w:ilvl="0" w:tentative="0">
      <w:start w:val="1"/>
      <w:numFmt w:val="decimal"/>
      <w:suff w:val="nothing"/>
      <w:lvlText w:val="%1、"/>
      <w:lvlJc w:val="left"/>
    </w:lvl>
  </w:abstractNum>
  <w:abstractNum w:abstractNumId="6">
    <w:nsid w:val="4F615FBE"/>
    <w:multiLevelType w:val="singleLevel"/>
    <w:tmpl w:val="4F615FBE"/>
    <w:lvl w:ilvl="0" w:tentative="0">
      <w:start w:val="1"/>
      <w:numFmt w:val="decimal"/>
      <w:suff w:val="nothing"/>
      <w:lvlText w:val="%1、"/>
      <w:lvlJc w:val="left"/>
    </w:lvl>
  </w:abstractNum>
  <w:num w:numId="1">
    <w:abstractNumId w:val="1"/>
  </w:num>
  <w:num w:numId="2">
    <w:abstractNumId w:val="5"/>
  </w:num>
  <w:num w:numId="3">
    <w:abstractNumId w:val="4"/>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isplayBackgroundShape w:val="1"/>
  <w:bordersDoNotSurroundHeader w:val="0"/>
  <w:bordersDoNotSurroundFooter w:val="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kNjc5MjUwZGNkYTRkZDRhNGNiZmU3MGE0MGUwZTcifQ=="/>
  </w:docVars>
  <w:rsids>
    <w:rsidRoot w:val="009F1E8F"/>
    <w:rsid w:val="000021AE"/>
    <w:rsid w:val="00003245"/>
    <w:rsid w:val="000048C2"/>
    <w:rsid w:val="00005381"/>
    <w:rsid w:val="000057E5"/>
    <w:rsid w:val="0000667B"/>
    <w:rsid w:val="000076D7"/>
    <w:rsid w:val="000103B8"/>
    <w:rsid w:val="0001044D"/>
    <w:rsid w:val="000105B3"/>
    <w:rsid w:val="00010EA7"/>
    <w:rsid w:val="00011D42"/>
    <w:rsid w:val="00012DDD"/>
    <w:rsid w:val="00013260"/>
    <w:rsid w:val="00014D84"/>
    <w:rsid w:val="00015FB9"/>
    <w:rsid w:val="0001676A"/>
    <w:rsid w:val="00016CDD"/>
    <w:rsid w:val="00017736"/>
    <w:rsid w:val="000201FA"/>
    <w:rsid w:val="00021CFA"/>
    <w:rsid w:val="00021D60"/>
    <w:rsid w:val="00023338"/>
    <w:rsid w:val="00024F3A"/>
    <w:rsid w:val="00025180"/>
    <w:rsid w:val="00025940"/>
    <w:rsid w:val="00026366"/>
    <w:rsid w:val="00026849"/>
    <w:rsid w:val="0002716D"/>
    <w:rsid w:val="000274C6"/>
    <w:rsid w:val="00027925"/>
    <w:rsid w:val="00030A2A"/>
    <w:rsid w:val="00030ACE"/>
    <w:rsid w:val="00030FA9"/>
    <w:rsid w:val="00031000"/>
    <w:rsid w:val="000310AD"/>
    <w:rsid w:val="00031390"/>
    <w:rsid w:val="00031F33"/>
    <w:rsid w:val="00031FCA"/>
    <w:rsid w:val="00032697"/>
    <w:rsid w:val="00033236"/>
    <w:rsid w:val="000343C0"/>
    <w:rsid w:val="000348BD"/>
    <w:rsid w:val="00034DAE"/>
    <w:rsid w:val="000368BC"/>
    <w:rsid w:val="0003786A"/>
    <w:rsid w:val="000379D7"/>
    <w:rsid w:val="00040397"/>
    <w:rsid w:val="000403DF"/>
    <w:rsid w:val="000421EA"/>
    <w:rsid w:val="000426E8"/>
    <w:rsid w:val="00043FBE"/>
    <w:rsid w:val="000442E6"/>
    <w:rsid w:val="0004494D"/>
    <w:rsid w:val="00044FA3"/>
    <w:rsid w:val="00045359"/>
    <w:rsid w:val="000453A0"/>
    <w:rsid w:val="00046087"/>
    <w:rsid w:val="00046104"/>
    <w:rsid w:val="00047AA6"/>
    <w:rsid w:val="00047F9C"/>
    <w:rsid w:val="00050D5A"/>
    <w:rsid w:val="00050F7D"/>
    <w:rsid w:val="00051FD5"/>
    <w:rsid w:val="00053582"/>
    <w:rsid w:val="00054DE2"/>
    <w:rsid w:val="0005678C"/>
    <w:rsid w:val="000569DD"/>
    <w:rsid w:val="00056CE7"/>
    <w:rsid w:val="000572FB"/>
    <w:rsid w:val="00057A3A"/>
    <w:rsid w:val="00057E2E"/>
    <w:rsid w:val="00060225"/>
    <w:rsid w:val="00060BC0"/>
    <w:rsid w:val="00062207"/>
    <w:rsid w:val="00063A2C"/>
    <w:rsid w:val="00063A31"/>
    <w:rsid w:val="00063FF7"/>
    <w:rsid w:val="00064FA1"/>
    <w:rsid w:val="00065940"/>
    <w:rsid w:val="00065C0B"/>
    <w:rsid w:val="00066D5E"/>
    <w:rsid w:val="00067D33"/>
    <w:rsid w:val="00071472"/>
    <w:rsid w:val="00074139"/>
    <w:rsid w:val="00074E18"/>
    <w:rsid w:val="0007650F"/>
    <w:rsid w:val="000777F1"/>
    <w:rsid w:val="000801A9"/>
    <w:rsid w:val="0008055C"/>
    <w:rsid w:val="00081012"/>
    <w:rsid w:val="000815E9"/>
    <w:rsid w:val="000821A5"/>
    <w:rsid w:val="000821CF"/>
    <w:rsid w:val="00082620"/>
    <w:rsid w:val="00082B1E"/>
    <w:rsid w:val="000832FE"/>
    <w:rsid w:val="00083477"/>
    <w:rsid w:val="00084365"/>
    <w:rsid w:val="00084599"/>
    <w:rsid w:val="000849F3"/>
    <w:rsid w:val="00085171"/>
    <w:rsid w:val="0008525E"/>
    <w:rsid w:val="00086751"/>
    <w:rsid w:val="00086CB8"/>
    <w:rsid w:val="000873D5"/>
    <w:rsid w:val="00091C7E"/>
    <w:rsid w:val="000922C9"/>
    <w:rsid w:val="00093354"/>
    <w:rsid w:val="00094833"/>
    <w:rsid w:val="0009502F"/>
    <w:rsid w:val="0009567B"/>
    <w:rsid w:val="00095B1D"/>
    <w:rsid w:val="00095C8D"/>
    <w:rsid w:val="0009606C"/>
    <w:rsid w:val="00097575"/>
    <w:rsid w:val="00097D52"/>
    <w:rsid w:val="000A0295"/>
    <w:rsid w:val="000A03E6"/>
    <w:rsid w:val="000A0905"/>
    <w:rsid w:val="000A0C00"/>
    <w:rsid w:val="000A0DEB"/>
    <w:rsid w:val="000A1A9E"/>
    <w:rsid w:val="000A25BF"/>
    <w:rsid w:val="000A29D2"/>
    <w:rsid w:val="000A2D05"/>
    <w:rsid w:val="000A4290"/>
    <w:rsid w:val="000A4963"/>
    <w:rsid w:val="000A5899"/>
    <w:rsid w:val="000A65E7"/>
    <w:rsid w:val="000A76EB"/>
    <w:rsid w:val="000A77E1"/>
    <w:rsid w:val="000B0780"/>
    <w:rsid w:val="000B09B3"/>
    <w:rsid w:val="000B2318"/>
    <w:rsid w:val="000B256C"/>
    <w:rsid w:val="000B3799"/>
    <w:rsid w:val="000B3ADA"/>
    <w:rsid w:val="000B3D5E"/>
    <w:rsid w:val="000B425E"/>
    <w:rsid w:val="000B44E0"/>
    <w:rsid w:val="000B48B6"/>
    <w:rsid w:val="000B5C9A"/>
    <w:rsid w:val="000B675F"/>
    <w:rsid w:val="000B6E3A"/>
    <w:rsid w:val="000B7288"/>
    <w:rsid w:val="000C0B2A"/>
    <w:rsid w:val="000C167F"/>
    <w:rsid w:val="000C1B36"/>
    <w:rsid w:val="000C27F8"/>
    <w:rsid w:val="000C2920"/>
    <w:rsid w:val="000C3086"/>
    <w:rsid w:val="000C383A"/>
    <w:rsid w:val="000C43BC"/>
    <w:rsid w:val="000C6325"/>
    <w:rsid w:val="000C6CBC"/>
    <w:rsid w:val="000D0CE5"/>
    <w:rsid w:val="000D1003"/>
    <w:rsid w:val="000D12D2"/>
    <w:rsid w:val="000D14D1"/>
    <w:rsid w:val="000D1BFF"/>
    <w:rsid w:val="000D23C7"/>
    <w:rsid w:val="000D2A32"/>
    <w:rsid w:val="000D3667"/>
    <w:rsid w:val="000D4363"/>
    <w:rsid w:val="000D4443"/>
    <w:rsid w:val="000D55DF"/>
    <w:rsid w:val="000D5BAB"/>
    <w:rsid w:val="000D6498"/>
    <w:rsid w:val="000D65EC"/>
    <w:rsid w:val="000D6D9B"/>
    <w:rsid w:val="000D73A8"/>
    <w:rsid w:val="000D78FE"/>
    <w:rsid w:val="000D7DFB"/>
    <w:rsid w:val="000E074E"/>
    <w:rsid w:val="000E1418"/>
    <w:rsid w:val="000E1C09"/>
    <w:rsid w:val="000E1DA6"/>
    <w:rsid w:val="000E3583"/>
    <w:rsid w:val="000E3DDD"/>
    <w:rsid w:val="000E524D"/>
    <w:rsid w:val="000E5A06"/>
    <w:rsid w:val="000E5D27"/>
    <w:rsid w:val="000E6025"/>
    <w:rsid w:val="000E6732"/>
    <w:rsid w:val="000E6DBF"/>
    <w:rsid w:val="000E76F1"/>
    <w:rsid w:val="000F0BC8"/>
    <w:rsid w:val="000F17A8"/>
    <w:rsid w:val="000F1971"/>
    <w:rsid w:val="000F1B43"/>
    <w:rsid w:val="000F1D06"/>
    <w:rsid w:val="000F1DAD"/>
    <w:rsid w:val="000F1FF2"/>
    <w:rsid w:val="000F2681"/>
    <w:rsid w:val="000F38B3"/>
    <w:rsid w:val="000F3AC2"/>
    <w:rsid w:val="000F43DC"/>
    <w:rsid w:val="000F46A9"/>
    <w:rsid w:val="000F52BE"/>
    <w:rsid w:val="000F52D3"/>
    <w:rsid w:val="000F59BD"/>
    <w:rsid w:val="000F59F7"/>
    <w:rsid w:val="000F6D08"/>
    <w:rsid w:val="000F6F3D"/>
    <w:rsid w:val="000F7B54"/>
    <w:rsid w:val="000F7E57"/>
    <w:rsid w:val="00100250"/>
    <w:rsid w:val="00100D94"/>
    <w:rsid w:val="00101555"/>
    <w:rsid w:val="00102AF9"/>
    <w:rsid w:val="00102FEF"/>
    <w:rsid w:val="00103199"/>
    <w:rsid w:val="00103669"/>
    <w:rsid w:val="00104378"/>
    <w:rsid w:val="00105B2C"/>
    <w:rsid w:val="0010774B"/>
    <w:rsid w:val="00107849"/>
    <w:rsid w:val="00110097"/>
    <w:rsid w:val="00110A06"/>
    <w:rsid w:val="00110F1B"/>
    <w:rsid w:val="00111BAF"/>
    <w:rsid w:val="00112217"/>
    <w:rsid w:val="001139E8"/>
    <w:rsid w:val="00113DC8"/>
    <w:rsid w:val="0011408D"/>
    <w:rsid w:val="00115875"/>
    <w:rsid w:val="001159D9"/>
    <w:rsid w:val="00116088"/>
    <w:rsid w:val="001162AB"/>
    <w:rsid w:val="00117414"/>
    <w:rsid w:val="001176C1"/>
    <w:rsid w:val="00120710"/>
    <w:rsid w:val="001208A3"/>
    <w:rsid w:val="001211C1"/>
    <w:rsid w:val="0012148B"/>
    <w:rsid w:val="001228DF"/>
    <w:rsid w:val="001236B1"/>
    <w:rsid w:val="001238CC"/>
    <w:rsid w:val="00125296"/>
    <w:rsid w:val="001252FD"/>
    <w:rsid w:val="00125BA1"/>
    <w:rsid w:val="00126AE7"/>
    <w:rsid w:val="00126E1F"/>
    <w:rsid w:val="00130E82"/>
    <w:rsid w:val="001311B7"/>
    <w:rsid w:val="001313D2"/>
    <w:rsid w:val="00131A54"/>
    <w:rsid w:val="0013239A"/>
    <w:rsid w:val="00132B82"/>
    <w:rsid w:val="0013497C"/>
    <w:rsid w:val="00134B91"/>
    <w:rsid w:val="001364EE"/>
    <w:rsid w:val="001376AA"/>
    <w:rsid w:val="001408B5"/>
    <w:rsid w:val="001422C2"/>
    <w:rsid w:val="00142F5D"/>
    <w:rsid w:val="00143483"/>
    <w:rsid w:val="00143589"/>
    <w:rsid w:val="0014469C"/>
    <w:rsid w:val="00144F17"/>
    <w:rsid w:val="00145001"/>
    <w:rsid w:val="00145B17"/>
    <w:rsid w:val="0014619C"/>
    <w:rsid w:val="0014638D"/>
    <w:rsid w:val="00146629"/>
    <w:rsid w:val="00146973"/>
    <w:rsid w:val="00146A94"/>
    <w:rsid w:val="001475BF"/>
    <w:rsid w:val="00150B8B"/>
    <w:rsid w:val="00150CA0"/>
    <w:rsid w:val="001526E7"/>
    <w:rsid w:val="00153C65"/>
    <w:rsid w:val="0015472A"/>
    <w:rsid w:val="00155822"/>
    <w:rsid w:val="00155F81"/>
    <w:rsid w:val="001570B0"/>
    <w:rsid w:val="00157758"/>
    <w:rsid w:val="0016014E"/>
    <w:rsid w:val="00160674"/>
    <w:rsid w:val="00160957"/>
    <w:rsid w:val="001609A5"/>
    <w:rsid w:val="00161A06"/>
    <w:rsid w:val="00161E2D"/>
    <w:rsid w:val="00162AF0"/>
    <w:rsid w:val="001633E3"/>
    <w:rsid w:val="001641CB"/>
    <w:rsid w:val="00165A5E"/>
    <w:rsid w:val="001673E5"/>
    <w:rsid w:val="001673EF"/>
    <w:rsid w:val="0016756B"/>
    <w:rsid w:val="0016799C"/>
    <w:rsid w:val="00167BCF"/>
    <w:rsid w:val="00171E7F"/>
    <w:rsid w:val="00173533"/>
    <w:rsid w:val="00173D00"/>
    <w:rsid w:val="00173EB3"/>
    <w:rsid w:val="001745B2"/>
    <w:rsid w:val="001748D9"/>
    <w:rsid w:val="00177AF9"/>
    <w:rsid w:val="0018097E"/>
    <w:rsid w:val="00181F02"/>
    <w:rsid w:val="001822E4"/>
    <w:rsid w:val="00182A07"/>
    <w:rsid w:val="00183186"/>
    <w:rsid w:val="00183330"/>
    <w:rsid w:val="00183486"/>
    <w:rsid w:val="00183E27"/>
    <w:rsid w:val="0018406F"/>
    <w:rsid w:val="00187322"/>
    <w:rsid w:val="001876F7"/>
    <w:rsid w:val="00187826"/>
    <w:rsid w:val="00187854"/>
    <w:rsid w:val="00192EEF"/>
    <w:rsid w:val="00193EA0"/>
    <w:rsid w:val="001944FF"/>
    <w:rsid w:val="001946C4"/>
    <w:rsid w:val="00194B6E"/>
    <w:rsid w:val="001975FC"/>
    <w:rsid w:val="00197A60"/>
    <w:rsid w:val="00197A70"/>
    <w:rsid w:val="00197FB3"/>
    <w:rsid w:val="001A07EA"/>
    <w:rsid w:val="001A0A13"/>
    <w:rsid w:val="001A16AB"/>
    <w:rsid w:val="001A20A0"/>
    <w:rsid w:val="001A221E"/>
    <w:rsid w:val="001A31E9"/>
    <w:rsid w:val="001A3251"/>
    <w:rsid w:val="001A3353"/>
    <w:rsid w:val="001A3DA0"/>
    <w:rsid w:val="001A421E"/>
    <w:rsid w:val="001A6BDB"/>
    <w:rsid w:val="001A7132"/>
    <w:rsid w:val="001B1F8A"/>
    <w:rsid w:val="001B32AB"/>
    <w:rsid w:val="001B410D"/>
    <w:rsid w:val="001B4DEA"/>
    <w:rsid w:val="001B4E0B"/>
    <w:rsid w:val="001B5E03"/>
    <w:rsid w:val="001B6100"/>
    <w:rsid w:val="001B65CC"/>
    <w:rsid w:val="001B678E"/>
    <w:rsid w:val="001B67A2"/>
    <w:rsid w:val="001B7DFD"/>
    <w:rsid w:val="001C04BF"/>
    <w:rsid w:val="001C29E6"/>
    <w:rsid w:val="001C2DF1"/>
    <w:rsid w:val="001C3CC8"/>
    <w:rsid w:val="001C3FB7"/>
    <w:rsid w:val="001C4875"/>
    <w:rsid w:val="001C6AD8"/>
    <w:rsid w:val="001C70F9"/>
    <w:rsid w:val="001D00D6"/>
    <w:rsid w:val="001D04EC"/>
    <w:rsid w:val="001D1025"/>
    <w:rsid w:val="001D1086"/>
    <w:rsid w:val="001D1CC7"/>
    <w:rsid w:val="001D37AB"/>
    <w:rsid w:val="001D38A3"/>
    <w:rsid w:val="001D38D8"/>
    <w:rsid w:val="001D3BE5"/>
    <w:rsid w:val="001D3FA0"/>
    <w:rsid w:val="001D4C98"/>
    <w:rsid w:val="001D4FA9"/>
    <w:rsid w:val="001D5B0B"/>
    <w:rsid w:val="001D60F6"/>
    <w:rsid w:val="001D6408"/>
    <w:rsid w:val="001D751D"/>
    <w:rsid w:val="001D7BED"/>
    <w:rsid w:val="001E0776"/>
    <w:rsid w:val="001E0842"/>
    <w:rsid w:val="001E0B99"/>
    <w:rsid w:val="001E278D"/>
    <w:rsid w:val="001E2E00"/>
    <w:rsid w:val="001E438C"/>
    <w:rsid w:val="001E575D"/>
    <w:rsid w:val="001E6697"/>
    <w:rsid w:val="001E69F8"/>
    <w:rsid w:val="001E6D09"/>
    <w:rsid w:val="001F11D1"/>
    <w:rsid w:val="001F1D49"/>
    <w:rsid w:val="001F27F8"/>
    <w:rsid w:val="001F287B"/>
    <w:rsid w:val="001F3008"/>
    <w:rsid w:val="001F6ECD"/>
    <w:rsid w:val="001F703F"/>
    <w:rsid w:val="00201431"/>
    <w:rsid w:val="00202545"/>
    <w:rsid w:val="00202C7B"/>
    <w:rsid w:val="00202E11"/>
    <w:rsid w:val="002035FF"/>
    <w:rsid w:val="002042B0"/>
    <w:rsid w:val="00205086"/>
    <w:rsid w:val="00207F67"/>
    <w:rsid w:val="00212455"/>
    <w:rsid w:val="00214075"/>
    <w:rsid w:val="002143A2"/>
    <w:rsid w:val="00214DDF"/>
    <w:rsid w:val="00214E6F"/>
    <w:rsid w:val="002164AD"/>
    <w:rsid w:val="00216B1A"/>
    <w:rsid w:val="00217850"/>
    <w:rsid w:val="00220726"/>
    <w:rsid w:val="002209AD"/>
    <w:rsid w:val="00220E4B"/>
    <w:rsid w:val="00220F76"/>
    <w:rsid w:val="00221614"/>
    <w:rsid w:val="00222970"/>
    <w:rsid w:val="00224722"/>
    <w:rsid w:val="00224A21"/>
    <w:rsid w:val="00225B0A"/>
    <w:rsid w:val="00225C0E"/>
    <w:rsid w:val="0022629A"/>
    <w:rsid w:val="00226B3C"/>
    <w:rsid w:val="00227292"/>
    <w:rsid w:val="00227618"/>
    <w:rsid w:val="00230119"/>
    <w:rsid w:val="00230559"/>
    <w:rsid w:val="00231972"/>
    <w:rsid w:val="00232E3D"/>
    <w:rsid w:val="00233235"/>
    <w:rsid w:val="00233609"/>
    <w:rsid w:val="00233886"/>
    <w:rsid w:val="0023414E"/>
    <w:rsid w:val="0023664F"/>
    <w:rsid w:val="002379F5"/>
    <w:rsid w:val="00240D09"/>
    <w:rsid w:val="00243488"/>
    <w:rsid w:val="00243B87"/>
    <w:rsid w:val="00246205"/>
    <w:rsid w:val="00250999"/>
    <w:rsid w:val="00250AE4"/>
    <w:rsid w:val="00250CB9"/>
    <w:rsid w:val="002522AB"/>
    <w:rsid w:val="00252D63"/>
    <w:rsid w:val="002534FE"/>
    <w:rsid w:val="0025415F"/>
    <w:rsid w:val="00254738"/>
    <w:rsid w:val="00254BD7"/>
    <w:rsid w:val="002550BB"/>
    <w:rsid w:val="00257C4A"/>
    <w:rsid w:val="00257E7B"/>
    <w:rsid w:val="0026084D"/>
    <w:rsid w:val="00260C1E"/>
    <w:rsid w:val="0026179F"/>
    <w:rsid w:val="0026238A"/>
    <w:rsid w:val="00262456"/>
    <w:rsid w:val="00262872"/>
    <w:rsid w:val="0026341D"/>
    <w:rsid w:val="002648B4"/>
    <w:rsid w:val="002649A1"/>
    <w:rsid w:val="002649A9"/>
    <w:rsid w:val="00264BB9"/>
    <w:rsid w:val="00264EA6"/>
    <w:rsid w:val="002650FF"/>
    <w:rsid w:val="00265DB8"/>
    <w:rsid w:val="00267D91"/>
    <w:rsid w:val="00270865"/>
    <w:rsid w:val="00270FA8"/>
    <w:rsid w:val="002712A9"/>
    <w:rsid w:val="002727BF"/>
    <w:rsid w:val="002743ED"/>
    <w:rsid w:val="00274478"/>
    <w:rsid w:val="00274BFC"/>
    <w:rsid w:val="00274D1A"/>
    <w:rsid w:val="002753C4"/>
    <w:rsid w:val="00275EBA"/>
    <w:rsid w:val="00276852"/>
    <w:rsid w:val="00277D40"/>
    <w:rsid w:val="00280739"/>
    <w:rsid w:val="00280C94"/>
    <w:rsid w:val="0028189F"/>
    <w:rsid w:val="00281A96"/>
    <w:rsid w:val="00282C41"/>
    <w:rsid w:val="00283038"/>
    <w:rsid w:val="002831EA"/>
    <w:rsid w:val="00283D5B"/>
    <w:rsid w:val="00283ED2"/>
    <w:rsid w:val="002868B1"/>
    <w:rsid w:val="00286BC8"/>
    <w:rsid w:val="00286EF5"/>
    <w:rsid w:val="00287A8F"/>
    <w:rsid w:val="00287E92"/>
    <w:rsid w:val="0029001D"/>
    <w:rsid w:val="002900D3"/>
    <w:rsid w:val="00290437"/>
    <w:rsid w:val="002912C4"/>
    <w:rsid w:val="0029133F"/>
    <w:rsid w:val="00291945"/>
    <w:rsid w:val="00291B31"/>
    <w:rsid w:val="002923DD"/>
    <w:rsid w:val="00293FAE"/>
    <w:rsid w:val="002946CF"/>
    <w:rsid w:val="002952FD"/>
    <w:rsid w:val="00297231"/>
    <w:rsid w:val="0029742A"/>
    <w:rsid w:val="00297454"/>
    <w:rsid w:val="002A03DE"/>
    <w:rsid w:val="002A0758"/>
    <w:rsid w:val="002A0C26"/>
    <w:rsid w:val="002A0E2C"/>
    <w:rsid w:val="002A188E"/>
    <w:rsid w:val="002A1A13"/>
    <w:rsid w:val="002A259B"/>
    <w:rsid w:val="002A3AA8"/>
    <w:rsid w:val="002A415F"/>
    <w:rsid w:val="002A462F"/>
    <w:rsid w:val="002A463A"/>
    <w:rsid w:val="002A491B"/>
    <w:rsid w:val="002A53B1"/>
    <w:rsid w:val="002A5632"/>
    <w:rsid w:val="002A5AD6"/>
    <w:rsid w:val="002A68B3"/>
    <w:rsid w:val="002A6EDA"/>
    <w:rsid w:val="002A734D"/>
    <w:rsid w:val="002B34E5"/>
    <w:rsid w:val="002B5228"/>
    <w:rsid w:val="002B54F2"/>
    <w:rsid w:val="002B5691"/>
    <w:rsid w:val="002B6D8F"/>
    <w:rsid w:val="002B7377"/>
    <w:rsid w:val="002C0ACF"/>
    <w:rsid w:val="002C0FDC"/>
    <w:rsid w:val="002C18A9"/>
    <w:rsid w:val="002C1DE5"/>
    <w:rsid w:val="002C2A78"/>
    <w:rsid w:val="002C2ACA"/>
    <w:rsid w:val="002C3498"/>
    <w:rsid w:val="002C3BA2"/>
    <w:rsid w:val="002C3F37"/>
    <w:rsid w:val="002C40BF"/>
    <w:rsid w:val="002C467A"/>
    <w:rsid w:val="002C4800"/>
    <w:rsid w:val="002C4A4D"/>
    <w:rsid w:val="002C4C94"/>
    <w:rsid w:val="002C5905"/>
    <w:rsid w:val="002C7134"/>
    <w:rsid w:val="002D05FD"/>
    <w:rsid w:val="002D0856"/>
    <w:rsid w:val="002D0A0F"/>
    <w:rsid w:val="002D0F5C"/>
    <w:rsid w:val="002D123D"/>
    <w:rsid w:val="002D3339"/>
    <w:rsid w:val="002D3D28"/>
    <w:rsid w:val="002D3EF9"/>
    <w:rsid w:val="002D46B4"/>
    <w:rsid w:val="002D4B81"/>
    <w:rsid w:val="002D52FF"/>
    <w:rsid w:val="002D5AD9"/>
    <w:rsid w:val="002D6427"/>
    <w:rsid w:val="002D65F2"/>
    <w:rsid w:val="002D7069"/>
    <w:rsid w:val="002D74CF"/>
    <w:rsid w:val="002E12E1"/>
    <w:rsid w:val="002E18AA"/>
    <w:rsid w:val="002E1D04"/>
    <w:rsid w:val="002E2441"/>
    <w:rsid w:val="002E272B"/>
    <w:rsid w:val="002E3682"/>
    <w:rsid w:val="002E39DD"/>
    <w:rsid w:val="002E5BB2"/>
    <w:rsid w:val="002E5D67"/>
    <w:rsid w:val="002E7BF9"/>
    <w:rsid w:val="002F1AC8"/>
    <w:rsid w:val="002F20E1"/>
    <w:rsid w:val="002F22F6"/>
    <w:rsid w:val="002F2580"/>
    <w:rsid w:val="002F2BC1"/>
    <w:rsid w:val="002F3E19"/>
    <w:rsid w:val="002F44A1"/>
    <w:rsid w:val="002F481E"/>
    <w:rsid w:val="002F78C8"/>
    <w:rsid w:val="002F7BA1"/>
    <w:rsid w:val="0030005F"/>
    <w:rsid w:val="00301470"/>
    <w:rsid w:val="003017D6"/>
    <w:rsid w:val="00301C4D"/>
    <w:rsid w:val="00302A96"/>
    <w:rsid w:val="003047ED"/>
    <w:rsid w:val="00305605"/>
    <w:rsid w:val="00306C9D"/>
    <w:rsid w:val="00307324"/>
    <w:rsid w:val="00310F89"/>
    <w:rsid w:val="00312E64"/>
    <w:rsid w:val="00314826"/>
    <w:rsid w:val="00320123"/>
    <w:rsid w:val="003205E1"/>
    <w:rsid w:val="00321092"/>
    <w:rsid w:val="00323295"/>
    <w:rsid w:val="00323422"/>
    <w:rsid w:val="0032346A"/>
    <w:rsid w:val="00323BA1"/>
    <w:rsid w:val="003246C6"/>
    <w:rsid w:val="003249B7"/>
    <w:rsid w:val="0032537B"/>
    <w:rsid w:val="003301DD"/>
    <w:rsid w:val="00330DA2"/>
    <w:rsid w:val="00331486"/>
    <w:rsid w:val="0033292A"/>
    <w:rsid w:val="003331FC"/>
    <w:rsid w:val="0033331E"/>
    <w:rsid w:val="003339F5"/>
    <w:rsid w:val="0033461A"/>
    <w:rsid w:val="00334FF3"/>
    <w:rsid w:val="00335EBB"/>
    <w:rsid w:val="00336001"/>
    <w:rsid w:val="00336039"/>
    <w:rsid w:val="0034057F"/>
    <w:rsid w:val="00340810"/>
    <w:rsid w:val="00340B1F"/>
    <w:rsid w:val="00340BDB"/>
    <w:rsid w:val="00340D5B"/>
    <w:rsid w:val="00341E6B"/>
    <w:rsid w:val="003424EB"/>
    <w:rsid w:val="00342574"/>
    <w:rsid w:val="00342CE4"/>
    <w:rsid w:val="00342F39"/>
    <w:rsid w:val="003436EB"/>
    <w:rsid w:val="00343FEC"/>
    <w:rsid w:val="003442F0"/>
    <w:rsid w:val="00345580"/>
    <w:rsid w:val="0034629C"/>
    <w:rsid w:val="00346C21"/>
    <w:rsid w:val="003506E1"/>
    <w:rsid w:val="003512EA"/>
    <w:rsid w:val="00351436"/>
    <w:rsid w:val="0035194E"/>
    <w:rsid w:val="003531D5"/>
    <w:rsid w:val="00353E2B"/>
    <w:rsid w:val="00354D86"/>
    <w:rsid w:val="00355603"/>
    <w:rsid w:val="00355A89"/>
    <w:rsid w:val="0036002A"/>
    <w:rsid w:val="00360679"/>
    <w:rsid w:val="00360F08"/>
    <w:rsid w:val="0036240A"/>
    <w:rsid w:val="003649B8"/>
    <w:rsid w:val="00364C82"/>
    <w:rsid w:val="00365B55"/>
    <w:rsid w:val="00365D71"/>
    <w:rsid w:val="003665BF"/>
    <w:rsid w:val="0036705F"/>
    <w:rsid w:val="00367A04"/>
    <w:rsid w:val="00370377"/>
    <w:rsid w:val="003717F7"/>
    <w:rsid w:val="00371C8F"/>
    <w:rsid w:val="00371F08"/>
    <w:rsid w:val="0037238C"/>
    <w:rsid w:val="00372624"/>
    <w:rsid w:val="00372700"/>
    <w:rsid w:val="00372F04"/>
    <w:rsid w:val="003733E1"/>
    <w:rsid w:val="00373BCD"/>
    <w:rsid w:val="00374A09"/>
    <w:rsid w:val="0037522C"/>
    <w:rsid w:val="00375A78"/>
    <w:rsid w:val="00375BBF"/>
    <w:rsid w:val="0037620F"/>
    <w:rsid w:val="003770F6"/>
    <w:rsid w:val="0038077B"/>
    <w:rsid w:val="00380EC6"/>
    <w:rsid w:val="003815C3"/>
    <w:rsid w:val="0038188D"/>
    <w:rsid w:val="00382BAE"/>
    <w:rsid w:val="00382DEE"/>
    <w:rsid w:val="00383D6C"/>
    <w:rsid w:val="00385359"/>
    <w:rsid w:val="00385E8A"/>
    <w:rsid w:val="00387302"/>
    <w:rsid w:val="003875BB"/>
    <w:rsid w:val="00387637"/>
    <w:rsid w:val="00387992"/>
    <w:rsid w:val="00387BA8"/>
    <w:rsid w:val="003903F6"/>
    <w:rsid w:val="0039206E"/>
    <w:rsid w:val="003922A9"/>
    <w:rsid w:val="00392CFF"/>
    <w:rsid w:val="0039445F"/>
    <w:rsid w:val="003948C2"/>
    <w:rsid w:val="00395CEF"/>
    <w:rsid w:val="00396BD9"/>
    <w:rsid w:val="003973B7"/>
    <w:rsid w:val="00397A1F"/>
    <w:rsid w:val="003A0DDA"/>
    <w:rsid w:val="003A0EA8"/>
    <w:rsid w:val="003A11BE"/>
    <w:rsid w:val="003A1554"/>
    <w:rsid w:val="003A2BC6"/>
    <w:rsid w:val="003A2DDF"/>
    <w:rsid w:val="003A46B6"/>
    <w:rsid w:val="003A67C7"/>
    <w:rsid w:val="003A7835"/>
    <w:rsid w:val="003B0E4B"/>
    <w:rsid w:val="003B1537"/>
    <w:rsid w:val="003B5207"/>
    <w:rsid w:val="003B615B"/>
    <w:rsid w:val="003B71FD"/>
    <w:rsid w:val="003B79CA"/>
    <w:rsid w:val="003C1329"/>
    <w:rsid w:val="003C1727"/>
    <w:rsid w:val="003C1EE1"/>
    <w:rsid w:val="003C38C5"/>
    <w:rsid w:val="003C40E3"/>
    <w:rsid w:val="003C423C"/>
    <w:rsid w:val="003C42C0"/>
    <w:rsid w:val="003C4A12"/>
    <w:rsid w:val="003C4CFF"/>
    <w:rsid w:val="003C5031"/>
    <w:rsid w:val="003C5EBE"/>
    <w:rsid w:val="003C660A"/>
    <w:rsid w:val="003C6DAE"/>
    <w:rsid w:val="003C7139"/>
    <w:rsid w:val="003C7415"/>
    <w:rsid w:val="003C7464"/>
    <w:rsid w:val="003D0193"/>
    <w:rsid w:val="003D25C8"/>
    <w:rsid w:val="003D38FA"/>
    <w:rsid w:val="003D3D67"/>
    <w:rsid w:val="003D685D"/>
    <w:rsid w:val="003D6FAE"/>
    <w:rsid w:val="003D739D"/>
    <w:rsid w:val="003D75D6"/>
    <w:rsid w:val="003D7670"/>
    <w:rsid w:val="003D7D5F"/>
    <w:rsid w:val="003E01B6"/>
    <w:rsid w:val="003E03F4"/>
    <w:rsid w:val="003E0E8D"/>
    <w:rsid w:val="003E20B1"/>
    <w:rsid w:val="003E2579"/>
    <w:rsid w:val="003E37C3"/>
    <w:rsid w:val="003E4597"/>
    <w:rsid w:val="003E5AAD"/>
    <w:rsid w:val="003E61A0"/>
    <w:rsid w:val="003E62C1"/>
    <w:rsid w:val="003E64FE"/>
    <w:rsid w:val="003E7BAE"/>
    <w:rsid w:val="003F0084"/>
    <w:rsid w:val="003F046F"/>
    <w:rsid w:val="003F080C"/>
    <w:rsid w:val="003F0BC7"/>
    <w:rsid w:val="003F35AE"/>
    <w:rsid w:val="003F4AF3"/>
    <w:rsid w:val="003F5142"/>
    <w:rsid w:val="003F6021"/>
    <w:rsid w:val="003F644A"/>
    <w:rsid w:val="003F7416"/>
    <w:rsid w:val="003F7F99"/>
    <w:rsid w:val="004006BB"/>
    <w:rsid w:val="00400A50"/>
    <w:rsid w:val="00400B8D"/>
    <w:rsid w:val="00400BFA"/>
    <w:rsid w:val="00400EA5"/>
    <w:rsid w:val="00401569"/>
    <w:rsid w:val="00401B5E"/>
    <w:rsid w:val="00401CB9"/>
    <w:rsid w:val="00401EA0"/>
    <w:rsid w:val="00402522"/>
    <w:rsid w:val="00402CF9"/>
    <w:rsid w:val="0040309F"/>
    <w:rsid w:val="00404712"/>
    <w:rsid w:val="00404A7E"/>
    <w:rsid w:val="0040579F"/>
    <w:rsid w:val="004059CA"/>
    <w:rsid w:val="00405E60"/>
    <w:rsid w:val="00406C31"/>
    <w:rsid w:val="00406EAD"/>
    <w:rsid w:val="004113B1"/>
    <w:rsid w:val="00411B93"/>
    <w:rsid w:val="00411ECE"/>
    <w:rsid w:val="00412B7D"/>
    <w:rsid w:val="00412BDD"/>
    <w:rsid w:val="00413700"/>
    <w:rsid w:val="00413D80"/>
    <w:rsid w:val="00413F13"/>
    <w:rsid w:val="004145C9"/>
    <w:rsid w:val="00416712"/>
    <w:rsid w:val="00417466"/>
    <w:rsid w:val="00417D14"/>
    <w:rsid w:val="00420194"/>
    <w:rsid w:val="00420552"/>
    <w:rsid w:val="00421C0E"/>
    <w:rsid w:val="00422D34"/>
    <w:rsid w:val="00423EC7"/>
    <w:rsid w:val="004243E7"/>
    <w:rsid w:val="00425C5F"/>
    <w:rsid w:val="004262C2"/>
    <w:rsid w:val="00426D82"/>
    <w:rsid w:val="004305C0"/>
    <w:rsid w:val="00430C4B"/>
    <w:rsid w:val="004310CF"/>
    <w:rsid w:val="004317BF"/>
    <w:rsid w:val="0043201A"/>
    <w:rsid w:val="00432725"/>
    <w:rsid w:val="00433157"/>
    <w:rsid w:val="00433EA9"/>
    <w:rsid w:val="00435610"/>
    <w:rsid w:val="0043676F"/>
    <w:rsid w:val="00436A85"/>
    <w:rsid w:val="0043710A"/>
    <w:rsid w:val="00442750"/>
    <w:rsid w:val="00442C37"/>
    <w:rsid w:val="004433EE"/>
    <w:rsid w:val="00443B76"/>
    <w:rsid w:val="00443E72"/>
    <w:rsid w:val="004448EA"/>
    <w:rsid w:val="004448FD"/>
    <w:rsid w:val="00444A2E"/>
    <w:rsid w:val="00445830"/>
    <w:rsid w:val="00445933"/>
    <w:rsid w:val="00446160"/>
    <w:rsid w:val="004461BA"/>
    <w:rsid w:val="004467EB"/>
    <w:rsid w:val="00450A8E"/>
    <w:rsid w:val="00450FD3"/>
    <w:rsid w:val="00451035"/>
    <w:rsid w:val="004523E3"/>
    <w:rsid w:val="004548B9"/>
    <w:rsid w:val="00454E3E"/>
    <w:rsid w:val="00455557"/>
    <w:rsid w:val="0045596B"/>
    <w:rsid w:val="00455BA0"/>
    <w:rsid w:val="004563EC"/>
    <w:rsid w:val="00456CB9"/>
    <w:rsid w:val="00456E34"/>
    <w:rsid w:val="0045789F"/>
    <w:rsid w:val="004579BB"/>
    <w:rsid w:val="00461CD7"/>
    <w:rsid w:val="00462309"/>
    <w:rsid w:val="0046307D"/>
    <w:rsid w:val="0046364D"/>
    <w:rsid w:val="004649E7"/>
    <w:rsid w:val="004665B2"/>
    <w:rsid w:val="004665DF"/>
    <w:rsid w:val="004676C4"/>
    <w:rsid w:val="00467CAE"/>
    <w:rsid w:val="00470F9F"/>
    <w:rsid w:val="0047144C"/>
    <w:rsid w:val="0047144E"/>
    <w:rsid w:val="00471B9C"/>
    <w:rsid w:val="0047418E"/>
    <w:rsid w:val="0047522C"/>
    <w:rsid w:val="0048230E"/>
    <w:rsid w:val="004823F7"/>
    <w:rsid w:val="004828D5"/>
    <w:rsid w:val="004830B2"/>
    <w:rsid w:val="004833A7"/>
    <w:rsid w:val="00483847"/>
    <w:rsid w:val="00483D46"/>
    <w:rsid w:val="00485AB5"/>
    <w:rsid w:val="00485E2F"/>
    <w:rsid w:val="00486355"/>
    <w:rsid w:val="00486D07"/>
    <w:rsid w:val="004879B1"/>
    <w:rsid w:val="00487AFB"/>
    <w:rsid w:val="00491EB0"/>
    <w:rsid w:val="004941B7"/>
    <w:rsid w:val="0049681C"/>
    <w:rsid w:val="00497776"/>
    <w:rsid w:val="00497B47"/>
    <w:rsid w:val="00497DDE"/>
    <w:rsid w:val="004A0BD6"/>
    <w:rsid w:val="004A1043"/>
    <w:rsid w:val="004A136C"/>
    <w:rsid w:val="004A1D88"/>
    <w:rsid w:val="004A2AB7"/>
    <w:rsid w:val="004A2C2A"/>
    <w:rsid w:val="004A359C"/>
    <w:rsid w:val="004A405D"/>
    <w:rsid w:val="004A4B38"/>
    <w:rsid w:val="004A574C"/>
    <w:rsid w:val="004A6427"/>
    <w:rsid w:val="004A65CA"/>
    <w:rsid w:val="004B20FA"/>
    <w:rsid w:val="004B22B4"/>
    <w:rsid w:val="004B240E"/>
    <w:rsid w:val="004B2847"/>
    <w:rsid w:val="004B309B"/>
    <w:rsid w:val="004B44A8"/>
    <w:rsid w:val="004B4959"/>
    <w:rsid w:val="004B55EC"/>
    <w:rsid w:val="004B7166"/>
    <w:rsid w:val="004B7791"/>
    <w:rsid w:val="004B7837"/>
    <w:rsid w:val="004B7A68"/>
    <w:rsid w:val="004C01C2"/>
    <w:rsid w:val="004C02B9"/>
    <w:rsid w:val="004C06B3"/>
    <w:rsid w:val="004C13FD"/>
    <w:rsid w:val="004C17E5"/>
    <w:rsid w:val="004C22C4"/>
    <w:rsid w:val="004D223E"/>
    <w:rsid w:val="004D4517"/>
    <w:rsid w:val="004D4D26"/>
    <w:rsid w:val="004D55B7"/>
    <w:rsid w:val="004D5E34"/>
    <w:rsid w:val="004D62E8"/>
    <w:rsid w:val="004D6630"/>
    <w:rsid w:val="004D6752"/>
    <w:rsid w:val="004D70A9"/>
    <w:rsid w:val="004E04EF"/>
    <w:rsid w:val="004E062B"/>
    <w:rsid w:val="004E085D"/>
    <w:rsid w:val="004E3807"/>
    <w:rsid w:val="004E381C"/>
    <w:rsid w:val="004E44D6"/>
    <w:rsid w:val="004E5AED"/>
    <w:rsid w:val="004E7632"/>
    <w:rsid w:val="004E7988"/>
    <w:rsid w:val="004E7A97"/>
    <w:rsid w:val="004E7D2B"/>
    <w:rsid w:val="004E7F03"/>
    <w:rsid w:val="004F09A2"/>
    <w:rsid w:val="004F19E7"/>
    <w:rsid w:val="004F1DCE"/>
    <w:rsid w:val="004F2F47"/>
    <w:rsid w:val="004F3077"/>
    <w:rsid w:val="004F6247"/>
    <w:rsid w:val="004F728A"/>
    <w:rsid w:val="005014FC"/>
    <w:rsid w:val="00501AB5"/>
    <w:rsid w:val="00501AE7"/>
    <w:rsid w:val="00503D7B"/>
    <w:rsid w:val="0050421A"/>
    <w:rsid w:val="00504745"/>
    <w:rsid w:val="00504F4E"/>
    <w:rsid w:val="00505BD4"/>
    <w:rsid w:val="00506818"/>
    <w:rsid w:val="00506BAC"/>
    <w:rsid w:val="00507957"/>
    <w:rsid w:val="00511C69"/>
    <w:rsid w:val="00511C8B"/>
    <w:rsid w:val="0051249C"/>
    <w:rsid w:val="00513A36"/>
    <w:rsid w:val="00515449"/>
    <w:rsid w:val="00517891"/>
    <w:rsid w:val="005203D6"/>
    <w:rsid w:val="00520867"/>
    <w:rsid w:val="005213A2"/>
    <w:rsid w:val="00521990"/>
    <w:rsid w:val="00523150"/>
    <w:rsid w:val="0052454A"/>
    <w:rsid w:val="00524A65"/>
    <w:rsid w:val="00526719"/>
    <w:rsid w:val="00526AB3"/>
    <w:rsid w:val="00530F0F"/>
    <w:rsid w:val="005339FF"/>
    <w:rsid w:val="00533ED7"/>
    <w:rsid w:val="005340A1"/>
    <w:rsid w:val="0053449A"/>
    <w:rsid w:val="00535D9C"/>
    <w:rsid w:val="0053701A"/>
    <w:rsid w:val="00537DEA"/>
    <w:rsid w:val="00541ED4"/>
    <w:rsid w:val="00542872"/>
    <w:rsid w:val="00542CDC"/>
    <w:rsid w:val="00543C7C"/>
    <w:rsid w:val="00544DF3"/>
    <w:rsid w:val="00545D4C"/>
    <w:rsid w:val="005470D8"/>
    <w:rsid w:val="0054732C"/>
    <w:rsid w:val="00547CD3"/>
    <w:rsid w:val="00547F16"/>
    <w:rsid w:val="005507F8"/>
    <w:rsid w:val="00551BA0"/>
    <w:rsid w:val="005535D1"/>
    <w:rsid w:val="005538C8"/>
    <w:rsid w:val="00553F0B"/>
    <w:rsid w:val="00555859"/>
    <w:rsid w:val="0055585A"/>
    <w:rsid w:val="005568E0"/>
    <w:rsid w:val="005604A9"/>
    <w:rsid w:val="00560876"/>
    <w:rsid w:val="00560A98"/>
    <w:rsid w:val="00560C79"/>
    <w:rsid w:val="0056140A"/>
    <w:rsid w:val="005618FE"/>
    <w:rsid w:val="00564A4F"/>
    <w:rsid w:val="005659A1"/>
    <w:rsid w:val="00565B69"/>
    <w:rsid w:val="0056610A"/>
    <w:rsid w:val="005663D1"/>
    <w:rsid w:val="00567744"/>
    <w:rsid w:val="00567E95"/>
    <w:rsid w:val="00570D8D"/>
    <w:rsid w:val="005710DA"/>
    <w:rsid w:val="005738F3"/>
    <w:rsid w:val="0057417A"/>
    <w:rsid w:val="005741E3"/>
    <w:rsid w:val="00574727"/>
    <w:rsid w:val="0057498A"/>
    <w:rsid w:val="00575278"/>
    <w:rsid w:val="005754AB"/>
    <w:rsid w:val="00576017"/>
    <w:rsid w:val="00577F8C"/>
    <w:rsid w:val="005801FC"/>
    <w:rsid w:val="005808B4"/>
    <w:rsid w:val="00581F71"/>
    <w:rsid w:val="005852E7"/>
    <w:rsid w:val="00586656"/>
    <w:rsid w:val="0058750C"/>
    <w:rsid w:val="00587534"/>
    <w:rsid w:val="00591C30"/>
    <w:rsid w:val="00591C8F"/>
    <w:rsid w:val="00592430"/>
    <w:rsid w:val="00594091"/>
    <w:rsid w:val="0059459C"/>
    <w:rsid w:val="0059480C"/>
    <w:rsid w:val="00594BC4"/>
    <w:rsid w:val="00596D16"/>
    <w:rsid w:val="005A1165"/>
    <w:rsid w:val="005A1A22"/>
    <w:rsid w:val="005A1EFB"/>
    <w:rsid w:val="005A3221"/>
    <w:rsid w:val="005A3BE6"/>
    <w:rsid w:val="005A3C85"/>
    <w:rsid w:val="005A4158"/>
    <w:rsid w:val="005A51CA"/>
    <w:rsid w:val="005A575C"/>
    <w:rsid w:val="005A60F0"/>
    <w:rsid w:val="005A61A8"/>
    <w:rsid w:val="005B1629"/>
    <w:rsid w:val="005B20E8"/>
    <w:rsid w:val="005B2F58"/>
    <w:rsid w:val="005B3962"/>
    <w:rsid w:val="005B5316"/>
    <w:rsid w:val="005B55EC"/>
    <w:rsid w:val="005B63A1"/>
    <w:rsid w:val="005B73A0"/>
    <w:rsid w:val="005B7B39"/>
    <w:rsid w:val="005C1598"/>
    <w:rsid w:val="005C19D3"/>
    <w:rsid w:val="005C20C4"/>
    <w:rsid w:val="005C28FF"/>
    <w:rsid w:val="005C401B"/>
    <w:rsid w:val="005C455D"/>
    <w:rsid w:val="005C46AE"/>
    <w:rsid w:val="005C55B8"/>
    <w:rsid w:val="005C6693"/>
    <w:rsid w:val="005C6CF1"/>
    <w:rsid w:val="005C7EC4"/>
    <w:rsid w:val="005D08A7"/>
    <w:rsid w:val="005D0D2F"/>
    <w:rsid w:val="005D10C9"/>
    <w:rsid w:val="005D2D93"/>
    <w:rsid w:val="005D3134"/>
    <w:rsid w:val="005D4457"/>
    <w:rsid w:val="005D493F"/>
    <w:rsid w:val="005D4E2E"/>
    <w:rsid w:val="005D6F60"/>
    <w:rsid w:val="005E0EAA"/>
    <w:rsid w:val="005E1796"/>
    <w:rsid w:val="005E1FD4"/>
    <w:rsid w:val="005E4767"/>
    <w:rsid w:val="005E47E9"/>
    <w:rsid w:val="005E52BC"/>
    <w:rsid w:val="005E5FE1"/>
    <w:rsid w:val="005E6181"/>
    <w:rsid w:val="005E7044"/>
    <w:rsid w:val="005E73C2"/>
    <w:rsid w:val="005E78D6"/>
    <w:rsid w:val="005E7A1D"/>
    <w:rsid w:val="005F025D"/>
    <w:rsid w:val="005F05A3"/>
    <w:rsid w:val="005F0F59"/>
    <w:rsid w:val="005F17EA"/>
    <w:rsid w:val="005F2D9E"/>
    <w:rsid w:val="005F34B6"/>
    <w:rsid w:val="005F3DAD"/>
    <w:rsid w:val="005F502E"/>
    <w:rsid w:val="005F6BCF"/>
    <w:rsid w:val="00600549"/>
    <w:rsid w:val="00600759"/>
    <w:rsid w:val="006008D5"/>
    <w:rsid w:val="00600FAA"/>
    <w:rsid w:val="00600FB7"/>
    <w:rsid w:val="00601149"/>
    <w:rsid w:val="006026CF"/>
    <w:rsid w:val="006027AA"/>
    <w:rsid w:val="00603A1D"/>
    <w:rsid w:val="00603BDC"/>
    <w:rsid w:val="00603FE0"/>
    <w:rsid w:val="0060471F"/>
    <w:rsid w:val="00604F7A"/>
    <w:rsid w:val="00605D83"/>
    <w:rsid w:val="006060D1"/>
    <w:rsid w:val="00606255"/>
    <w:rsid w:val="00606953"/>
    <w:rsid w:val="00607CC3"/>
    <w:rsid w:val="00607EEF"/>
    <w:rsid w:val="006102BE"/>
    <w:rsid w:val="00611083"/>
    <w:rsid w:val="0061166C"/>
    <w:rsid w:val="006117CF"/>
    <w:rsid w:val="0061225E"/>
    <w:rsid w:val="0061264D"/>
    <w:rsid w:val="006128D6"/>
    <w:rsid w:val="0061329C"/>
    <w:rsid w:val="00613B2A"/>
    <w:rsid w:val="0061409A"/>
    <w:rsid w:val="00614E88"/>
    <w:rsid w:val="0061512C"/>
    <w:rsid w:val="00615511"/>
    <w:rsid w:val="00616396"/>
    <w:rsid w:val="00616726"/>
    <w:rsid w:val="006170AE"/>
    <w:rsid w:val="00617755"/>
    <w:rsid w:val="00617DE6"/>
    <w:rsid w:val="00620090"/>
    <w:rsid w:val="006201FD"/>
    <w:rsid w:val="006207B5"/>
    <w:rsid w:val="0062124F"/>
    <w:rsid w:val="00622909"/>
    <w:rsid w:val="006241D4"/>
    <w:rsid w:val="0062427E"/>
    <w:rsid w:val="00626596"/>
    <w:rsid w:val="006303D7"/>
    <w:rsid w:val="0063083C"/>
    <w:rsid w:val="00632123"/>
    <w:rsid w:val="00632227"/>
    <w:rsid w:val="00632C5F"/>
    <w:rsid w:val="00633C15"/>
    <w:rsid w:val="00634570"/>
    <w:rsid w:val="00634AF4"/>
    <w:rsid w:val="00635425"/>
    <w:rsid w:val="00635F8F"/>
    <w:rsid w:val="00636D54"/>
    <w:rsid w:val="00637733"/>
    <w:rsid w:val="00640A52"/>
    <w:rsid w:val="00640B68"/>
    <w:rsid w:val="00641E34"/>
    <w:rsid w:val="00641FE3"/>
    <w:rsid w:val="00642B0D"/>
    <w:rsid w:val="00642ECF"/>
    <w:rsid w:val="006439F1"/>
    <w:rsid w:val="006451FC"/>
    <w:rsid w:val="00645731"/>
    <w:rsid w:val="00646B9F"/>
    <w:rsid w:val="006476DA"/>
    <w:rsid w:val="00647883"/>
    <w:rsid w:val="00651125"/>
    <w:rsid w:val="006512BC"/>
    <w:rsid w:val="00651D8B"/>
    <w:rsid w:val="00652A37"/>
    <w:rsid w:val="00652ABD"/>
    <w:rsid w:val="00653819"/>
    <w:rsid w:val="00653C0C"/>
    <w:rsid w:val="00653CCF"/>
    <w:rsid w:val="00653D22"/>
    <w:rsid w:val="00653F30"/>
    <w:rsid w:val="00655B6C"/>
    <w:rsid w:val="00656334"/>
    <w:rsid w:val="00656687"/>
    <w:rsid w:val="00656B6A"/>
    <w:rsid w:val="00657D07"/>
    <w:rsid w:val="00660341"/>
    <w:rsid w:val="006618B1"/>
    <w:rsid w:val="00662555"/>
    <w:rsid w:val="00664622"/>
    <w:rsid w:val="00665459"/>
    <w:rsid w:val="0066568D"/>
    <w:rsid w:val="00665742"/>
    <w:rsid w:val="006663D8"/>
    <w:rsid w:val="00667639"/>
    <w:rsid w:val="0067150E"/>
    <w:rsid w:val="0067176D"/>
    <w:rsid w:val="006738F1"/>
    <w:rsid w:val="00673DF9"/>
    <w:rsid w:val="00674109"/>
    <w:rsid w:val="00675BF7"/>
    <w:rsid w:val="00675E6D"/>
    <w:rsid w:val="0067631C"/>
    <w:rsid w:val="00676A11"/>
    <w:rsid w:val="00676D59"/>
    <w:rsid w:val="006775C1"/>
    <w:rsid w:val="00681BE6"/>
    <w:rsid w:val="00681C03"/>
    <w:rsid w:val="00682479"/>
    <w:rsid w:val="00682AAF"/>
    <w:rsid w:val="00683194"/>
    <w:rsid w:val="006832B2"/>
    <w:rsid w:val="00683A8B"/>
    <w:rsid w:val="006843E8"/>
    <w:rsid w:val="00686C01"/>
    <w:rsid w:val="00686E8F"/>
    <w:rsid w:val="00690344"/>
    <w:rsid w:val="00691C64"/>
    <w:rsid w:val="006931AB"/>
    <w:rsid w:val="00693E40"/>
    <w:rsid w:val="006945C6"/>
    <w:rsid w:val="00695206"/>
    <w:rsid w:val="00695349"/>
    <w:rsid w:val="006954E3"/>
    <w:rsid w:val="00695531"/>
    <w:rsid w:val="00696C30"/>
    <w:rsid w:val="00697567"/>
    <w:rsid w:val="00697C96"/>
    <w:rsid w:val="00697E4F"/>
    <w:rsid w:val="00697F33"/>
    <w:rsid w:val="006A0F13"/>
    <w:rsid w:val="006A0FD4"/>
    <w:rsid w:val="006A1105"/>
    <w:rsid w:val="006A1679"/>
    <w:rsid w:val="006A1A65"/>
    <w:rsid w:val="006A383C"/>
    <w:rsid w:val="006A385C"/>
    <w:rsid w:val="006A414F"/>
    <w:rsid w:val="006A5ED5"/>
    <w:rsid w:val="006A64F4"/>
    <w:rsid w:val="006A65BD"/>
    <w:rsid w:val="006A680E"/>
    <w:rsid w:val="006A6E5D"/>
    <w:rsid w:val="006A6FEF"/>
    <w:rsid w:val="006A70A2"/>
    <w:rsid w:val="006A7D53"/>
    <w:rsid w:val="006A7D8B"/>
    <w:rsid w:val="006B0F8D"/>
    <w:rsid w:val="006B133A"/>
    <w:rsid w:val="006B13FA"/>
    <w:rsid w:val="006B1B72"/>
    <w:rsid w:val="006B1F30"/>
    <w:rsid w:val="006B1FFF"/>
    <w:rsid w:val="006B25DF"/>
    <w:rsid w:val="006B3B9D"/>
    <w:rsid w:val="006B4398"/>
    <w:rsid w:val="006B5F64"/>
    <w:rsid w:val="006B6E46"/>
    <w:rsid w:val="006C0A10"/>
    <w:rsid w:val="006C1CF5"/>
    <w:rsid w:val="006C21F9"/>
    <w:rsid w:val="006C2535"/>
    <w:rsid w:val="006C25A8"/>
    <w:rsid w:val="006C4336"/>
    <w:rsid w:val="006C4628"/>
    <w:rsid w:val="006C4D37"/>
    <w:rsid w:val="006C760D"/>
    <w:rsid w:val="006C7DC6"/>
    <w:rsid w:val="006D011F"/>
    <w:rsid w:val="006D02AA"/>
    <w:rsid w:val="006D046B"/>
    <w:rsid w:val="006D1164"/>
    <w:rsid w:val="006D277F"/>
    <w:rsid w:val="006D2CC1"/>
    <w:rsid w:val="006D30D4"/>
    <w:rsid w:val="006D3307"/>
    <w:rsid w:val="006D4162"/>
    <w:rsid w:val="006D43DF"/>
    <w:rsid w:val="006D46B6"/>
    <w:rsid w:val="006D5513"/>
    <w:rsid w:val="006D5EA4"/>
    <w:rsid w:val="006D64C0"/>
    <w:rsid w:val="006D7236"/>
    <w:rsid w:val="006D74C9"/>
    <w:rsid w:val="006E031B"/>
    <w:rsid w:val="006E1756"/>
    <w:rsid w:val="006E1BC4"/>
    <w:rsid w:val="006E231D"/>
    <w:rsid w:val="006E4374"/>
    <w:rsid w:val="006E43D8"/>
    <w:rsid w:val="006E4EBD"/>
    <w:rsid w:val="006E515C"/>
    <w:rsid w:val="006E64E0"/>
    <w:rsid w:val="006E713F"/>
    <w:rsid w:val="006E729E"/>
    <w:rsid w:val="006F298C"/>
    <w:rsid w:val="006F2D3F"/>
    <w:rsid w:val="006F3042"/>
    <w:rsid w:val="006F3A46"/>
    <w:rsid w:val="006F414B"/>
    <w:rsid w:val="006F423A"/>
    <w:rsid w:val="006F46A8"/>
    <w:rsid w:val="006F5426"/>
    <w:rsid w:val="006F544E"/>
    <w:rsid w:val="006F64E2"/>
    <w:rsid w:val="006F6D33"/>
    <w:rsid w:val="006F7FD1"/>
    <w:rsid w:val="00701FB6"/>
    <w:rsid w:val="007028FE"/>
    <w:rsid w:val="007032A3"/>
    <w:rsid w:val="007035CA"/>
    <w:rsid w:val="00703C45"/>
    <w:rsid w:val="007049A8"/>
    <w:rsid w:val="00706B48"/>
    <w:rsid w:val="00710E90"/>
    <w:rsid w:val="00711437"/>
    <w:rsid w:val="007118F4"/>
    <w:rsid w:val="00711DC6"/>
    <w:rsid w:val="0071258F"/>
    <w:rsid w:val="00712CA9"/>
    <w:rsid w:val="00712FCF"/>
    <w:rsid w:val="00713113"/>
    <w:rsid w:val="0071330C"/>
    <w:rsid w:val="00713A0E"/>
    <w:rsid w:val="007142A9"/>
    <w:rsid w:val="007149A9"/>
    <w:rsid w:val="00715CA4"/>
    <w:rsid w:val="007163E8"/>
    <w:rsid w:val="00716E9C"/>
    <w:rsid w:val="007209F3"/>
    <w:rsid w:val="00720AD3"/>
    <w:rsid w:val="0072383C"/>
    <w:rsid w:val="00723DC6"/>
    <w:rsid w:val="00724485"/>
    <w:rsid w:val="0072514F"/>
    <w:rsid w:val="007251D5"/>
    <w:rsid w:val="007305F0"/>
    <w:rsid w:val="00730814"/>
    <w:rsid w:val="00730C94"/>
    <w:rsid w:val="00730F2B"/>
    <w:rsid w:val="00731C8D"/>
    <w:rsid w:val="007334E1"/>
    <w:rsid w:val="00733644"/>
    <w:rsid w:val="00733F19"/>
    <w:rsid w:val="00735C83"/>
    <w:rsid w:val="00736C66"/>
    <w:rsid w:val="007377E7"/>
    <w:rsid w:val="00740095"/>
    <w:rsid w:val="007418E0"/>
    <w:rsid w:val="00741B09"/>
    <w:rsid w:val="007434A7"/>
    <w:rsid w:val="00745072"/>
    <w:rsid w:val="007460BC"/>
    <w:rsid w:val="007504D1"/>
    <w:rsid w:val="007505B3"/>
    <w:rsid w:val="00751958"/>
    <w:rsid w:val="00752504"/>
    <w:rsid w:val="0075275B"/>
    <w:rsid w:val="00752F17"/>
    <w:rsid w:val="00753D2F"/>
    <w:rsid w:val="007564E8"/>
    <w:rsid w:val="0076052A"/>
    <w:rsid w:val="0076097F"/>
    <w:rsid w:val="00761AA1"/>
    <w:rsid w:val="00761B7F"/>
    <w:rsid w:val="00762AFC"/>
    <w:rsid w:val="00764010"/>
    <w:rsid w:val="007641CF"/>
    <w:rsid w:val="00766F6C"/>
    <w:rsid w:val="0076784D"/>
    <w:rsid w:val="00767D91"/>
    <w:rsid w:val="0077003E"/>
    <w:rsid w:val="00770560"/>
    <w:rsid w:val="0077084E"/>
    <w:rsid w:val="00770A46"/>
    <w:rsid w:val="00771166"/>
    <w:rsid w:val="00771725"/>
    <w:rsid w:val="00771CD3"/>
    <w:rsid w:val="00771D5B"/>
    <w:rsid w:val="00771D87"/>
    <w:rsid w:val="0077231B"/>
    <w:rsid w:val="00772505"/>
    <w:rsid w:val="00772F24"/>
    <w:rsid w:val="00774024"/>
    <w:rsid w:val="00774300"/>
    <w:rsid w:val="0077478B"/>
    <w:rsid w:val="00774E5D"/>
    <w:rsid w:val="00775081"/>
    <w:rsid w:val="0077520A"/>
    <w:rsid w:val="00775474"/>
    <w:rsid w:val="00775A61"/>
    <w:rsid w:val="00776561"/>
    <w:rsid w:val="00776C4B"/>
    <w:rsid w:val="0077734D"/>
    <w:rsid w:val="0077736C"/>
    <w:rsid w:val="0078112D"/>
    <w:rsid w:val="0078189B"/>
    <w:rsid w:val="0078222A"/>
    <w:rsid w:val="00782829"/>
    <w:rsid w:val="00782991"/>
    <w:rsid w:val="0078299B"/>
    <w:rsid w:val="00782B64"/>
    <w:rsid w:val="00783639"/>
    <w:rsid w:val="0078417B"/>
    <w:rsid w:val="007853EA"/>
    <w:rsid w:val="00786171"/>
    <w:rsid w:val="007864A7"/>
    <w:rsid w:val="007867A0"/>
    <w:rsid w:val="00786F66"/>
    <w:rsid w:val="00787E5D"/>
    <w:rsid w:val="0079057B"/>
    <w:rsid w:val="00793586"/>
    <w:rsid w:val="00793876"/>
    <w:rsid w:val="007944C0"/>
    <w:rsid w:val="007948B7"/>
    <w:rsid w:val="007957F0"/>
    <w:rsid w:val="00795928"/>
    <w:rsid w:val="00797A16"/>
    <w:rsid w:val="00797D5D"/>
    <w:rsid w:val="00797FD4"/>
    <w:rsid w:val="007A05FE"/>
    <w:rsid w:val="007A12A7"/>
    <w:rsid w:val="007A1C28"/>
    <w:rsid w:val="007A3E5B"/>
    <w:rsid w:val="007A5325"/>
    <w:rsid w:val="007A5DD7"/>
    <w:rsid w:val="007A681B"/>
    <w:rsid w:val="007A6BC3"/>
    <w:rsid w:val="007B067C"/>
    <w:rsid w:val="007B0D34"/>
    <w:rsid w:val="007B164C"/>
    <w:rsid w:val="007B2A29"/>
    <w:rsid w:val="007B5CDC"/>
    <w:rsid w:val="007B6A73"/>
    <w:rsid w:val="007B799E"/>
    <w:rsid w:val="007B7E09"/>
    <w:rsid w:val="007C0336"/>
    <w:rsid w:val="007C0F55"/>
    <w:rsid w:val="007C13BB"/>
    <w:rsid w:val="007C1BA9"/>
    <w:rsid w:val="007C1E93"/>
    <w:rsid w:val="007C26DF"/>
    <w:rsid w:val="007C2AC4"/>
    <w:rsid w:val="007C3415"/>
    <w:rsid w:val="007C3C9C"/>
    <w:rsid w:val="007C3DC2"/>
    <w:rsid w:val="007C4A56"/>
    <w:rsid w:val="007C4FD7"/>
    <w:rsid w:val="007C5848"/>
    <w:rsid w:val="007C72D4"/>
    <w:rsid w:val="007C7396"/>
    <w:rsid w:val="007D0F34"/>
    <w:rsid w:val="007D1DC3"/>
    <w:rsid w:val="007D3B9B"/>
    <w:rsid w:val="007D4AD6"/>
    <w:rsid w:val="007D53E5"/>
    <w:rsid w:val="007D5716"/>
    <w:rsid w:val="007D62C6"/>
    <w:rsid w:val="007E1E48"/>
    <w:rsid w:val="007E2A26"/>
    <w:rsid w:val="007E3458"/>
    <w:rsid w:val="007E364C"/>
    <w:rsid w:val="007E3C53"/>
    <w:rsid w:val="007E3FA6"/>
    <w:rsid w:val="007E40B4"/>
    <w:rsid w:val="007E4F5A"/>
    <w:rsid w:val="007E54B1"/>
    <w:rsid w:val="007E7750"/>
    <w:rsid w:val="007E7B29"/>
    <w:rsid w:val="007F02D1"/>
    <w:rsid w:val="007F61B0"/>
    <w:rsid w:val="007F64AD"/>
    <w:rsid w:val="007F65B5"/>
    <w:rsid w:val="007F65DD"/>
    <w:rsid w:val="007F76D9"/>
    <w:rsid w:val="0080120B"/>
    <w:rsid w:val="008013B9"/>
    <w:rsid w:val="00801AA8"/>
    <w:rsid w:val="0080231A"/>
    <w:rsid w:val="0080240C"/>
    <w:rsid w:val="008033CF"/>
    <w:rsid w:val="00803974"/>
    <w:rsid w:val="00803BF2"/>
    <w:rsid w:val="00804A1E"/>
    <w:rsid w:val="00804E3C"/>
    <w:rsid w:val="00805507"/>
    <w:rsid w:val="0080580C"/>
    <w:rsid w:val="00805EAC"/>
    <w:rsid w:val="008069C4"/>
    <w:rsid w:val="00806A5D"/>
    <w:rsid w:val="0081130F"/>
    <w:rsid w:val="00812C20"/>
    <w:rsid w:val="00813D75"/>
    <w:rsid w:val="0081733C"/>
    <w:rsid w:val="008174B2"/>
    <w:rsid w:val="00821999"/>
    <w:rsid w:val="00821CF0"/>
    <w:rsid w:val="0082276C"/>
    <w:rsid w:val="00822DD1"/>
    <w:rsid w:val="00824521"/>
    <w:rsid w:val="00824C5E"/>
    <w:rsid w:val="008259F1"/>
    <w:rsid w:val="00826178"/>
    <w:rsid w:val="00826B33"/>
    <w:rsid w:val="00826D8E"/>
    <w:rsid w:val="00827BF6"/>
    <w:rsid w:val="008304F3"/>
    <w:rsid w:val="00831119"/>
    <w:rsid w:val="00831215"/>
    <w:rsid w:val="00831676"/>
    <w:rsid w:val="00831A55"/>
    <w:rsid w:val="008346E5"/>
    <w:rsid w:val="0083481F"/>
    <w:rsid w:val="00834933"/>
    <w:rsid w:val="008349EE"/>
    <w:rsid w:val="00836ADB"/>
    <w:rsid w:val="0083701B"/>
    <w:rsid w:val="00837497"/>
    <w:rsid w:val="0083760B"/>
    <w:rsid w:val="008378D9"/>
    <w:rsid w:val="00841855"/>
    <w:rsid w:val="00841ADC"/>
    <w:rsid w:val="00842305"/>
    <w:rsid w:val="008427AC"/>
    <w:rsid w:val="00842F52"/>
    <w:rsid w:val="008456E0"/>
    <w:rsid w:val="00845A2C"/>
    <w:rsid w:val="00846FA3"/>
    <w:rsid w:val="0084700B"/>
    <w:rsid w:val="00847801"/>
    <w:rsid w:val="008502E6"/>
    <w:rsid w:val="00850494"/>
    <w:rsid w:val="00851441"/>
    <w:rsid w:val="00851A4D"/>
    <w:rsid w:val="00852387"/>
    <w:rsid w:val="00854818"/>
    <w:rsid w:val="00854ACA"/>
    <w:rsid w:val="00854B11"/>
    <w:rsid w:val="00855518"/>
    <w:rsid w:val="00856302"/>
    <w:rsid w:val="00856866"/>
    <w:rsid w:val="00857D4E"/>
    <w:rsid w:val="008611CD"/>
    <w:rsid w:val="0086252D"/>
    <w:rsid w:val="0086256E"/>
    <w:rsid w:val="00862E87"/>
    <w:rsid w:val="00863AEC"/>
    <w:rsid w:val="008653C2"/>
    <w:rsid w:val="008657F2"/>
    <w:rsid w:val="00865855"/>
    <w:rsid w:val="00866FA6"/>
    <w:rsid w:val="0086730B"/>
    <w:rsid w:val="008677F6"/>
    <w:rsid w:val="00871896"/>
    <w:rsid w:val="00871AFB"/>
    <w:rsid w:val="00871C01"/>
    <w:rsid w:val="008723C0"/>
    <w:rsid w:val="0087331C"/>
    <w:rsid w:val="0087418D"/>
    <w:rsid w:val="00874338"/>
    <w:rsid w:val="00874E72"/>
    <w:rsid w:val="008755E6"/>
    <w:rsid w:val="00875D66"/>
    <w:rsid w:val="00876090"/>
    <w:rsid w:val="0087655E"/>
    <w:rsid w:val="008769AE"/>
    <w:rsid w:val="0087710C"/>
    <w:rsid w:val="00877CAC"/>
    <w:rsid w:val="00877E77"/>
    <w:rsid w:val="0088028C"/>
    <w:rsid w:val="00880B8B"/>
    <w:rsid w:val="00880C94"/>
    <w:rsid w:val="00881016"/>
    <w:rsid w:val="00881451"/>
    <w:rsid w:val="0088231B"/>
    <w:rsid w:val="00882841"/>
    <w:rsid w:val="0088379E"/>
    <w:rsid w:val="00884795"/>
    <w:rsid w:val="00885573"/>
    <w:rsid w:val="008855B6"/>
    <w:rsid w:val="00885896"/>
    <w:rsid w:val="00887A90"/>
    <w:rsid w:val="00887ECC"/>
    <w:rsid w:val="0089012C"/>
    <w:rsid w:val="008908A5"/>
    <w:rsid w:val="00893FB6"/>
    <w:rsid w:val="008946AE"/>
    <w:rsid w:val="00894BF8"/>
    <w:rsid w:val="00894F2F"/>
    <w:rsid w:val="008958A2"/>
    <w:rsid w:val="00897612"/>
    <w:rsid w:val="008A05F5"/>
    <w:rsid w:val="008A20DA"/>
    <w:rsid w:val="008A23C4"/>
    <w:rsid w:val="008A4804"/>
    <w:rsid w:val="008A523A"/>
    <w:rsid w:val="008A5737"/>
    <w:rsid w:val="008A5960"/>
    <w:rsid w:val="008A6372"/>
    <w:rsid w:val="008A7C4D"/>
    <w:rsid w:val="008B0035"/>
    <w:rsid w:val="008B2296"/>
    <w:rsid w:val="008B2876"/>
    <w:rsid w:val="008B6899"/>
    <w:rsid w:val="008B6C43"/>
    <w:rsid w:val="008B7469"/>
    <w:rsid w:val="008B7AE1"/>
    <w:rsid w:val="008C03C9"/>
    <w:rsid w:val="008C1575"/>
    <w:rsid w:val="008C1A9D"/>
    <w:rsid w:val="008C2E8E"/>
    <w:rsid w:val="008C4C53"/>
    <w:rsid w:val="008C4EF0"/>
    <w:rsid w:val="008C54F5"/>
    <w:rsid w:val="008C5533"/>
    <w:rsid w:val="008C5553"/>
    <w:rsid w:val="008C585C"/>
    <w:rsid w:val="008C5887"/>
    <w:rsid w:val="008C6686"/>
    <w:rsid w:val="008C723B"/>
    <w:rsid w:val="008C778A"/>
    <w:rsid w:val="008D07C9"/>
    <w:rsid w:val="008D2026"/>
    <w:rsid w:val="008D37F4"/>
    <w:rsid w:val="008D3F4A"/>
    <w:rsid w:val="008D40C0"/>
    <w:rsid w:val="008D60B6"/>
    <w:rsid w:val="008D6E32"/>
    <w:rsid w:val="008D7442"/>
    <w:rsid w:val="008D747C"/>
    <w:rsid w:val="008D7544"/>
    <w:rsid w:val="008E010F"/>
    <w:rsid w:val="008E0685"/>
    <w:rsid w:val="008E0911"/>
    <w:rsid w:val="008E0F8D"/>
    <w:rsid w:val="008E1363"/>
    <w:rsid w:val="008E1723"/>
    <w:rsid w:val="008E3A19"/>
    <w:rsid w:val="008E40BD"/>
    <w:rsid w:val="008E4356"/>
    <w:rsid w:val="008E482E"/>
    <w:rsid w:val="008E48F6"/>
    <w:rsid w:val="008E505B"/>
    <w:rsid w:val="008E54D7"/>
    <w:rsid w:val="008E5CF8"/>
    <w:rsid w:val="008E621F"/>
    <w:rsid w:val="008E7909"/>
    <w:rsid w:val="008F00A9"/>
    <w:rsid w:val="008F0CF7"/>
    <w:rsid w:val="008F1AA5"/>
    <w:rsid w:val="008F1C31"/>
    <w:rsid w:val="008F24F6"/>
    <w:rsid w:val="008F26CD"/>
    <w:rsid w:val="008F367E"/>
    <w:rsid w:val="008F47B4"/>
    <w:rsid w:val="008F4C2F"/>
    <w:rsid w:val="008F5D21"/>
    <w:rsid w:val="008F627F"/>
    <w:rsid w:val="008F6450"/>
    <w:rsid w:val="008F6DD4"/>
    <w:rsid w:val="008F7336"/>
    <w:rsid w:val="008F7421"/>
    <w:rsid w:val="008F7661"/>
    <w:rsid w:val="0090046A"/>
    <w:rsid w:val="009018E1"/>
    <w:rsid w:val="00902578"/>
    <w:rsid w:val="00903582"/>
    <w:rsid w:val="009039F3"/>
    <w:rsid w:val="00904760"/>
    <w:rsid w:val="00906CB8"/>
    <w:rsid w:val="009113DF"/>
    <w:rsid w:val="00911617"/>
    <w:rsid w:val="00911DC2"/>
    <w:rsid w:val="00912597"/>
    <w:rsid w:val="00912D5E"/>
    <w:rsid w:val="00912DEB"/>
    <w:rsid w:val="00913EA1"/>
    <w:rsid w:val="00914421"/>
    <w:rsid w:val="0091468A"/>
    <w:rsid w:val="00915752"/>
    <w:rsid w:val="00915B6D"/>
    <w:rsid w:val="009161F8"/>
    <w:rsid w:val="00916328"/>
    <w:rsid w:val="0091684B"/>
    <w:rsid w:val="00916C62"/>
    <w:rsid w:val="009173F0"/>
    <w:rsid w:val="00917EFC"/>
    <w:rsid w:val="00917F68"/>
    <w:rsid w:val="009208BF"/>
    <w:rsid w:val="00921DE8"/>
    <w:rsid w:val="00921EA2"/>
    <w:rsid w:val="009237C3"/>
    <w:rsid w:val="00923C46"/>
    <w:rsid w:val="009246C5"/>
    <w:rsid w:val="0092649B"/>
    <w:rsid w:val="009266CF"/>
    <w:rsid w:val="00927192"/>
    <w:rsid w:val="00927DB9"/>
    <w:rsid w:val="009311AE"/>
    <w:rsid w:val="00932F2C"/>
    <w:rsid w:val="00934B7E"/>
    <w:rsid w:val="00935B30"/>
    <w:rsid w:val="00940848"/>
    <w:rsid w:val="00940E3B"/>
    <w:rsid w:val="00941282"/>
    <w:rsid w:val="0094138F"/>
    <w:rsid w:val="009420D6"/>
    <w:rsid w:val="009433A2"/>
    <w:rsid w:val="00945ECC"/>
    <w:rsid w:val="00946392"/>
    <w:rsid w:val="009465A8"/>
    <w:rsid w:val="00946B7F"/>
    <w:rsid w:val="009476B9"/>
    <w:rsid w:val="00950845"/>
    <w:rsid w:val="009509F8"/>
    <w:rsid w:val="00950CF8"/>
    <w:rsid w:val="0095170B"/>
    <w:rsid w:val="0095365E"/>
    <w:rsid w:val="00953FFC"/>
    <w:rsid w:val="00955658"/>
    <w:rsid w:val="009556C9"/>
    <w:rsid w:val="00956AA1"/>
    <w:rsid w:val="00956FEB"/>
    <w:rsid w:val="00957B9C"/>
    <w:rsid w:val="009609D0"/>
    <w:rsid w:val="00960AA8"/>
    <w:rsid w:val="00962CF0"/>
    <w:rsid w:val="00962D03"/>
    <w:rsid w:val="0096334B"/>
    <w:rsid w:val="00965AD2"/>
    <w:rsid w:val="00965FFE"/>
    <w:rsid w:val="00966779"/>
    <w:rsid w:val="00967F44"/>
    <w:rsid w:val="00970348"/>
    <w:rsid w:val="0097034B"/>
    <w:rsid w:val="00971318"/>
    <w:rsid w:val="00971723"/>
    <w:rsid w:val="009728C0"/>
    <w:rsid w:val="0097340A"/>
    <w:rsid w:val="00973A71"/>
    <w:rsid w:val="00973BC3"/>
    <w:rsid w:val="00975249"/>
    <w:rsid w:val="00976D31"/>
    <w:rsid w:val="00977397"/>
    <w:rsid w:val="009775C5"/>
    <w:rsid w:val="009776A3"/>
    <w:rsid w:val="009779B6"/>
    <w:rsid w:val="00980001"/>
    <w:rsid w:val="009821D0"/>
    <w:rsid w:val="00982A97"/>
    <w:rsid w:val="00982E1C"/>
    <w:rsid w:val="00983844"/>
    <w:rsid w:val="00984204"/>
    <w:rsid w:val="00984F53"/>
    <w:rsid w:val="0098596B"/>
    <w:rsid w:val="00985A4A"/>
    <w:rsid w:val="00985F1D"/>
    <w:rsid w:val="0098648A"/>
    <w:rsid w:val="009870EA"/>
    <w:rsid w:val="00987E41"/>
    <w:rsid w:val="00992840"/>
    <w:rsid w:val="009932D8"/>
    <w:rsid w:val="009932E3"/>
    <w:rsid w:val="00993442"/>
    <w:rsid w:val="0099367D"/>
    <w:rsid w:val="0099384F"/>
    <w:rsid w:val="00993A4B"/>
    <w:rsid w:val="0099430A"/>
    <w:rsid w:val="00994ECC"/>
    <w:rsid w:val="00995D51"/>
    <w:rsid w:val="00995E94"/>
    <w:rsid w:val="00996C14"/>
    <w:rsid w:val="00997418"/>
    <w:rsid w:val="00997451"/>
    <w:rsid w:val="00997BD0"/>
    <w:rsid w:val="00997C03"/>
    <w:rsid w:val="009A01A0"/>
    <w:rsid w:val="009A1352"/>
    <w:rsid w:val="009A26E9"/>
    <w:rsid w:val="009A2771"/>
    <w:rsid w:val="009A371A"/>
    <w:rsid w:val="009A5021"/>
    <w:rsid w:val="009A67E5"/>
    <w:rsid w:val="009A6E46"/>
    <w:rsid w:val="009A75ED"/>
    <w:rsid w:val="009A771C"/>
    <w:rsid w:val="009A7863"/>
    <w:rsid w:val="009A7B7A"/>
    <w:rsid w:val="009A7BBD"/>
    <w:rsid w:val="009B244A"/>
    <w:rsid w:val="009B4627"/>
    <w:rsid w:val="009B4B5D"/>
    <w:rsid w:val="009B6D94"/>
    <w:rsid w:val="009C0BB4"/>
    <w:rsid w:val="009C1616"/>
    <w:rsid w:val="009C1BBD"/>
    <w:rsid w:val="009C2499"/>
    <w:rsid w:val="009C279A"/>
    <w:rsid w:val="009C2DFF"/>
    <w:rsid w:val="009C38D9"/>
    <w:rsid w:val="009C3B18"/>
    <w:rsid w:val="009C3C25"/>
    <w:rsid w:val="009C4ED0"/>
    <w:rsid w:val="009C5092"/>
    <w:rsid w:val="009C55C2"/>
    <w:rsid w:val="009C6D04"/>
    <w:rsid w:val="009C7F34"/>
    <w:rsid w:val="009D04B9"/>
    <w:rsid w:val="009D1654"/>
    <w:rsid w:val="009D2DE3"/>
    <w:rsid w:val="009D39DA"/>
    <w:rsid w:val="009D4E48"/>
    <w:rsid w:val="009D586C"/>
    <w:rsid w:val="009D62D4"/>
    <w:rsid w:val="009D6B61"/>
    <w:rsid w:val="009E0AAF"/>
    <w:rsid w:val="009E0CFB"/>
    <w:rsid w:val="009E13CB"/>
    <w:rsid w:val="009E143D"/>
    <w:rsid w:val="009E269B"/>
    <w:rsid w:val="009E26E0"/>
    <w:rsid w:val="009E32CB"/>
    <w:rsid w:val="009E32D1"/>
    <w:rsid w:val="009E35BF"/>
    <w:rsid w:val="009E4016"/>
    <w:rsid w:val="009E4689"/>
    <w:rsid w:val="009E55B1"/>
    <w:rsid w:val="009E5FFB"/>
    <w:rsid w:val="009E64CB"/>
    <w:rsid w:val="009E6741"/>
    <w:rsid w:val="009E6753"/>
    <w:rsid w:val="009E7341"/>
    <w:rsid w:val="009E7847"/>
    <w:rsid w:val="009F0661"/>
    <w:rsid w:val="009F06C4"/>
    <w:rsid w:val="009F1E8F"/>
    <w:rsid w:val="009F3456"/>
    <w:rsid w:val="009F3A2F"/>
    <w:rsid w:val="009F4094"/>
    <w:rsid w:val="009F49F8"/>
    <w:rsid w:val="009F627E"/>
    <w:rsid w:val="009F6A80"/>
    <w:rsid w:val="009F6C2A"/>
    <w:rsid w:val="009F700B"/>
    <w:rsid w:val="009F737A"/>
    <w:rsid w:val="00A001A6"/>
    <w:rsid w:val="00A00B51"/>
    <w:rsid w:val="00A00C51"/>
    <w:rsid w:val="00A016C2"/>
    <w:rsid w:val="00A02934"/>
    <w:rsid w:val="00A02E2E"/>
    <w:rsid w:val="00A04B3E"/>
    <w:rsid w:val="00A05A2A"/>
    <w:rsid w:val="00A05B0A"/>
    <w:rsid w:val="00A06D4F"/>
    <w:rsid w:val="00A07AE6"/>
    <w:rsid w:val="00A10094"/>
    <w:rsid w:val="00A100C2"/>
    <w:rsid w:val="00A10F2D"/>
    <w:rsid w:val="00A120EF"/>
    <w:rsid w:val="00A131B1"/>
    <w:rsid w:val="00A13985"/>
    <w:rsid w:val="00A142A8"/>
    <w:rsid w:val="00A15865"/>
    <w:rsid w:val="00A16A04"/>
    <w:rsid w:val="00A16AF4"/>
    <w:rsid w:val="00A17C5F"/>
    <w:rsid w:val="00A20888"/>
    <w:rsid w:val="00A20D3C"/>
    <w:rsid w:val="00A2154E"/>
    <w:rsid w:val="00A23767"/>
    <w:rsid w:val="00A26B2F"/>
    <w:rsid w:val="00A26E3A"/>
    <w:rsid w:val="00A27111"/>
    <w:rsid w:val="00A274D2"/>
    <w:rsid w:val="00A30006"/>
    <w:rsid w:val="00A3073B"/>
    <w:rsid w:val="00A30CB0"/>
    <w:rsid w:val="00A313F7"/>
    <w:rsid w:val="00A32114"/>
    <w:rsid w:val="00A32AAC"/>
    <w:rsid w:val="00A32C36"/>
    <w:rsid w:val="00A348FD"/>
    <w:rsid w:val="00A34D94"/>
    <w:rsid w:val="00A37369"/>
    <w:rsid w:val="00A40C46"/>
    <w:rsid w:val="00A41D86"/>
    <w:rsid w:val="00A43F37"/>
    <w:rsid w:val="00A43F6E"/>
    <w:rsid w:val="00A4446A"/>
    <w:rsid w:val="00A4449A"/>
    <w:rsid w:val="00A44A45"/>
    <w:rsid w:val="00A459E1"/>
    <w:rsid w:val="00A461AE"/>
    <w:rsid w:val="00A47CD0"/>
    <w:rsid w:val="00A502EC"/>
    <w:rsid w:val="00A514E7"/>
    <w:rsid w:val="00A527DA"/>
    <w:rsid w:val="00A52D34"/>
    <w:rsid w:val="00A532EE"/>
    <w:rsid w:val="00A54D50"/>
    <w:rsid w:val="00A54E25"/>
    <w:rsid w:val="00A54FCC"/>
    <w:rsid w:val="00A55121"/>
    <w:rsid w:val="00A55215"/>
    <w:rsid w:val="00A5531A"/>
    <w:rsid w:val="00A5537B"/>
    <w:rsid w:val="00A55CAE"/>
    <w:rsid w:val="00A55CB8"/>
    <w:rsid w:val="00A5676D"/>
    <w:rsid w:val="00A570C7"/>
    <w:rsid w:val="00A57C4E"/>
    <w:rsid w:val="00A6144C"/>
    <w:rsid w:val="00A6221F"/>
    <w:rsid w:val="00A62814"/>
    <w:rsid w:val="00A62F2D"/>
    <w:rsid w:val="00A637FC"/>
    <w:rsid w:val="00A63907"/>
    <w:rsid w:val="00A63CE7"/>
    <w:rsid w:val="00A64776"/>
    <w:rsid w:val="00A6496F"/>
    <w:rsid w:val="00A64B9E"/>
    <w:rsid w:val="00A6504C"/>
    <w:rsid w:val="00A66D9A"/>
    <w:rsid w:val="00A66F7A"/>
    <w:rsid w:val="00A71DC7"/>
    <w:rsid w:val="00A7297A"/>
    <w:rsid w:val="00A73C2A"/>
    <w:rsid w:val="00A73E5B"/>
    <w:rsid w:val="00A742FE"/>
    <w:rsid w:val="00A745F4"/>
    <w:rsid w:val="00A758CF"/>
    <w:rsid w:val="00A75CBB"/>
    <w:rsid w:val="00A75EB3"/>
    <w:rsid w:val="00A761AE"/>
    <w:rsid w:val="00A80ACE"/>
    <w:rsid w:val="00A8168A"/>
    <w:rsid w:val="00A83043"/>
    <w:rsid w:val="00A840A1"/>
    <w:rsid w:val="00A84226"/>
    <w:rsid w:val="00A84575"/>
    <w:rsid w:val="00A8500D"/>
    <w:rsid w:val="00A85062"/>
    <w:rsid w:val="00A864D8"/>
    <w:rsid w:val="00A86A28"/>
    <w:rsid w:val="00A90B1F"/>
    <w:rsid w:val="00A91A14"/>
    <w:rsid w:val="00A91D7C"/>
    <w:rsid w:val="00A93F35"/>
    <w:rsid w:val="00A943F8"/>
    <w:rsid w:val="00A944A6"/>
    <w:rsid w:val="00A9633F"/>
    <w:rsid w:val="00A968F2"/>
    <w:rsid w:val="00A96F1B"/>
    <w:rsid w:val="00AA07C7"/>
    <w:rsid w:val="00AA0811"/>
    <w:rsid w:val="00AA0EFF"/>
    <w:rsid w:val="00AA2228"/>
    <w:rsid w:val="00AA2709"/>
    <w:rsid w:val="00AA27DC"/>
    <w:rsid w:val="00AA27E1"/>
    <w:rsid w:val="00AA2D1B"/>
    <w:rsid w:val="00AA2F2A"/>
    <w:rsid w:val="00AA3FB3"/>
    <w:rsid w:val="00AA4452"/>
    <w:rsid w:val="00AA4C67"/>
    <w:rsid w:val="00AA5CF3"/>
    <w:rsid w:val="00AA6351"/>
    <w:rsid w:val="00AA69E1"/>
    <w:rsid w:val="00AB0852"/>
    <w:rsid w:val="00AB1075"/>
    <w:rsid w:val="00AB1B69"/>
    <w:rsid w:val="00AB2754"/>
    <w:rsid w:val="00AB2FFE"/>
    <w:rsid w:val="00AB6257"/>
    <w:rsid w:val="00AB7302"/>
    <w:rsid w:val="00AC0817"/>
    <w:rsid w:val="00AC0F5A"/>
    <w:rsid w:val="00AC1168"/>
    <w:rsid w:val="00AC188D"/>
    <w:rsid w:val="00AC223B"/>
    <w:rsid w:val="00AC2ADE"/>
    <w:rsid w:val="00AC3629"/>
    <w:rsid w:val="00AC418A"/>
    <w:rsid w:val="00AC4492"/>
    <w:rsid w:val="00AC618D"/>
    <w:rsid w:val="00AC6DCC"/>
    <w:rsid w:val="00AD2812"/>
    <w:rsid w:val="00AD31A5"/>
    <w:rsid w:val="00AD3507"/>
    <w:rsid w:val="00AD48F3"/>
    <w:rsid w:val="00AD5EED"/>
    <w:rsid w:val="00AE0CBD"/>
    <w:rsid w:val="00AE1057"/>
    <w:rsid w:val="00AE13E1"/>
    <w:rsid w:val="00AE1DB8"/>
    <w:rsid w:val="00AE1E36"/>
    <w:rsid w:val="00AE2B49"/>
    <w:rsid w:val="00AE70E5"/>
    <w:rsid w:val="00AF187C"/>
    <w:rsid w:val="00AF229C"/>
    <w:rsid w:val="00AF261F"/>
    <w:rsid w:val="00AF2F31"/>
    <w:rsid w:val="00AF7522"/>
    <w:rsid w:val="00AF7A52"/>
    <w:rsid w:val="00B0078D"/>
    <w:rsid w:val="00B012F9"/>
    <w:rsid w:val="00B0209E"/>
    <w:rsid w:val="00B02193"/>
    <w:rsid w:val="00B027B8"/>
    <w:rsid w:val="00B02D81"/>
    <w:rsid w:val="00B033E5"/>
    <w:rsid w:val="00B0389B"/>
    <w:rsid w:val="00B03EC5"/>
    <w:rsid w:val="00B0508B"/>
    <w:rsid w:val="00B051E3"/>
    <w:rsid w:val="00B0552A"/>
    <w:rsid w:val="00B0581B"/>
    <w:rsid w:val="00B1097A"/>
    <w:rsid w:val="00B1102D"/>
    <w:rsid w:val="00B113EB"/>
    <w:rsid w:val="00B11B8D"/>
    <w:rsid w:val="00B11CBF"/>
    <w:rsid w:val="00B12BF1"/>
    <w:rsid w:val="00B13E59"/>
    <w:rsid w:val="00B14FA0"/>
    <w:rsid w:val="00B1581E"/>
    <w:rsid w:val="00B16236"/>
    <w:rsid w:val="00B16AE0"/>
    <w:rsid w:val="00B17685"/>
    <w:rsid w:val="00B17D08"/>
    <w:rsid w:val="00B20272"/>
    <w:rsid w:val="00B20586"/>
    <w:rsid w:val="00B20B46"/>
    <w:rsid w:val="00B24D84"/>
    <w:rsid w:val="00B26F97"/>
    <w:rsid w:val="00B271F3"/>
    <w:rsid w:val="00B2774F"/>
    <w:rsid w:val="00B3006C"/>
    <w:rsid w:val="00B316DC"/>
    <w:rsid w:val="00B31DF4"/>
    <w:rsid w:val="00B32321"/>
    <w:rsid w:val="00B3553F"/>
    <w:rsid w:val="00B35561"/>
    <w:rsid w:val="00B35B89"/>
    <w:rsid w:val="00B369EF"/>
    <w:rsid w:val="00B36BC9"/>
    <w:rsid w:val="00B36D7B"/>
    <w:rsid w:val="00B37DC1"/>
    <w:rsid w:val="00B37E5C"/>
    <w:rsid w:val="00B40910"/>
    <w:rsid w:val="00B41215"/>
    <w:rsid w:val="00B413F5"/>
    <w:rsid w:val="00B41B98"/>
    <w:rsid w:val="00B426F0"/>
    <w:rsid w:val="00B44FD4"/>
    <w:rsid w:val="00B45906"/>
    <w:rsid w:val="00B45973"/>
    <w:rsid w:val="00B4642F"/>
    <w:rsid w:val="00B46FB0"/>
    <w:rsid w:val="00B51046"/>
    <w:rsid w:val="00B512D1"/>
    <w:rsid w:val="00B51924"/>
    <w:rsid w:val="00B52D5E"/>
    <w:rsid w:val="00B53355"/>
    <w:rsid w:val="00B53F48"/>
    <w:rsid w:val="00B54C02"/>
    <w:rsid w:val="00B54F95"/>
    <w:rsid w:val="00B55D24"/>
    <w:rsid w:val="00B56418"/>
    <w:rsid w:val="00B56441"/>
    <w:rsid w:val="00B56567"/>
    <w:rsid w:val="00B57110"/>
    <w:rsid w:val="00B57872"/>
    <w:rsid w:val="00B57F5F"/>
    <w:rsid w:val="00B6053A"/>
    <w:rsid w:val="00B60610"/>
    <w:rsid w:val="00B60A22"/>
    <w:rsid w:val="00B60D2C"/>
    <w:rsid w:val="00B61554"/>
    <w:rsid w:val="00B61998"/>
    <w:rsid w:val="00B62694"/>
    <w:rsid w:val="00B629C0"/>
    <w:rsid w:val="00B62B03"/>
    <w:rsid w:val="00B637E2"/>
    <w:rsid w:val="00B639F7"/>
    <w:rsid w:val="00B6432D"/>
    <w:rsid w:val="00B6435D"/>
    <w:rsid w:val="00B658DC"/>
    <w:rsid w:val="00B65EBD"/>
    <w:rsid w:val="00B66E57"/>
    <w:rsid w:val="00B67D0F"/>
    <w:rsid w:val="00B70AB2"/>
    <w:rsid w:val="00B71A8D"/>
    <w:rsid w:val="00B71CF5"/>
    <w:rsid w:val="00B7245C"/>
    <w:rsid w:val="00B72556"/>
    <w:rsid w:val="00B73DE3"/>
    <w:rsid w:val="00B74EA9"/>
    <w:rsid w:val="00B81CBF"/>
    <w:rsid w:val="00B81FBD"/>
    <w:rsid w:val="00B82BCD"/>
    <w:rsid w:val="00B82D54"/>
    <w:rsid w:val="00B83975"/>
    <w:rsid w:val="00B8477C"/>
    <w:rsid w:val="00B85283"/>
    <w:rsid w:val="00B85635"/>
    <w:rsid w:val="00B86106"/>
    <w:rsid w:val="00B868FD"/>
    <w:rsid w:val="00B90A4F"/>
    <w:rsid w:val="00B90A92"/>
    <w:rsid w:val="00B912C6"/>
    <w:rsid w:val="00B931D6"/>
    <w:rsid w:val="00B9470A"/>
    <w:rsid w:val="00B94766"/>
    <w:rsid w:val="00B96176"/>
    <w:rsid w:val="00B96368"/>
    <w:rsid w:val="00B96C73"/>
    <w:rsid w:val="00B96D84"/>
    <w:rsid w:val="00B976E3"/>
    <w:rsid w:val="00BA14E2"/>
    <w:rsid w:val="00BA2893"/>
    <w:rsid w:val="00BA2A28"/>
    <w:rsid w:val="00BA47A0"/>
    <w:rsid w:val="00BA716A"/>
    <w:rsid w:val="00BA7923"/>
    <w:rsid w:val="00BA7B9D"/>
    <w:rsid w:val="00BA7BEF"/>
    <w:rsid w:val="00BA7CD9"/>
    <w:rsid w:val="00BB12F1"/>
    <w:rsid w:val="00BB259A"/>
    <w:rsid w:val="00BB2CD7"/>
    <w:rsid w:val="00BB3FB7"/>
    <w:rsid w:val="00BB5EBD"/>
    <w:rsid w:val="00BB64AD"/>
    <w:rsid w:val="00BC0A7D"/>
    <w:rsid w:val="00BC0FD2"/>
    <w:rsid w:val="00BC141B"/>
    <w:rsid w:val="00BC1C56"/>
    <w:rsid w:val="00BC27A1"/>
    <w:rsid w:val="00BC3166"/>
    <w:rsid w:val="00BC4002"/>
    <w:rsid w:val="00BC5740"/>
    <w:rsid w:val="00BD095E"/>
    <w:rsid w:val="00BD0A37"/>
    <w:rsid w:val="00BD169D"/>
    <w:rsid w:val="00BD198D"/>
    <w:rsid w:val="00BD1D45"/>
    <w:rsid w:val="00BD206A"/>
    <w:rsid w:val="00BD20BE"/>
    <w:rsid w:val="00BD274B"/>
    <w:rsid w:val="00BD2A46"/>
    <w:rsid w:val="00BD2D2F"/>
    <w:rsid w:val="00BD2ED5"/>
    <w:rsid w:val="00BD38C3"/>
    <w:rsid w:val="00BD3C18"/>
    <w:rsid w:val="00BD4AEC"/>
    <w:rsid w:val="00BD4EB3"/>
    <w:rsid w:val="00BD5A85"/>
    <w:rsid w:val="00BD6D04"/>
    <w:rsid w:val="00BD7430"/>
    <w:rsid w:val="00BE0B30"/>
    <w:rsid w:val="00BE132F"/>
    <w:rsid w:val="00BE28B4"/>
    <w:rsid w:val="00BE2D6F"/>
    <w:rsid w:val="00BE2F21"/>
    <w:rsid w:val="00BE5B39"/>
    <w:rsid w:val="00BE5F98"/>
    <w:rsid w:val="00BE6386"/>
    <w:rsid w:val="00BE7429"/>
    <w:rsid w:val="00BE7593"/>
    <w:rsid w:val="00BE7B06"/>
    <w:rsid w:val="00BF1842"/>
    <w:rsid w:val="00BF2D2C"/>
    <w:rsid w:val="00BF31CB"/>
    <w:rsid w:val="00BF35C6"/>
    <w:rsid w:val="00BF4077"/>
    <w:rsid w:val="00BF4E9B"/>
    <w:rsid w:val="00BF5843"/>
    <w:rsid w:val="00BF7AB0"/>
    <w:rsid w:val="00C000EC"/>
    <w:rsid w:val="00C00591"/>
    <w:rsid w:val="00C0068B"/>
    <w:rsid w:val="00C00AC4"/>
    <w:rsid w:val="00C00BFF"/>
    <w:rsid w:val="00C01247"/>
    <w:rsid w:val="00C01B39"/>
    <w:rsid w:val="00C0294D"/>
    <w:rsid w:val="00C02C6E"/>
    <w:rsid w:val="00C03FCA"/>
    <w:rsid w:val="00C04370"/>
    <w:rsid w:val="00C044E5"/>
    <w:rsid w:val="00C04523"/>
    <w:rsid w:val="00C047B6"/>
    <w:rsid w:val="00C049EE"/>
    <w:rsid w:val="00C04F86"/>
    <w:rsid w:val="00C051E5"/>
    <w:rsid w:val="00C05B42"/>
    <w:rsid w:val="00C06038"/>
    <w:rsid w:val="00C072DC"/>
    <w:rsid w:val="00C07674"/>
    <w:rsid w:val="00C1158B"/>
    <w:rsid w:val="00C11DF1"/>
    <w:rsid w:val="00C122FC"/>
    <w:rsid w:val="00C14120"/>
    <w:rsid w:val="00C15746"/>
    <w:rsid w:val="00C16400"/>
    <w:rsid w:val="00C16650"/>
    <w:rsid w:val="00C1701B"/>
    <w:rsid w:val="00C170E3"/>
    <w:rsid w:val="00C17966"/>
    <w:rsid w:val="00C17A36"/>
    <w:rsid w:val="00C20BB7"/>
    <w:rsid w:val="00C20D8A"/>
    <w:rsid w:val="00C21911"/>
    <w:rsid w:val="00C21B7E"/>
    <w:rsid w:val="00C23437"/>
    <w:rsid w:val="00C23570"/>
    <w:rsid w:val="00C24DF6"/>
    <w:rsid w:val="00C2592D"/>
    <w:rsid w:val="00C26259"/>
    <w:rsid w:val="00C27C3E"/>
    <w:rsid w:val="00C27CA5"/>
    <w:rsid w:val="00C27DB0"/>
    <w:rsid w:val="00C3161B"/>
    <w:rsid w:val="00C32A04"/>
    <w:rsid w:val="00C33052"/>
    <w:rsid w:val="00C34183"/>
    <w:rsid w:val="00C34EA7"/>
    <w:rsid w:val="00C34F15"/>
    <w:rsid w:val="00C359FF"/>
    <w:rsid w:val="00C36D7A"/>
    <w:rsid w:val="00C36DAF"/>
    <w:rsid w:val="00C36DF8"/>
    <w:rsid w:val="00C37A92"/>
    <w:rsid w:val="00C37BAD"/>
    <w:rsid w:val="00C37C20"/>
    <w:rsid w:val="00C40890"/>
    <w:rsid w:val="00C41285"/>
    <w:rsid w:val="00C413F2"/>
    <w:rsid w:val="00C42A58"/>
    <w:rsid w:val="00C43875"/>
    <w:rsid w:val="00C44025"/>
    <w:rsid w:val="00C44F70"/>
    <w:rsid w:val="00C456E8"/>
    <w:rsid w:val="00C457AD"/>
    <w:rsid w:val="00C46844"/>
    <w:rsid w:val="00C4728D"/>
    <w:rsid w:val="00C47300"/>
    <w:rsid w:val="00C4730D"/>
    <w:rsid w:val="00C5020B"/>
    <w:rsid w:val="00C51D4A"/>
    <w:rsid w:val="00C51DCA"/>
    <w:rsid w:val="00C52635"/>
    <w:rsid w:val="00C527AC"/>
    <w:rsid w:val="00C52B14"/>
    <w:rsid w:val="00C5381D"/>
    <w:rsid w:val="00C54018"/>
    <w:rsid w:val="00C543EA"/>
    <w:rsid w:val="00C5524D"/>
    <w:rsid w:val="00C553CB"/>
    <w:rsid w:val="00C55E2B"/>
    <w:rsid w:val="00C56347"/>
    <w:rsid w:val="00C579A0"/>
    <w:rsid w:val="00C63137"/>
    <w:rsid w:val="00C6338D"/>
    <w:rsid w:val="00C6382F"/>
    <w:rsid w:val="00C638B2"/>
    <w:rsid w:val="00C63E8C"/>
    <w:rsid w:val="00C66713"/>
    <w:rsid w:val="00C67C22"/>
    <w:rsid w:val="00C704DC"/>
    <w:rsid w:val="00C70D1B"/>
    <w:rsid w:val="00C71B5D"/>
    <w:rsid w:val="00C71D52"/>
    <w:rsid w:val="00C72F23"/>
    <w:rsid w:val="00C730A9"/>
    <w:rsid w:val="00C73116"/>
    <w:rsid w:val="00C73348"/>
    <w:rsid w:val="00C744E2"/>
    <w:rsid w:val="00C7450A"/>
    <w:rsid w:val="00C745FA"/>
    <w:rsid w:val="00C74A42"/>
    <w:rsid w:val="00C7725B"/>
    <w:rsid w:val="00C773DD"/>
    <w:rsid w:val="00C77C7F"/>
    <w:rsid w:val="00C823AA"/>
    <w:rsid w:val="00C84930"/>
    <w:rsid w:val="00C85772"/>
    <w:rsid w:val="00C86282"/>
    <w:rsid w:val="00C8695E"/>
    <w:rsid w:val="00C86EB9"/>
    <w:rsid w:val="00C90425"/>
    <w:rsid w:val="00C91795"/>
    <w:rsid w:val="00C91C93"/>
    <w:rsid w:val="00C925DD"/>
    <w:rsid w:val="00C92ADC"/>
    <w:rsid w:val="00C931AC"/>
    <w:rsid w:val="00C934A7"/>
    <w:rsid w:val="00C934F3"/>
    <w:rsid w:val="00CA14B1"/>
    <w:rsid w:val="00CA2F30"/>
    <w:rsid w:val="00CA3B42"/>
    <w:rsid w:val="00CA3D30"/>
    <w:rsid w:val="00CA5109"/>
    <w:rsid w:val="00CA7A12"/>
    <w:rsid w:val="00CB10ED"/>
    <w:rsid w:val="00CB1487"/>
    <w:rsid w:val="00CB164A"/>
    <w:rsid w:val="00CB200E"/>
    <w:rsid w:val="00CB2F67"/>
    <w:rsid w:val="00CB4098"/>
    <w:rsid w:val="00CB49A4"/>
    <w:rsid w:val="00CB4A6E"/>
    <w:rsid w:val="00CB4CDC"/>
    <w:rsid w:val="00CB5A7E"/>
    <w:rsid w:val="00CB63D4"/>
    <w:rsid w:val="00CB6794"/>
    <w:rsid w:val="00CB6A24"/>
    <w:rsid w:val="00CB782F"/>
    <w:rsid w:val="00CB7CCA"/>
    <w:rsid w:val="00CB7ECD"/>
    <w:rsid w:val="00CC06CA"/>
    <w:rsid w:val="00CC1958"/>
    <w:rsid w:val="00CC48AE"/>
    <w:rsid w:val="00CC5FED"/>
    <w:rsid w:val="00CC6A0D"/>
    <w:rsid w:val="00CC6CA4"/>
    <w:rsid w:val="00CC7A2A"/>
    <w:rsid w:val="00CD002E"/>
    <w:rsid w:val="00CD1A5B"/>
    <w:rsid w:val="00CD22BC"/>
    <w:rsid w:val="00CD232C"/>
    <w:rsid w:val="00CD4254"/>
    <w:rsid w:val="00CD53E8"/>
    <w:rsid w:val="00CD55EE"/>
    <w:rsid w:val="00CD5BC2"/>
    <w:rsid w:val="00CD5D07"/>
    <w:rsid w:val="00CD622D"/>
    <w:rsid w:val="00CD62B3"/>
    <w:rsid w:val="00CD6A1E"/>
    <w:rsid w:val="00CD77EE"/>
    <w:rsid w:val="00CE0CF1"/>
    <w:rsid w:val="00CE1834"/>
    <w:rsid w:val="00CE3EA5"/>
    <w:rsid w:val="00CE4247"/>
    <w:rsid w:val="00CE4997"/>
    <w:rsid w:val="00CE5DCB"/>
    <w:rsid w:val="00CE5E5B"/>
    <w:rsid w:val="00CE5ED9"/>
    <w:rsid w:val="00CE6946"/>
    <w:rsid w:val="00CF0E35"/>
    <w:rsid w:val="00CF0E6A"/>
    <w:rsid w:val="00CF2576"/>
    <w:rsid w:val="00CF3FB4"/>
    <w:rsid w:val="00D000B5"/>
    <w:rsid w:val="00D000D1"/>
    <w:rsid w:val="00D033AA"/>
    <w:rsid w:val="00D0368B"/>
    <w:rsid w:val="00D04969"/>
    <w:rsid w:val="00D05873"/>
    <w:rsid w:val="00D061E7"/>
    <w:rsid w:val="00D07989"/>
    <w:rsid w:val="00D1001E"/>
    <w:rsid w:val="00D109E3"/>
    <w:rsid w:val="00D11229"/>
    <w:rsid w:val="00D1131D"/>
    <w:rsid w:val="00D11B55"/>
    <w:rsid w:val="00D14266"/>
    <w:rsid w:val="00D15510"/>
    <w:rsid w:val="00D16C4E"/>
    <w:rsid w:val="00D16FC6"/>
    <w:rsid w:val="00D21F4A"/>
    <w:rsid w:val="00D2406C"/>
    <w:rsid w:val="00D2419F"/>
    <w:rsid w:val="00D243D0"/>
    <w:rsid w:val="00D2509A"/>
    <w:rsid w:val="00D25D08"/>
    <w:rsid w:val="00D267EB"/>
    <w:rsid w:val="00D26F3D"/>
    <w:rsid w:val="00D2706F"/>
    <w:rsid w:val="00D27125"/>
    <w:rsid w:val="00D3325C"/>
    <w:rsid w:val="00D33683"/>
    <w:rsid w:val="00D33779"/>
    <w:rsid w:val="00D337D7"/>
    <w:rsid w:val="00D35681"/>
    <w:rsid w:val="00D36006"/>
    <w:rsid w:val="00D3636F"/>
    <w:rsid w:val="00D36CE9"/>
    <w:rsid w:val="00D37969"/>
    <w:rsid w:val="00D4216D"/>
    <w:rsid w:val="00D4236A"/>
    <w:rsid w:val="00D4295F"/>
    <w:rsid w:val="00D440B3"/>
    <w:rsid w:val="00D44A30"/>
    <w:rsid w:val="00D45053"/>
    <w:rsid w:val="00D454FE"/>
    <w:rsid w:val="00D4628D"/>
    <w:rsid w:val="00D46C83"/>
    <w:rsid w:val="00D4741B"/>
    <w:rsid w:val="00D47811"/>
    <w:rsid w:val="00D47C0E"/>
    <w:rsid w:val="00D47C68"/>
    <w:rsid w:val="00D53502"/>
    <w:rsid w:val="00D537C8"/>
    <w:rsid w:val="00D53D10"/>
    <w:rsid w:val="00D545D2"/>
    <w:rsid w:val="00D5480E"/>
    <w:rsid w:val="00D54BD1"/>
    <w:rsid w:val="00D55E6A"/>
    <w:rsid w:val="00D579C5"/>
    <w:rsid w:val="00D603B7"/>
    <w:rsid w:val="00D60549"/>
    <w:rsid w:val="00D610A4"/>
    <w:rsid w:val="00D61191"/>
    <w:rsid w:val="00D6128D"/>
    <w:rsid w:val="00D614D8"/>
    <w:rsid w:val="00D61CFC"/>
    <w:rsid w:val="00D639D1"/>
    <w:rsid w:val="00D643E7"/>
    <w:rsid w:val="00D6469B"/>
    <w:rsid w:val="00D657FB"/>
    <w:rsid w:val="00D65E09"/>
    <w:rsid w:val="00D66545"/>
    <w:rsid w:val="00D66D12"/>
    <w:rsid w:val="00D67964"/>
    <w:rsid w:val="00D703D2"/>
    <w:rsid w:val="00D71386"/>
    <w:rsid w:val="00D72649"/>
    <w:rsid w:val="00D74A1C"/>
    <w:rsid w:val="00D74E58"/>
    <w:rsid w:val="00D76E58"/>
    <w:rsid w:val="00D80B72"/>
    <w:rsid w:val="00D80E68"/>
    <w:rsid w:val="00D82FC0"/>
    <w:rsid w:val="00D83B3B"/>
    <w:rsid w:val="00D842E4"/>
    <w:rsid w:val="00D84E2A"/>
    <w:rsid w:val="00D85A35"/>
    <w:rsid w:val="00D862FF"/>
    <w:rsid w:val="00D904FE"/>
    <w:rsid w:val="00D91F04"/>
    <w:rsid w:val="00D91FF4"/>
    <w:rsid w:val="00D92D33"/>
    <w:rsid w:val="00D9350E"/>
    <w:rsid w:val="00D93834"/>
    <w:rsid w:val="00D94498"/>
    <w:rsid w:val="00D95049"/>
    <w:rsid w:val="00D961CC"/>
    <w:rsid w:val="00D962BB"/>
    <w:rsid w:val="00D97D03"/>
    <w:rsid w:val="00DA1F5D"/>
    <w:rsid w:val="00DA3202"/>
    <w:rsid w:val="00DA3537"/>
    <w:rsid w:val="00DA42F1"/>
    <w:rsid w:val="00DA4746"/>
    <w:rsid w:val="00DA4A9A"/>
    <w:rsid w:val="00DA51BA"/>
    <w:rsid w:val="00DA61AA"/>
    <w:rsid w:val="00DA6C28"/>
    <w:rsid w:val="00DA6FB6"/>
    <w:rsid w:val="00DA7013"/>
    <w:rsid w:val="00DB0F0D"/>
    <w:rsid w:val="00DB61D3"/>
    <w:rsid w:val="00DB6B32"/>
    <w:rsid w:val="00DB6C7D"/>
    <w:rsid w:val="00DB6E87"/>
    <w:rsid w:val="00DC016B"/>
    <w:rsid w:val="00DC1219"/>
    <w:rsid w:val="00DC220D"/>
    <w:rsid w:val="00DC2504"/>
    <w:rsid w:val="00DC25D2"/>
    <w:rsid w:val="00DC29ED"/>
    <w:rsid w:val="00DC2FE2"/>
    <w:rsid w:val="00DC315B"/>
    <w:rsid w:val="00DC34C0"/>
    <w:rsid w:val="00DC3A18"/>
    <w:rsid w:val="00DC593F"/>
    <w:rsid w:val="00DC5C6D"/>
    <w:rsid w:val="00DC635C"/>
    <w:rsid w:val="00DC70BD"/>
    <w:rsid w:val="00DC7AAC"/>
    <w:rsid w:val="00DC7EDC"/>
    <w:rsid w:val="00DD07E8"/>
    <w:rsid w:val="00DD0940"/>
    <w:rsid w:val="00DD0FB9"/>
    <w:rsid w:val="00DD1570"/>
    <w:rsid w:val="00DD2C2C"/>
    <w:rsid w:val="00DD3238"/>
    <w:rsid w:val="00DD386C"/>
    <w:rsid w:val="00DD42F8"/>
    <w:rsid w:val="00DD4D4F"/>
    <w:rsid w:val="00DD4FBA"/>
    <w:rsid w:val="00DD4FBE"/>
    <w:rsid w:val="00DD6815"/>
    <w:rsid w:val="00DD7789"/>
    <w:rsid w:val="00DD7A49"/>
    <w:rsid w:val="00DD7AF8"/>
    <w:rsid w:val="00DE0964"/>
    <w:rsid w:val="00DE0FD9"/>
    <w:rsid w:val="00DE10C2"/>
    <w:rsid w:val="00DE15C2"/>
    <w:rsid w:val="00DE2D22"/>
    <w:rsid w:val="00DE30FB"/>
    <w:rsid w:val="00DE3C3B"/>
    <w:rsid w:val="00DE5ED8"/>
    <w:rsid w:val="00DE73D2"/>
    <w:rsid w:val="00DE7717"/>
    <w:rsid w:val="00DE77C9"/>
    <w:rsid w:val="00DF02D4"/>
    <w:rsid w:val="00DF1203"/>
    <w:rsid w:val="00DF24A9"/>
    <w:rsid w:val="00DF29DA"/>
    <w:rsid w:val="00DF322C"/>
    <w:rsid w:val="00DF3269"/>
    <w:rsid w:val="00DF4FF8"/>
    <w:rsid w:val="00DF58C4"/>
    <w:rsid w:val="00DF7C68"/>
    <w:rsid w:val="00DF7FAA"/>
    <w:rsid w:val="00E001FB"/>
    <w:rsid w:val="00E00DF2"/>
    <w:rsid w:val="00E010DC"/>
    <w:rsid w:val="00E015DB"/>
    <w:rsid w:val="00E02F25"/>
    <w:rsid w:val="00E02FF0"/>
    <w:rsid w:val="00E038DA"/>
    <w:rsid w:val="00E03AF5"/>
    <w:rsid w:val="00E05EC5"/>
    <w:rsid w:val="00E05F68"/>
    <w:rsid w:val="00E06687"/>
    <w:rsid w:val="00E06D15"/>
    <w:rsid w:val="00E10EF4"/>
    <w:rsid w:val="00E11563"/>
    <w:rsid w:val="00E1179A"/>
    <w:rsid w:val="00E12587"/>
    <w:rsid w:val="00E135AB"/>
    <w:rsid w:val="00E1516A"/>
    <w:rsid w:val="00E15D7F"/>
    <w:rsid w:val="00E15DB1"/>
    <w:rsid w:val="00E23A24"/>
    <w:rsid w:val="00E252BB"/>
    <w:rsid w:val="00E256E6"/>
    <w:rsid w:val="00E26862"/>
    <w:rsid w:val="00E314B1"/>
    <w:rsid w:val="00E31664"/>
    <w:rsid w:val="00E32A1E"/>
    <w:rsid w:val="00E32B26"/>
    <w:rsid w:val="00E337B2"/>
    <w:rsid w:val="00E34149"/>
    <w:rsid w:val="00E34B07"/>
    <w:rsid w:val="00E36DA2"/>
    <w:rsid w:val="00E40249"/>
    <w:rsid w:val="00E40596"/>
    <w:rsid w:val="00E4194E"/>
    <w:rsid w:val="00E41D21"/>
    <w:rsid w:val="00E42887"/>
    <w:rsid w:val="00E42C16"/>
    <w:rsid w:val="00E42EA3"/>
    <w:rsid w:val="00E43911"/>
    <w:rsid w:val="00E44F88"/>
    <w:rsid w:val="00E4524E"/>
    <w:rsid w:val="00E45DC7"/>
    <w:rsid w:val="00E45E23"/>
    <w:rsid w:val="00E46BD2"/>
    <w:rsid w:val="00E47C91"/>
    <w:rsid w:val="00E50604"/>
    <w:rsid w:val="00E51999"/>
    <w:rsid w:val="00E51A11"/>
    <w:rsid w:val="00E51D00"/>
    <w:rsid w:val="00E51F44"/>
    <w:rsid w:val="00E53203"/>
    <w:rsid w:val="00E5344B"/>
    <w:rsid w:val="00E54FF6"/>
    <w:rsid w:val="00E55769"/>
    <w:rsid w:val="00E55893"/>
    <w:rsid w:val="00E56D1C"/>
    <w:rsid w:val="00E5702B"/>
    <w:rsid w:val="00E608BC"/>
    <w:rsid w:val="00E61B18"/>
    <w:rsid w:val="00E622D0"/>
    <w:rsid w:val="00E62487"/>
    <w:rsid w:val="00E64465"/>
    <w:rsid w:val="00E65240"/>
    <w:rsid w:val="00E66037"/>
    <w:rsid w:val="00E6613F"/>
    <w:rsid w:val="00E6625E"/>
    <w:rsid w:val="00E67576"/>
    <w:rsid w:val="00E715E6"/>
    <w:rsid w:val="00E7295D"/>
    <w:rsid w:val="00E74BBE"/>
    <w:rsid w:val="00E77481"/>
    <w:rsid w:val="00E8029C"/>
    <w:rsid w:val="00E80A02"/>
    <w:rsid w:val="00E80C95"/>
    <w:rsid w:val="00E80CC9"/>
    <w:rsid w:val="00E8205B"/>
    <w:rsid w:val="00E83506"/>
    <w:rsid w:val="00E83ADF"/>
    <w:rsid w:val="00E84DEA"/>
    <w:rsid w:val="00E85E5E"/>
    <w:rsid w:val="00E87015"/>
    <w:rsid w:val="00E90050"/>
    <w:rsid w:val="00E90751"/>
    <w:rsid w:val="00E90B2D"/>
    <w:rsid w:val="00E90E74"/>
    <w:rsid w:val="00E91AD5"/>
    <w:rsid w:val="00E9323C"/>
    <w:rsid w:val="00E93C18"/>
    <w:rsid w:val="00E9452D"/>
    <w:rsid w:val="00E9494C"/>
    <w:rsid w:val="00E95930"/>
    <w:rsid w:val="00E962DB"/>
    <w:rsid w:val="00E9717D"/>
    <w:rsid w:val="00E97211"/>
    <w:rsid w:val="00E97C10"/>
    <w:rsid w:val="00E97C3A"/>
    <w:rsid w:val="00EA062A"/>
    <w:rsid w:val="00EA1965"/>
    <w:rsid w:val="00EA41FB"/>
    <w:rsid w:val="00EA4370"/>
    <w:rsid w:val="00EA4A02"/>
    <w:rsid w:val="00EA532D"/>
    <w:rsid w:val="00EA68FD"/>
    <w:rsid w:val="00EA6B17"/>
    <w:rsid w:val="00EA7217"/>
    <w:rsid w:val="00EA7901"/>
    <w:rsid w:val="00EB11AA"/>
    <w:rsid w:val="00EB146F"/>
    <w:rsid w:val="00EB2DAA"/>
    <w:rsid w:val="00EB435B"/>
    <w:rsid w:val="00EB6644"/>
    <w:rsid w:val="00EB6C96"/>
    <w:rsid w:val="00EC17AF"/>
    <w:rsid w:val="00EC2F36"/>
    <w:rsid w:val="00EC3594"/>
    <w:rsid w:val="00EC71A0"/>
    <w:rsid w:val="00ED0BC4"/>
    <w:rsid w:val="00ED1CE2"/>
    <w:rsid w:val="00ED1F8A"/>
    <w:rsid w:val="00ED216A"/>
    <w:rsid w:val="00ED36E2"/>
    <w:rsid w:val="00ED39CB"/>
    <w:rsid w:val="00ED3B81"/>
    <w:rsid w:val="00ED4892"/>
    <w:rsid w:val="00ED51C8"/>
    <w:rsid w:val="00ED6D1B"/>
    <w:rsid w:val="00ED719E"/>
    <w:rsid w:val="00EE0144"/>
    <w:rsid w:val="00EE04C8"/>
    <w:rsid w:val="00EE1A1B"/>
    <w:rsid w:val="00EE1B5A"/>
    <w:rsid w:val="00EE3257"/>
    <w:rsid w:val="00EE506E"/>
    <w:rsid w:val="00EE5559"/>
    <w:rsid w:val="00EE60CC"/>
    <w:rsid w:val="00EE610A"/>
    <w:rsid w:val="00EE6414"/>
    <w:rsid w:val="00EE6504"/>
    <w:rsid w:val="00EE6C17"/>
    <w:rsid w:val="00EF1556"/>
    <w:rsid w:val="00EF1A2D"/>
    <w:rsid w:val="00EF1C24"/>
    <w:rsid w:val="00EF3609"/>
    <w:rsid w:val="00EF3B97"/>
    <w:rsid w:val="00EF3CB2"/>
    <w:rsid w:val="00EF4343"/>
    <w:rsid w:val="00EF4B83"/>
    <w:rsid w:val="00EF4F73"/>
    <w:rsid w:val="00EF5462"/>
    <w:rsid w:val="00EF554C"/>
    <w:rsid w:val="00EF5BBB"/>
    <w:rsid w:val="00EF664E"/>
    <w:rsid w:val="00EF674F"/>
    <w:rsid w:val="00EF6F18"/>
    <w:rsid w:val="00EF72C2"/>
    <w:rsid w:val="00EF7943"/>
    <w:rsid w:val="00F006C3"/>
    <w:rsid w:val="00F00E05"/>
    <w:rsid w:val="00F03119"/>
    <w:rsid w:val="00F03BBC"/>
    <w:rsid w:val="00F03CD9"/>
    <w:rsid w:val="00F0423C"/>
    <w:rsid w:val="00F05A67"/>
    <w:rsid w:val="00F06F78"/>
    <w:rsid w:val="00F073B2"/>
    <w:rsid w:val="00F07B79"/>
    <w:rsid w:val="00F07C26"/>
    <w:rsid w:val="00F07CEA"/>
    <w:rsid w:val="00F108B4"/>
    <w:rsid w:val="00F11A7E"/>
    <w:rsid w:val="00F12719"/>
    <w:rsid w:val="00F1272A"/>
    <w:rsid w:val="00F143DB"/>
    <w:rsid w:val="00F14553"/>
    <w:rsid w:val="00F14F90"/>
    <w:rsid w:val="00F15829"/>
    <w:rsid w:val="00F15EF4"/>
    <w:rsid w:val="00F165C9"/>
    <w:rsid w:val="00F179DF"/>
    <w:rsid w:val="00F17A85"/>
    <w:rsid w:val="00F17B0C"/>
    <w:rsid w:val="00F20AE8"/>
    <w:rsid w:val="00F2142B"/>
    <w:rsid w:val="00F2177E"/>
    <w:rsid w:val="00F21B4F"/>
    <w:rsid w:val="00F23634"/>
    <w:rsid w:val="00F23639"/>
    <w:rsid w:val="00F24404"/>
    <w:rsid w:val="00F24C65"/>
    <w:rsid w:val="00F261FC"/>
    <w:rsid w:val="00F26BAD"/>
    <w:rsid w:val="00F276F7"/>
    <w:rsid w:val="00F30928"/>
    <w:rsid w:val="00F309FE"/>
    <w:rsid w:val="00F32213"/>
    <w:rsid w:val="00F32965"/>
    <w:rsid w:val="00F335F1"/>
    <w:rsid w:val="00F336D2"/>
    <w:rsid w:val="00F34957"/>
    <w:rsid w:val="00F34C75"/>
    <w:rsid w:val="00F364A0"/>
    <w:rsid w:val="00F36710"/>
    <w:rsid w:val="00F378F2"/>
    <w:rsid w:val="00F40C01"/>
    <w:rsid w:val="00F41E20"/>
    <w:rsid w:val="00F43CA1"/>
    <w:rsid w:val="00F43CA6"/>
    <w:rsid w:val="00F449FC"/>
    <w:rsid w:val="00F45074"/>
    <w:rsid w:val="00F4541A"/>
    <w:rsid w:val="00F456D6"/>
    <w:rsid w:val="00F4597F"/>
    <w:rsid w:val="00F45C91"/>
    <w:rsid w:val="00F468F3"/>
    <w:rsid w:val="00F471D2"/>
    <w:rsid w:val="00F479D9"/>
    <w:rsid w:val="00F47D7A"/>
    <w:rsid w:val="00F5015B"/>
    <w:rsid w:val="00F51E38"/>
    <w:rsid w:val="00F52668"/>
    <w:rsid w:val="00F52EBF"/>
    <w:rsid w:val="00F53E03"/>
    <w:rsid w:val="00F5491E"/>
    <w:rsid w:val="00F54A01"/>
    <w:rsid w:val="00F55259"/>
    <w:rsid w:val="00F55774"/>
    <w:rsid w:val="00F56147"/>
    <w:rsid w:val="00F568C8"/>
    <w:rsid w:val="00F56D65"/>
    <w:rsid w:val="00F575E0"/>
    <w:rsid w:val="00F604C2"/>
    <w:rsid w:val="00F60C93"/>
    <w:rsid w:val="00F611AE"/>
    <w:rsid w:val="00F635D6"/>
    <w:rsid w:val="00F645ED"/>
    <w:rsid w:val="00F64881"/>
    <w:rsid w:val="00F655D1"/>
    <w:rsid w:val="00F65D8D"/>
    <w:rsid w:val="00F6600F"/>
    <w:rsid w:val="00F66AB3"/>
    <w:rsid w:val="00F66DAF"/>
    <w:rsid w:val="00F7098A"/>
    <w:rsid w:val="00F725D0"/>
    <w:rsid w:val="00F72B4E"/>
    <w:rsid w:val="00F72E5B"/>
    <w:rsid w:val="00F7313E"/>
    <w:rsid w:val="00F73913"/>
    <w:rsid w:val="00F73EE8"/>
    <w:rsid w:val="00F7419E"/>
    <w:rsid w:val="00F7456D"/>
    <w:rsid w:val="00F746FF"/>
    <w:rsid w:val="00F76108"/>
    <w:rsid w:val="00F76EC4"/>
    <w:rsid w:val="00F76FC1"/>
    <w:rsid w:val="00F775DC"/>
    <w:rsid w:val="00F777D4"/>
    <w:rsid w:val="00F778FC"/>
    <w:rsid w:val="00F77E8F"/>
    <w:rsid w:val="00F80A2A"/>
    <w:rsid w:val="00F81756"/>
    <w:rsid w:val="00F81785"/>
    <w:rsid w:val="00F81843"/>
    <w:rsid w:val="00F81D82"/>
    <w:rsid w:val="00F82034"/>
    <w:rsid w:val="00F82838"/>
    <w:rsid w:val="00F83E07"/>
    <w:rsid w:val="00F849AB"/>
    <w:rsid w:val="00F86305"/>
    <w:rsid w:val="00F8744B"/>
    <w:rsid w:val="00F91AAC"/>
    <w:rsid w:val="00F92BAB"/>
    <w:rsid w:val="00F93513"/>
    <w:rsid w:val="00F940BA"/>
    <w:rsid w:val="00F95E9A"/>
    <w:rsid w:val="00F974E5"/>
    <w:rsid w:val="00FA1435"/>
    <w:rsid w:val="00FA19A3"/>
    <w:rsid w:val="00FA21CB"/>
    <w:rsid w:val="00FA2BAB"/>
    <w:rsid w:val="00FA2F1D"/>
    <w:rsid w:val="00FA49FB"/>
    <w:rsid w:val="00FA5506"/>
    <w:rsid w:val="00FA5B29"/>
    <w:rsid w:val="00FA7D89"/>
    <w:rsid w:val="00FB1AA9"/>
    <w:rsid w:val="00FB3790"/>
    <w:rsid w:val="00FB431A"/>
    <w:rsid w:val="00FB581C"/>
    <w:rsid w:val="00FB5B54"/>
    <w:rsid w:val="00FB5F62"/>
    <w:rsid w:val="00FB6336"/>
    <w:rsid w:val="00FB7303"/>
    <w:rsid w:val="00FB7648"/>
    <w:rsid w:val="00FB7823"/>
    <w:rsid w:val="00FB7B8B"/>
    <w:rsid w:val="00FB7C01"/>
    <w:rsid w:val="00FC19D2"/>
    <w:rsid w:val="00FC1CF3"/>
    <w:rsid w:val="00FC3087"/>
    <w:rsid w:val="00FC3EA0"/>
    <w:rsid w:val="00FC45A8"/>
    <w:rsid w:val="00FC4E24"/>
    <w:rsid w:val="00FC4F5B"/>
    <w:rsid w:val="00FC51DA"/>
    <w:rsid w:val="00FC6A76"/>
    <w:rsid w:val="00FC76B3"/>
    <w:rsid w:val="00FD1F74"/>
    <w:rsid w:val="00FD2B14"/>
    <w:rsid w:val="00FD3099"/>
    <w:rsid w:val="00FD309D"/>
    <w:rsid w:val="00FD4A2D"/>
    <w:rsid w:val="00FD556A"/>
    <w:rsid w:val="00FD5C86"/>
    <w:rsid w:val="00FD5D98"/>
    <w:rsid w:val="00FD7804"/>
    <w:rsid w:val="00FE19BD"/>
    <w:rsid w:val="00FE2DD2"/>
    <w:rsid w:val="00FE30D4"/>
    <w:rsid w:val="00FE38C5"/>
    <w:rsid w:val="00FE4A1A"/>
    <w:rsid w:val="00FE4A44"/>
    <w:rsid w:val="00FE4B13"/>
    <w:rsid w:val="00FE52D7"/>
    <w:rsid w:val="00FE784E"/>
    <w:rsid w:val="00FF0175"/>
    <w:rsid w:val="00FF0293"/>
    <w:rsid w:val="00FF05D2"/>
    <w:rsid w:val="00FF0E6A"/>
    <w:rsid w:val="00FF1E92"/>
    <w:rsid w:val="00FF36BA"/>
    <w:rsid w:val="00FF4335"/>
    <w:rsid w:val="00FF4904"/>
    <w:rsid w:val="00FF4DC4"/>
    <w:rsid w:val="00FF558D"/>
    <w:rsid w:val="00FF6830"/>
    <w:rsid w:val="00FF72E9"/>
    <w:rsid w:val="00FF7438"/>
    <w:rsid w:val="010B405F"/>
    <w:rsid w:val="01147FF5"/>
    <w:rsid w:val="011D55A7"/>
    <w:rsid w:val="015946EE"/>
    <w:rsid w:val="01603CA9"/>
    <w:rsid w:val="01821B74"/>
    <w:rsid w:val="01973B44"/>
    <w:rsid w:val="01B02834"/>
    <w:rsid w:val="01B42948"/>
    <w:rsid w:val="01B832CD"/>
    <w:rsid w:val="01C31FE4"/>
    <w:rsid w:val="01D270BB"/>
    <w:rsid w:val="01E468FF"/>
    <w:rsid w:val="01EA0118"/>
    <w:rsid w:val="020E02AA"/>
    <w:rsid w:val="02276B3D"/>
    <w:rsid w:val="02610BE5"/>
    <w:rsid w:val="02614DEB"/>
    <w:rsid w:val="029A7D90"/>
    <w:rsid w:val="02A661E1"/>
    <w:rsid w:val="02B77D8A"/>
    <w:rsid w:val="03132A7B"/>
    <w:rsid w:val="031D2EBC"/>
    <w:rsid w:val="032212D6"/>
    <w:rsid w:val="03247659"/>
    <w:rsid w:val="035356DA"/>
    <w:rsid w:val="035E2144"/>
    <w:rsid w:val="035E32FA"/>
    <w:rsid w:val="035E5D4E"/>
    <w:rsid w:val="036015D6"/>
    <w:rsid w:val="036C1B50"/>
    <w:rsid w:val="0394658D"/>
    <w:rsid w:val="03947371"/>
    <w:rsid w:val="03D73B24"/>
    <w:rsid w:val="03DB41BC"/>
    <w:rsid w:val="03DD6186"/>
    <w:rsid w:val="03FB6593"/>
    <w:rsid w:val="03FC7B64"/>
    <w:rsid w:val="042711AF"/>
    <w:rsid w:val="042E610C"/>
    <w:rsid w:val="04387860"/>
    <w:rsid w:val="04441D61"/>
    <w:rsid w:val="044472D9"/>
    <w:rsid w:val="044849D3"/>
    <w:rsid w:val="0451447E"/>
    <w:rsid w:val="04653941"/>
    <w:rsid w:val="04891A7B"/>
    <w:rsid w:val="048A6726"/>
    <w:rsid w:val="04B718D2"/>
    <w:rsid w:val="04CA47D7"/>
    <w:rsid w:val="04DE0867"/>
    <w:rsid w:val="04DF3E5F"/>
    <w:rsid w:val="04E2157A"/>
    <w:rsid w:val="04FC164A"/>
    <w:rsid w:val="05054324"/>
    <w:rsid w:val="050C4345"/>
    <w:rsid w:val="051C6083"/>
    <w:rsid w:val="05287F19"/>
    <w:rsid w:val="054220EE"/>
    <w:rsid w:val="05454CF0"/>
    <w:rsid w:val="0545723F"/>
    <w:rsid w:val="05535400"/>
    <w:rsid w:val="055E12FB"/>
    <w:rsid w:val="056401E1"/>
    <w:rsid w:val="05661A88"/>
    <w:rsid w:val="05674523"/>
    <w:rsid w:val="056772B7"/>
    <w:rsid w:val="056A345A"/>
    <w:rsid w:val="0585739A"/>
    <w:rsid w:val="05FD2B10"/>
    <w:rsid w:val="06085010"/>
    <w:rsid w:val="060B16A7"/>
    <w:rsid w:val="06155FCA"/>
    <w:rsid w:val="061951A8"/>
    <w:rsid w:val="061A7DF9"/>
    <w:rsid w:val="061D79B1"/>
    <w:rsid w:val="063D0AF1"/>
    <w:rsid w:val="063F6C84"/>
    <w:rsid w:val="064C734C"/>
    <w:rsid w:val="06514C09"/>
    <w:rsid w:val="06585F98"/>
    <w:rsid w:val="06B04550"/>
    <w:rsid w:val="06E83333"/>
    <w:rsid w:val="06F16BC5"/>
    <w:rsid w:val="06FA7B4C"/>
    <w:rsid w:val="06FB0C1F"/>
    <w:rsid w:val="07051904"/>
    <w:rsid w:val="07091E8C"/>
    <w:rsid w:val="070E22B8"/>
    <w:rsid w:val="07112B9B"/>
    <w:rsid w:val="071518D6"/>
    <w:rsid w:val="071F6AB6"/>
    <w:rsid w:val="073D0CEA"/>
    <w:rsid w:val="07487DBA"/>
    <w:rsid w:val="07504445"/>
    <w:rsid w:val="07505F52"/>
    <w:rsid w:val="078B01EC"/>
    <w:rsid w:val="07B16ADF"/>
    <w:rsid w:val="07B2482F"/>
    <w:rsid w:val="07B86EFA"/>
    <w:rsid w:val="07C405FB"/>
    <w:rsid w:val="07D2156D"/>
    <w:rsid w:val="07D334BD"/>
    <w:rsid w:val="07DC141F"/>
    <w:rsid w:val="07E95EFF"/>
    <w:rsid w:val="07F277F4"/>
    <w:rsid w:val="080420A1"/>
    <w:rsid w:val="081859DF"/>
    <w:rsid w:val="08381BDD"/>
    <w:rsid w:val="085C0EB2"/>
    <w:rsid w:val="089112ED"/>
    <w:rsid w:val="089F658D"/>
    <w:rsid w:val="08A21CB6"/>
    <w:rsid w:val="08AF2D93"/>
    <w:rsid w:val="08BA4CE8"/>
    <w:rsid w:val="08C61576"/>
    <w:rsid w:val="08CE2C48"/>
    <w:rsid w:val="08D20FFE"/>
    <w:rsid w:val="08E25FED"/>
    <w:rsid w:val="08F655F4"/>
    <w:rsid w:val="08FA52E5"/>
    <w:rsid w:val="08FD75AE"/>
    <w:rsid w:val="0901702A"/>
    <w:rsid w:val="090619BA"/>
    <w:rsid w:val="091F2D9D"/>
    <w:rsid w:val="09275ADB"/>
    <w:rsid w:val="093A3936"/>
    <w:rsid w:val="09412532"/>
    <w:rsid w:val="09513FD1"/>
    <w:rsid w:val="09593D81"/>
    <w:rsid w:val="09644C54"/>
    <w:rsid w:val="096E5814"/>
    <w:rsid w:val="09801A5B"/>
    <w:rsid w:val="09836082"/>
    <w:rsid w:val="098C3A47"/>
    <w:rsid w:val="099866AB"/>
    <w:rsid w:val="099E497F"/>
    <w:rsid w:val="09AA7F48"/>
    <w:rsid w:val="09C120A6"/>
    <w:rsid w:val="09C47868"/>
    <w:rsid w:val="09DB5E6D"/>
    <w:rsid w:val="09E110D4"/>
    <w:rsid w:val="09F7103D"/>
    <w:rsid w:val="09FA7640"/>
    <w:rsid w:val="0A0A75A1"/>
    <w:rsid w:val="0A13526B"/>
    <w:rsid w:val="0A2D4F3F"/>
    <w:rsid w:val="0A314B36"/>
    <w:rsid w:val="0A470032"/>
    <w:rsid w:val="0A7B45D3"/>
    <w:rsid w:val="0A801619"/>
    <w:rsid w:val="0A833EF9"/>
    <w:rsid w:val="0A903F21"/>
    <w:rsid w:val="0ABF0901"/>
    <w:rsid w:val="0AC532F7"/>
    <w:rsid w:val="0ADE4524"/>
    <w:rsid w:val="0AE4591C"/>
    <w:rsid w:val="0AF02E1A"/>
    <w:rsid w:val="0B013288"/>
    <w:rsid w:val="0B102937"/>
    <w:rsid w:val="0B297F03"/>
    <w:rsid w:val="0B57681E"/>
    <w:rsid w:val="0B5A4560"/>
    <w:rsid w:val="0B5E3462"/>
    <w:rsid w:val="0B991F60"/>
    <w:rsid w:val="0B9C5955"/>
    <w:rsid w:val="0BAC386E"/>
    <w:rsid w:val="0BAD4690"/>
    <w:rsid w:val="0BB27783"/>
    <w:rsid w:val="0BBD029B"/>
    <w:rsid w:val="0BDE0CED"/>
    <w:rsid w:val="0BEE007E"/>
    <w:rsid w:val="0BFD1DB0"/>
    <w:rsid w:val="0C1F78F9"/>
    <w:rsid w:val="0C22624B"/>
    <w:rsid w:val="0C243AB5"/>
    <w:rsid w:val="0C2539EE"/>
    <w:rsid w:val="0C3512B2"/>
    <w:rsid w:val="0C3721AC"/>
    <w:rsid w:val="0C416F0C"/>
    <w:rsid w:val="0C460641"/>
    <w:rsid w:val="0C7B0A15"/>
    <w:rsid w:val="0C80627B"/>
    <w:rsid w:val="0C9A4A9E"/>
    <w:rsid w:val="0C9F4CA9"/>
    <w:rsid w:val="0CC24854"/>
    <w:rsid w:val="0CD45858"/>
    <w:rsid w:val="0CD8573D"/>
    <w:rsid w:val="0D0C53E6"/>
    <w:rsid w:val="0D0E602F"/>
    <w:rsid w:val="0D262AE4"/>
    <w:rsid w:val="0D344435"/>
    <w:rsid w:val="0D387A9B"/>
    <w:rsid w:val="0D422FCF"/>
    <w:rsid w:val="0D474670"/>
    <w:rsid w:val="0D65621A"/>
    <w:rsid w:val="0D70748A"/>
    <w:rsid w:val="0D830E03"/>
    <w:rsid w:val="0D8609C6"/>
    <w:rsid w:val="0D8E23AE"/>
    <w:rsid w:val="0DA33982"/>
    <w:rsid w:val="0DA72D68"/>
    <w:rsid w:val="0DA90E87"/>
    <w:rsid w:val="0DBD72DB"/>
    <w:rsid w:val="0DE80A05"/>
    <w:rsid w:val="0E0013EF"/>
    <w:rsid w:val="0E117BEB"/>
    <w:rsid w:val="0E1E3623"/>
    <w:rsid w:val="0E20165D"/>
    <w:rsid w:val="0E297361"/>
    <w:rsid w:val="0E9C4FD3"/>
    <w:rsid w:val="0ED10695"/>
    <w:rsid w:val="0EDB7766"/>
    <w:rsid w:val="0EE15942"/>
    <w:rsid w:val="0F02058A"/>
    <w:rsid w:val="0F136879"/>
    <w:rsid w:val="0F3375A2"/>
    <w:rsid w:val="0F6A507F"/>
    <w:rsid w:val="0F6D1704"/>
    <w:rsid w:val="0F6E05DA"/>
    <w:rsid w:val="0F804FBC"/>
    <w:rsid w:val="0F8970CE"/>
    <w:rsid w:val="0FA50382"/>
    <w:rsid w:val="0FA6426C"/>
    <w:rsid w:val="0FB029A1"/>
    <w:rsid w:val="0FBE04FB"/>
    <w:rsid w:val="0FC1070A"/>
    <w:rsid w:val="0FC95AD1"/>
    <w:rsid w:val="0FCD4FA0"/>
    <w:rsid w:val="0FD52D8A"/>
    <w:rsid w:val="0FDC4D72"/>
    <w:rsid w:val="0FDE0D3A"/>
    <w:rsid w:val="0FF244CF"/>
    <w:rsid w:val="0FFB0A97"/>
    <w:rsid w:val="10300388"/>
    <w:rsid w:val="104D52A2"/>
    <w:rsid w:val="10584135"/>
    <w:rsid w:val="10595032"/>
    <w:rsid w:val="105E23FD"/>
    <w:rsid w:val="10692007"/>
    <w:rsid w:val="107734BE"/>
    <w:rsid w:val="10873D67"/>
    <w:rsid w:val="10893594"/>
    <w:rsid w:val="108A35CE"/>
    <w:rsid w:val="108D24A4"/>
    <w:rsid w:val="10935620"/>
    <w:rsid w:val="10B04957"/>
    <w:rsid w:val="10C12451"/>
    <w:rsid w:val="10CF50A9"/>
    <w:rsid w:val="10F02C7E"/>
    <w:rsid w:val="110B7D55"/>
    <w:rsid w:val="110F7B9B"/>
    <w:rsid w:val="111E37A3"/>
    <w:rsid w:val="113157AE"/>
    <w:rsid w:val="113849FC"/>
    <w:rsid w:val="114C4FCB"/>
    <w:rsid w:val="11623CE2"/>
    <w:rsid w:val="116E6670"/>
    <w:rsid w:val="11734915"/>
    <w:rsid w:val="11817BD7"/>
    <w:rsid w:val="118A0FD0"/>
    <w:rsid w:val="11951FA1"/>
    <w:rsid w:val="11AE50FD"/>
    <w:rsid w:val="11B318EB"/>
    <w:rsid w:val="11C40778"/>
    <w:rsid w:val="11C91AF8"/>
    <w:rsid w:val="11EB6636"/>
    <w:rsid w:val="11F17065"/>
    <w:rsid w:val="11FB025F"/>
    <w:rsid w:val="11FB7165"/>
    <w:rsid w:val="11FF45E7"/>
    <w:rsid w:val="12005730"/>
    <w:rsid w:val="1203481A"/>
    <w:rsid w:val="120402F7"/>
    <w:rsid w:val="12071DA1"/>
    <w:rsid w:val="120A2DD6"/>
    <w:rsid w:val="120A73D2"/>
    <w:rsid w:val="122F22A3"/>
    <w:rsid w:val="123668DE"/>
    <w:rsid w:val="123B3CCE"/>
    <w:rsid w:val="12415B32"/>
    <w:rsid w:val="12760546"/>
    <w:rsid w:val="12924164"/>
    <w:rsid w:val="12955E7E"/>
    <w:rsid w:val="12A9014C"/>
    <w:rsid w:val="12E34E3B"/>
    <w:rsid w:val="12F5094F"/>
    <w:rsid w:val="12F50BD1"/>
    <w:rsid w:val="131904E6"/>
    <w:rsid w:val="131E3D02"/>
    <w:rsid w:val="133438E9"/>
    <w:rsid w:val="13924778"/>
    <w:rsid w:val="13A654C3"/>
    <w:rsid w:val="13AA0708"/>
    <w:rsid w:val="13B4250D"/>
    <w:rsid w:val="13C54541"/>
    <w:rsid w:val="13CC58CF"/>
    <w:rsid w:val="13CE33F5"/>
    <w:rsid w:val="13D44784"/>
    <w:rsid w:val="1405482F"/>
    <w:rsid w:val="140D6614"/>
    <w:rsid w:val="14124F49"/>
    <w:rsid w:val="141A74F6"/>
    <w:rsid w:val="141A7A2D"/>
    <w:rsid w:val="14232468"/>
    <w:rsid w:val="142C46AF"/>
    <w:rsid w:val="142F737D"/>
    <w:rsid w:val="14382CC5"/>
    <w:rsid w:val="14392B10"/>
    <w:rsid w:val="14396904"/>
    <w:rsid w:val="145362A1"/>
    <w:rsid w:val="14537014"/>
    <w:rsid w:val="145C6A4B"/>
    <w:rsid w:val="14634868"/>
    <w:rsid w:val="14653AFF"/>
    <w:rsid w:val="147A0EFB"/>
    <w:rsid w:val="14A05F63"/>
    <w:rsid w:val="14A56231"/>
    <w:rsid w:val="14C803BA"/>
    <w:rsid w:val="14CB5B87"/>
    <w:rsid w:val="14E374C3"/>
    <w:rsid w:val="14FF0229"/>
    <w:rsid w:val="14FF348B"/>
    <w:rsid w:val="150E5CEF"/>
    <w:rsid w:val="1525173B"/>
    <w:rsid w:val="15265676"/>
    <w:rsid w:val="15491049"/>
    <w:rsid w:val="154B4432"/>
    <w:rsid w:val="1554322A"/>
    <w:rsid w:val="1566380D"/>
    <w:rsid w:val="156F6E5A"/>
    <w:rsid w:val="15745E7F"/>
    <w:rsid w:val="157C7367"/>
    <w:rsid w:val="158101CE"/>
    <w:rsid w:val="15995C85"/>
    <w:rsid w:val="159F5B27"/>
    <w:rsid w:val="15BD3FB0"/>
    <w:rsid w:val="15EB29FF"/>
    <w:rsid w:val="15F640F5"/>
    <w:rsid w:val="160D318D"/>
    <w:rsid w:val="162A6B59"/>
    <w:rsid w:val="162E0AC3"/>
    <w:rsid w:val="163F682C"/>
    <w:rsid w:val="165B61E5"/>
    <w:rsid w:val="16623428"/>
    <w:rsid w:val="168026F1"/>
    <w:rsid w:val="168432A7"/>
    <w:rsid w:val="169E17A5"/>
    <w:rsid w:val="16A6305F"/>
    <w:rsid w:val="16C14F45"/>
    <w:rsid w:val="16CF35BF"/>
    <w:rsid w:val="16DE6239"/>
    <w:rsid w:val="17283764"/>
    <w:rsid w:val="172C552C"/>
    <w:rsid w:val="172D0D7B"/>
    <w:rsid w:val="1739327C"/>
    <w:rsid w:val="17431536"/>
    <w:rsid w:val="17516817"/>
    <w:rsid w:val="175F6C4D"/>
    <w:rsid w:val="178328B8"/>
    <w:rsid w:val="17863A4D"/>
    <w:rsid w:val="17904E01"/>
    <w:rsid w:val="179E0B6B"/>
    <w:rsid w:val="17A91967"/>
    <w:rsid w:val="17B31CB9"/>
    <w:rsid w:val="17E82272"/>
    <w:rsid w:val="17F12878"/>
    <w:rsid w:val="17F26C65"/>
    <w:rsid w:val="18187C96"/>
    <w:rsid w:val="183D732D"/>
    <w:rsid w:val="18455C50"/>
    <w:rsid w:val="18717AEB"/>
    <w:rsid w:val="18795F20"/>
    <w:rsid w:val="18A92A00"/>
    <w:rsid w:val="18AB5C9A"/>
    <w:rsid w:val="18BD1C8B"/>
    <w:rsid w:val="18C748B7"/>
    <w:rsid w:val="18D170CA"/>
    <w:rsid w:val="18D771F0"/>
    <w:rsid w:val="18DE601E"/>
    <w:rsid w:val="18E118FD"/>
    <w:rsid w:val="18E20A99"/>
    <w:rsid w:val="18F11F9F"/>
    <w:rsid w:val="191666D8"/>
    <w:rsid w:val="19456052"/>
    <w:rsid w:val="194E4DB3"/>
    <w:rsid w:val="194F0D3F"/>
    <w:rsid w:val="19530555"/>
    <w:rsid w:val="19635E5B"/>
    <w:rsid w:val="198731F9"/>
    <w:rsid w:val="19886943"/>
    <w:rsid w:val="19AA20BE"/>
    <w:rsid w:val="19AE00BF"/>
    <w:rsid w:val="19B8220D"/>
    <w:rsid w:val="19BD4249"/>
    <w:rsid w:val="19CC7CF1"/>
    <w:rsid w:val="19D05211"/>
    <w:rsid w:val="19D706F0"/>
    <w:rsid w:val="19F26339"/>
    <w:rsid w:val="19F32EAE"/>
    <w:rsid w:val="19F83CBC"/>
    <w:rsid w:val="19F96F97"/>
    <w:rsid w:val="1A01362D"/>
    <w:rsid w:val="1A0C5CCD"/>
    <w:rsid w:val="1A2077B3"/>
    <w:rsid w:val="1A465726"/>
    <w:rsid w:val="1A4E0D98"/>
    <w:rsid w:val="1A50725A"/>
    <w:rsid w:val="1A557DC8"/>
    <w:rsid w:val="1A6C3C9B"/>
    <w:rsid w:val="1A6F016E"/>
    <w:rsid w:val="1A8718BA"/>
    <w:rsid w:val="1AC51A2C"/>
    <w:rsid w:val="1ACF67F1"/>
    <w:rsid w:val="1ADA4D76"/>
    <w:rsid w:val="1ADD03C2"/>
    <w:rsid w:val="1AE17956"/>
    <w:rsid w:val="1B001DD6"/>
    <w:rsid w:val="1B061FF4"/>
    <w:rsid w:val="1B067D74"/>
    <w:rsid w:val="1B0878EF"/>
    <w:rsid w:val="1B0B6046"/>
    <w:rsid w:val="1B1863C8"/>
    <w:rsid w:val="1B2B54BF"/>
    <w:rsid w:val="1B2F3CFD"/>
    <w:rsid w:val="1B31333D"/>
    <w:rsid w:val="1B455918"/>
    <w:rsid w:val="1B4A394D"/>
    <w:rsid w:val="1B5F39EC"/>
    <w:rsid w:val="1B6136BA"/>
    <w:rsid w:val="1B636B19"/>
    <w:rsid w:val="1B726EB7"/>
    <w:rsid w:val="1B793F8E"/>
    <w:rsid w:val="1B7F621D"/>
    <w:rsid w:val="1B862808"/>
    <w:rsid w:val="1BA8502E"/>
    <w:rsid w:val="1BC93951"/>
    <w:rsid w:val="1BCB48C1"/>
    <w:rsid w:val="1BD17F21"/>
    <w:rsid w:val="1BD569E5"/>
    <w:rsid w:val="1BE87D0F"/>
    <w:rsid w:val="1BF424CB"/>
    <w:rsid w:val="1BF65FAA"/>
    <w:rsid w:val="1C002CF3"/>
    <w:rsid w:val="1C227CD9"/>
    <w:rsid w:val="1C361187"/>
    <w:rsid w:val="1C3E1F2C"/>
    <w:rsid w:val="1C406E5A"/>
    <w:rsid w:val="1C4442B8"/>
    <w:rsid w:val="1C6074FD"/>
    <w:rsid w:val="1C673203"/>
    <w:rsid w:val="1C6A6E4B"/>
    <w:rsid w:val="1C7F2EE2"/>
    <w:rsid w:val="1C993699"/>
    <w:rsid w:val="1CA5324B"/>
    <w:rsid w:val="1CA73547"/>
    <w:rsid w:val="1CA77578"/>
    <w:rsid w:val="1CAD0FC9"/>
    <w:rsid w:val="1CBD1B37"/>
    <w:rsid w:val="1CD410B3"/>
    <w:rsid w:val="1CE27F12"/>
    <w:rsid w:val="1CEA033D"/>
    <w:rsid w:val="1CFD5264"/>
    <w:rsid w:val="1D155E18"/>
    <w:rsid w:val="1D434E54"/>
    <w:rsid w:val="1D454C05"/>
    <w:rsid w:val="1D4B3D09"/>
    <w:rsid w:val="1D5801D4"/>
    <w:rsid w:val="1D583581"/>
    <w:rsid w:val="1D5A004A"/>
    <w:rsid w:val="1D5A3F4C"/>
    <w:rsid w:val="1D666435"/>
    <w:rsid w:val="1D6F3E9B"/>
    <w:rsid w:val="1D7A555D"/>
    <w:rsid w:val="1D952A26"/>
    <w:rsid w:val="1DA83C2B"/>
    <w:rsid w:val="1DAB6F39"/>
    <w:rsid w:val="1DAF4298"/>
    <w:rsid w:val="1DB44E34"/>
    <w:rsid w:val="1DB67359"/>
    <w:rsid w:val="1DB83859"/>
    <w:rsid w:val="1DDE75D6"/>
    <w:rsid w:val="1DEB281A"/>
    <w:rsid w:val="1E075753"/>
    <w:rsid w:val="1E196862"/>
    <w:rsid w:val="1E3812B5"/>
    <w:rsid w:val="1E6C0744"/>
    <w:rsid w:val="1E6E1C68"/>
    <w:rsid w:val="1E742305"/>
    <w:rsid w:val="1E8A7922"/>
    <w:rsid w:val="1EAC07D7"/>
    <w:rsid w:val="1EBD463D"/>
    <w:rsid w:val="1EC024D4"/>
    <w:rsid w:val="1ECC3773"/>
    <w:rsid w:val="1EE613D0"/>
    <w:rsid w:val="1EEC32CA"/>
    <w:rsid w:val="1EF00DE4"/>
    <w:rsid w:val="1EF36406"/>
    <w:rsid w:val="1EF65EF6"/>
    <w:rsid w:val="1EFA0DBC"/>
    <w:rsid w:val="1F0374EA"/>
    <w:rsid w:val="1F0C41E9"/>
    <w:rsid w:val="1F194EFE"/>
    <w:rsid w:val="1F1F544D"/>
    <w:rsid w:val="1F3135FE"/>
    <w:rsid w:val="1F325280"/>
    <w:rsid w:val="1F3507CD"/>
    <w:rsid w:val="1F545E7A"/>
    <w:rsid w:val="1F743DF7"/>
    <w:rsid w:val="1F7E51EF"/>
    <w:rsid w:val="1F833C2E"/>
    <w:rsid w:val="1F86727A"/>
    <w:rsid w:val="1F9C4CF0"/>
    <w:rsid w:val="1FA228EE"/>
    <w:rsid w:val="1FA31351"/>
    <w:rsid w:val="1FA9342F"/>
    <w:rsid w:val="1FAB4F33"/>
    <w:rsid w:val="1FE02E2E"/>
    <w:rsid w:val="1FE83A91"/>
    <w:rsid w:val="20012EE8"/>
    <w:rsid w:val="203312DF"/>
    <w:rsid w:val="20457135"/>
    <w:rsid w:val="20542ED4"/>
    <w:rsid w:val="20564F4F"/>
    <w:rsid w:val="20631369"/>
    <w:rsid w:val="20A91472"/>
    <w:rsid w:val="20AC2D87"/>
    <w:rsid w:val="20B16579"/>
    <w:rsid w:val="20BF2C04"/>
    <w:rsid w:val="20CC0199"/>
    <w:rsid w:val="20CF07DD"/>
    <w:rsid w:val="20D17F28"/>
    <w:rsid w:val="20F541A1"/>
    <w:rsid w:val="21011D63"/>
    <w:rsid w:val="21191FE6"/>
    <w:rsid w:val="211A54A4"/>
    <w:rsid w:val="2121407A"/>
    <w:rsid w:val="21224F13"/>
    <w:rsid w:val="21393EFF"/>
    <w:rsid w:val="218B1969"/>
    <w:rsid w:val="219E4D9D"/>
    <w:rsid w:val="21A460C2"/>
    <w:rsid w:val="21AB121A"/>
    <w:rsid w:val="21AE5934"/>
    <w:rsid w:val="21B75D4E"/>
    <w:rsid w:val="21C31D13"/>
    <w:rsid w:val="21D26EA7"/>
    <w:rsid w:val="21D5349F"/>
    <w:rsid w:val="21D932CE"/>
    <w:rsid w:val="21E464DA"/>
    <w:rsid w:val="21F501F7"/>
    <w:rsid w:val="22002D72"/>
    <w:rsid w:val="22066651"/>
    <w:rsid w:val="221060DB"/>
    <w:rsid w:val="22147904"/>
    <w:rsid w:val="221943D6"/>
    <w:rsid w:val="222513A6"/>
    <w:rsid w:val="222E277C"/>
    <w:rsid w:val="22376005"/>
    <w:rsid w:val="224411F7"/>
    <w:rsid w:val="22587648"/>
    <w:rsid w:val="22592A24"/>
    <w:rsid w:val="225D5671"/>
    <w:rsid w:val="225F534A"/>
    <w:rsid w:val="2269726E"/>
    <w:rsid w:val="228804D1"/>
    <w:rsid w:val="228F28EA"/>
    <w:rsid w:val="22937B79"/>
    <w:rsid w:val="22B2794F"/>
    <w:rsid w:val="22BC5B94"/>
    <w:rsid w:val="22D07E56"/>
    <w:rsid w:val="22F40B20"/>
    <w:rsid w:val="23005595"/>
    <w:rsid w:val="23247D1B"/>
    <w:rsid w:val="23271E44"/>
    <w:rsid w:val="232E5133"/>
    <w:rsid w:val="23532F5B"/>
    <w:rsid w:val="235A2EF8"/>
    <w:rsid w:val="235D295F"/>
    <w:rsid w:val="235F0FFB"/>
    <w:rsid w:val="236A05EE"/>
    <w:rsid w:val="237704EA"/>
    <w:rsid w:val="238D217D"/>
    <w:rsid w:val="23903AD6"/>
    <w:rsid w:val="23933193"/>
    <w:rsid w:val="2395285A"/>
    <w:rsid w:val="239C706C"/>
    <w:rsid w:val="239D4B92"/>
    <w:rsid w:val="239F6F26"/>
    <w:rsid w:val="23A6135E"/>
    <w:rsid w:val="23AA3482"/>
    <w:rsid w:val="23E802AE"/>
    <w:rsid w:val="23F448BE"/>
    <w:rsid w:val="24014120"/>
    <w:rsid w:val="24066BDB"/>
    <w:rsid w:val="2410057E"/>
    <w:rsid w:val="24217D2C"/>
    <w:rsid w:val="242F108C"/>
    <w:rsid w:val="24455956"/>
    <w:rsid w:val="244E5900"/>
    <w:rsid w:val="245711E5"/>
    <w:rsid w:val="246409F6"/>
    <w:rsid w:val="24681CE8"/>
    <w:rsid w:val="247324B6"/>
    <w:rsid w:val="247612A3"/>
    <w:rsid w:val="2477199A"/>
    <w:rsid w:val="247B0D31"/>
    <w:rsid w:val="2497538A"/>
    <w:rsid w:val="2516048E"/>
    <w:rsid w:val="251B66B7"/>
    <w:rsid w:val="25262DC7"/>
    <w:rsid w:val="252F0AA4"/>
    <w:rsid w:val="25381B3E"/>
    <w:rsid w:val="2538655B"/>
    <w:rsid w:val="255A710F"/>
    <w:rsid w:val="256242E5"/>
    <w:rsid w:val="25720768"/>
    <w:rsid w:val="257D2ECD"/>
    <w:rsid w:val="258129BE"/>
    <w:rsid w:val="258F7B51"/>
    <w:rsid w:val="25A46683"/>
    <w:rsid w:val="25A477D9"/>
    <w:rsid w:val="25A90276"/>
    <w:rsid w:val="25CF67F4"/>
    <w:rsid w:val="25D115E1"/>
    <w:rsid w:val="25F003B9"/>
    <w:rsid w:val="261264E6"/>
    <w:rsid w:val="263F0378"/>
    <w:rsid w:val="26842992"/>
    <w:rsid w:val="26846BAB"/>
    <w:rsid w:val="268564DD"/>
    <w:rsid w:val="26866E09"/>
    <w:rsid w:val="26893BD5"/>
    <w:rsid w:val="26977FBF"/>
    <w:rsid w:val="26B23998"/>
    <w:rsid w:val="26B35448"/>
    <w:rsid w:val="26D7485F"/>
    <w:rsid w:val="26F7280B"/>
    <w:rsid w:val="27077ACD"/>
    <w:rsid w:val="27156D01"/>
    <w:rsid w:val="272052A6"/>
    <w:rsid w:val="272446F2"/>
    <w:rsid w:val="272C6AC8"/>
    <w:rsid w:val="27321A96"/>
    <w:rsid w:val="274A7C87"/>
    <w:rsid w:val="274F2964"/>
    <w:rsid w:val="27561C28"/>
    <w:rsid w:val="27582BEC"/>
    <w:rsid w:val="278D4CE0"/>
    <w:rsid w:val="27AD2ABF"/>
    <w:rsid w:val="27B93886"/>
    <w:rsid w:val="27C546B8"/>
    <w:rsid w:val="27CC68DF"/>
    <w:rsid w:val="27DD1109"/>
    <w:rsid w:val="27E041DD"/>
    <w:rsid w:val="27F830FF"/>
    <w:rsid w:val="27FC2C9F"/>
    <w:rsid w:val="28022F28"/>
    <w:rsid w:val="282A2EFA"/>
    <w:rsid w:val="285C6510"/>
    <w:rsid w:val="2866082D"/>
    <w:rsid w:val="287C56BE"/>
    <w:rsid w:val="289854EC"/>
    <w:rsid w:val="28A945E1"/>
    <w:rsid w:val="28B40744"/>
    <w:rsid w:val="28B74AAF"/>
    <w:rsid w:val="28BC607B"/>
    <w:rsid w:val="28C04065"/>
    <w:rsid w:val="28D84EE2"/>
    <w:rsid w:val="28DB3E38"/>
    <w:rsid w:val="28F53FF8"/>
    <w:rsid w:val="28FD07B3"/>
    <w:rsid w:val="29116B08"/>
    <w:rsid w:val="291370A5"/>
    <w:rsid w:val="291C3003"/>
    <w:rsid w:val="292A4863"/>
    <w:rsid w:val="292A511A"/>
    <w:rsid w:val="292C75E5"/>
    <w:rsid w:val="293E0BC6"/>
    <w:rsid w:val="29512E02"/>
    <w:rsid w:val="29521CEB"/>
    <w:rsid w:val="29527EB0"/>
    <w:rsid w:val="298D478D"/>
    <w:rsid w:val="299A3E90"/>
    <w:rsid w:val="29B55B1E"/>
    <w:rsid w:val="29B6075C"/>
    <w:rsid w:val="29B8339B"/>
    <w:rsid w:val="29BE4BA0"/>
    <w:rsid w:val="29CF1366"/>
    <w:rsid w:val="29E26210"/>
    <w:rsid w:val="29E5260C"/>
    <w:rsid w:val="29E67293"/>
    <w:rsid w:val="29EC51DA"/>
    <w:rsid w:val="29FF7471"/>
    <w:rsid w:val="2A0145A5"/>
    <w:rsid w:val="2A0A2BAF"/>
    <w:rsid w:val="2A1A5063"/>
    <w:rsid w:val="2A206EC5"/>
    <w:rsid w:val="2A2B739C"/>
    <w:rsid w:val="2A4F5E3A"/>
    <w:rsid w:val="2A5454FD"/>
    <w:rsid w:val="2A862824"/>
    <w:rsid w:val="2A9860B3"/>
    <w:rsid w:val="2AC10B16"/>
    <w:rsid w:val="2ACD0AF9"/>
    <w:rsid w:val="2AD01CF1"/>
    <w:rsid w:val="2AE17A5A"/>
    <w:rsid w:val="2B1F6D73"/>
    <w:rsid w:val="2B310D63"/>
    <w:rsid w:val="2B437574"/>
    <w:rsid w:val="2B5621F6"/>
    <w:rsid w:val="2B5D5BAC"/>
    <w:rsid w:val="2B6F32B8"/>
    <w:rsid w:val="2B757C5E"/>
    <w:rsid w:val="2B7B10D7"/>
    <w:rsid w:val="2B8B33EF"/>
    <w:rsid w:val="2B8E7BE2"/>
    <w:rsid w:val="2B9601FE"/>
    <w:rsid w:val="2BA74026"/>
    <w:rsid w:val="2BB43ACE"/>
    <w:rsid w:val="2BD63656"/>
    <w:rsid w:val="2BE772F2"/>
    <w:rsid w:val="2BF378B4"/>
    <w:rsid w:val="2BF70140"/>
    <w:rsid w:val="2BFC7DAE"/>
    <w:rsid w:val="2C094058"/>
    <w:rsid w:val="2C11436F"/>
    <w:rsid w:val="2C292DC5"/>
    <w:rsid w:val="2C2E0A7D"/>
    <w:rsid w:val="2C310C87"/>
    <w:rsid w:val="2C3F2C8B"/>
    <w:rsid w:val="2C442F1C"/>
    <w:rsid w:val="2C453C76"/>
    <w:rsid w:val="2C4C158F"/>
    <w:rsid w:val="2C666469"/>
    <w:rsid w:val="2C6C0817"/>
    <w:rsid w:val="2C6E531E"/>
    <w:rsid w:val="2C70042A"/>
    <w:rsid w:val="2C8573E5"/>
    <w:rsid w:val="2C862691"/>
    <w:rsid w:val="2C881338"/>
    <w:rsid w:val="2C9C632F"/>
    <w:rsid w:val="2CA43838"/>
    <w:rsid w:val="2CC0158D"/>
    <w:rsid w:val="2CC22E30"/>
    <w:rsid w:val="2CC6515A"/>
    <w:rsid w:val="2CD02700"/>
    <w:rsid w:val="2CD258AD"/>
    <w:rsid w:val="2CE1519E"/>
    <w:rsid w:val="2CE174D6"/>
    <w:rsid w:val="2CFC5020"/>
    <w:rsid w:val="2D0B4249"/>
    <w:rsid w:val="2D430559"/>
    <w:rsid w:val="2D471377"/>
    <w:rsid w:val="2D485B6F"/>
    <w:rsid w:val="2D561543"/>
    <w:rsid w:val="2D562763"/>
    <w:rsid w:val="2D5B3AF4"/>
    <w:rsid w:val="2D741D1E"/>
    <w:rsid w:val="2D8B4DCF"/>
    <w:rsid w:val="2D8C0151"/>
    <w:rsid w:val="2DA65CEE"/>
    <w:rsid w:val="2DB0363B"/>
    <w:rsid w:val="2DB6425D"/>
    <w:rsid w:val="2DC5599B"/>
    <w:rsid w:val="2DE82DF9"/>
    <w:rsid w:val="2DF11AEB"/>
    <w:rsid w:val="2DFE4AF8"/>
    <w:rsid w:val="2E0351D1"/>
    <w:rsid w:val="2E0645A7"/>
    <w:rsid w:val="2E0771DF"/>
    <w:rsid w:val="2E1437D5"/>
    <w:rsid w:val="2E183793"/>
    <w:rsid w:val="2E1A2F14"/>
    <w:rsid w:val="2E3567CC"/>
    <w:rsid w:val="2E3E2DA1"/>
    <w:rsid w:val="2E3E2E65"/>
    <w:rsid w:val="2E447770"/>
    <w:rsid w:val="2E4938B9"/>
    <w:rsid w:val="2E5D3D18"/>
    <w:rsid w:val="2E734E6D"/>
    <w:rsid w:val="2E7B47FD"/>
    <w:rsid w:val="2E7F7CB6"/>
    <w:rsid w:val="2E9841B3"/>
    <w:rsid w:val="2EAC037F"/>
    <w:rsid w:val="2EB8622E"/>
    <w:rsid w:val="2EC34844"/>
    <w:rsid w:val="2ECF360C"/>
    <w:rsid w:val="2F024E18"/>
    <w:rsid w:val="2F096F19"/>
    <w:rsid w:val="2F25069B"/>
    <w:rsid w:val="2F4D0911"/>
    <w:rsid w:val="2F5C3B54"/>
    <w:rsid w:val="2F5E167A"/>
    <w:rsid w:val="2F693686"/>
    <w:rsid w:val="2F79019A"/>
    <w:rsid w:val="2F7E398F"/>
    <w:rsid w:val="2F814C90"/>
    <w:rsid w:val="2FAD2A13"/>
    <w:rsid w:val="2FC05A6E"/>
    <w:rsid w:val="2FD22EE5"/>
    <w:rsid w:val="2FE105E3"/>
    <w:rsid w:val="2FFC7523"/>
    <w:rsid w:val="2FFE2E5D"/>
    <w:rsid w:val="300C44F8"/>
    <w:rsid w:val="301D1A81"/>
    <w:rsid w:val="3025663B"/>
    <w:rsid w:val="3031562F"/>
    <w:rsid w:val="306B7B85"/>
    <w:rsid w:val="308F588C"/>
    <w:rsid w:val="30A360FB"/>
    <w:rsid w:val="30A55EFA"/>
    <w:rsid w:val="30CA4D02"/>
    <w:rsid w:val="310346D9"/>
    <w:rsid w:val="311231E4"/>
    <w:rsid w:val="3166141E"/>
    <w:rsid w:val="31697021"/>
    <w:rsid w:val="31806095"/>
    <w:rsid w:val="31946931"/>
    <w:rsid w:val="319C19F5"/>
    <w:rsid w:val="31A03FFE"/>
    <w:rsid w:val="31B72D77"/>
    <w:rsid w:val="31C16A4D"/>
    <w:rsid w:val="32075784"/>
    <w:rsid w:val="321130B1"/>
    <w:rsid w:val="32137D35"/>
    <w:rsid w:val="32171FB4"/>
    <w:rsid w:val="323A5DEA"/>
    <w:rsid w:val="326977A1"/>
    <w:rsid w:val="32791ECF"/>
    <w:rsid w:val="327E1A7D"/>
    <w:rsid w:val="327E38FF"/>
    <w:rsid w:val="32800130"/>
    <w:rsid w:val="32885FF9"/>
    <w:rsid w:val="328B40E0"/>
    <w:rsid w:val="328F56E5"/>
    <w:rsid w:val="32A618C3"/>
    <w:rsid w:val="32A73338"/>
    <w:rsid w:val="32B1173B"/>
    <w:rsid w:val="32BF4B25"/>
    <w:rsid w:val="32C412CB"/>
    <w:rsid w:val="32C46D85"/>
    <w:rsid w:val="32C5226D"/>
    <w:rsid w:val="32C92530"/>
    <w:rsid w:val="32D700AC"/>
    <w:rsid w:val="32DF36FA"/>
    <w:rsid w:val="32E42356"/>
    <w:rsid w:val="32F42FBE"/>
    <w:rsid w:val="32F47AC6"/>
    <w:rsid w:val="331F3816"/>
    <w:rsid w:val="331F746E"/>
    <w:rsid w:val="33296443"/>
    <w:rsid w:val="3335354B"/>
    <w:rsid w:val="335164FE"/>
    <w:rsid w:val="3354177D"/>
    <w:rsid w:val="3371420F"/>
    <w:rsid w:val="338B76CC"/>
    <w:rsid w:val="33910B46"/>
    <w:rsid w:val="33AB1303"/>
    <w:rsid w:val="33AC58FF"/>
    <w:rsid w:val="33B95FE1"/>
    <w:rsid w:val="33EC2561"/>
    <w:rsid w:val="342A2472"/>
    <w:rsid w:val="34383BCA"/>
    <w:rsid w:val="34394463"/>
    <w:rsid w:val="343B75F5"/>
    <w:rsid w:val="343E3121"/>
    <w:rsid w:val="34460F36"/>
    <w:rsid w:val="34515C51"/>
    <w:rsid w:val="34670FD0"/>
    <w:rsid w:val="34713C19"/>
    <w:rsid w:val="34761214"/>
    <w:rsid w:val="3476339E"/>
    <w:rsid w:val="347D3C45"/>
    <w:rsid w:val="348F7B04"/>
    <w:rsid w:val="349124F1"/>
    <w:rsid w:val="34AF1476"/>
    <w:rsid w:val="34B00BC9"/>
    <w:rsid w:val="34B8182C"/>
    <w:rsid w:val="34D06B52"/>
    <w:rsid w:val="34DD683A"/>
    <w:rsid w:val="34DE5CD2"/>
    <w:rsid w:val="34EB3AB0"/>
    <w:rsid w:val="34EB6690"/>
    <w:rsid w:val="351235C4"/>
    <w:rsid w:val="35241514"/>
    <w:rsid w:val="3549085C"/>
    <w:rsid w:val="35594FA8"/>
    <w:rsid w:val="35660D61"/>
    <w:rsid w:val="35681D8E"/>
    <w:rsid w:val="357561DA"/>
    <w:rsid w:val="357619D3"/>
    <w:rsid w:val="358D2CB9"/>
    <w:rsid w:val="358F5F1B"/>
    <w:rsid w:val="35A262AC"/>
    <w:rsid w:val="35AB1013"/>
    <w:rsid w:val="35D408E8"/>
    <w:rsid w:val="35E8023D"/>
    <w:rsid w:val="35E975AD"/>
    <w:rsid w:val="35EE7531"/>
    <w:rsid w:val="35F10982"/>
    <w:rsid w:val="35F679F4"/>
    <w:rsid w:val="3618321B"/>
    <w:rsid w:val="363D042A"/>
    <w:rsid w:val="364A0EE4"/>
    <w:rsid w:val="367F0ED1"/>
    <w:rsid w:val="36827F46"/>
    <w:rsid w:val="368B6C14"/>
    <w:rsid w:val="36911D1F"/>
    <w:rsid w:val="36950EC9"/>
    <w:rsid w:val="36A55DE0"/>
    <w:rsid w:val="36CD5290"/>
    <w:rsid w:val="3704706F"/>
    <w:rsid w:val="37052D23"/>
    <w:rsid w:val="37096C2A"/>
    <w:rsid w:val="371F07AA"/>
    <w:rsid w:val="3727713D"/>
    <w:rsid w:val="379C3687"/>
    <w:rsid w:val="37A97B52"/>
    <w:rsid w:val="37E05EA6"/>
    <w:rsid w:val="37EE581E"/>
    <w:rsid w:val="37F03BA5"/>
    <w:rsid w:val="380A6843"/>
    <w:rsid w:val="380E4447"/>
    <w:rsid w:val="38350BC7"/>
    <w:rsid w:val="3845214E"/>
    <w:rsid w:val="387243E8"/>
    <w:rsid w:val="3883739D"/>
    <w:rsid w:val="388623F2"/>
    <w:rsid w:val="389266D4"/>
    <w:rsid w:val="389B6DC3"/>
    <w:rsid w:val="38A42C8E"/>
    <w:rsid w:val="38B44A00"/>
    <w:rsid w:val="38B9074E"/>
    <w:rsid w:val="38D10AEB"/>
    <w:rsid w:val="38D3552B"/>
    <w:rsid w:val="38EA64FC"/>
    <w:rsid w:val="38FE127E"/>
    <w:rsid w:val="390C20A7"/>
    <w:rsid w:val="390D288B"/>
    <w:rsid w:val="39167A57"/>
    <w:rsid w:val="39180AEB"/>
    <w:rsid w:val="393831E7"/>
    <w:rsid w:val="3947398A"/>
    <w:rsid w:val="394A2C6F"/>
    <w:rsid w:val="394C69E7"/>
    <w:rsid w:val="396C5D4A"/>
    <w:rsid w:val="396E18FE"/>
    <w:rsid w:val="396F135A"/>
    <w:rsid w:val="39700927"/>
    <w:rsid w:val="39735F15"/>
    <w:rsid w:val="397D12FF"/>
    <w:rsid w:val="39824A92"/>
    <w:rsid w:val="39D864CC"/>
    <w:rsid w:val="39E427DE"/>
    <w:rsid w:val="39E82072"/>
    <w:rsid w:val="3A0A215A"/>
    <w:rsid w:val="3A1D2AE5"/>
    <w:rsid w:val="3A2B2AA0"/>
    <w:rsid w:val="3A3053F5"/>
    <w:rsid w:val="3A3C2EFF"/>
    <w:rsid w:val="3A496E4B"/>
    <w:rsid w:val="3A654204"/>
    <w:rsid w:val="3A6B6602"/>
    <w:rsid w:val="3A7734E0"/>
    <w:rsid w:val="3A877F68"/>
    <w:rsid w:val="3AA3266A"/>
    <w:rsid w:val="3AC86541"/>
    <w:rsid w:val="3AD76784"/>
    <w:rsid w:val="3ADA2567"/>
    <w:rsid w:val="3ADE4698"/>
    <w:rsid w:val="3AE01683"/>
    <w:rsid w:val="3AE03F44"/>
    <w:rsid w:val="3AED5FA8"/>
    <w:rsid w:val="3AEE599F"/>
    <w:rsid w:val="3B014E43"/>
    <w:rsid w:val="3B0341E1"/>
    <w:rsid w:val="3B0E2795"/>
    <w:rsid w:val="3B130E80"/>
    <w:rsid w:val="3B1D688D"/>
    <w:rsid w:val="3B315D0F"/>
    <w:rsid w:val="3B3470B6"/>
    <w:rsid w:val="3B3743C7"/>
    <w:rsid w:val="3B566015"/>
    <w:rsid w:val="3B582288"/>
    <w:rsid w:val="3B5F3F38"/>
    <w:rsid w:val="3B6036F9"/>
    <w:rsid w:val="3BA21679"/>
    <w:rsid w:val="3BB55711"/>
    <w:rsid w:val="3BB76FA5"/>
    <w:rsid w:val="3BDB22D1"/>
    <w:rsid w:val="3BEA0563"/>
    <w:rsid w:val="3BEB6CF7"/>
    <w:rsid w:val="3BF03FA1"/>
    <w:rsid w:val="3BF07AFD"/>
    <w:rsid w:val="3BF17D1D"/>
    <w:rsid w:val="3C355E58"/>
    <w:rsid w:val="3C6D54D1"/>
    <w:rsid w:val="3C862210"/>
    <w:rsid w:val="3C8D17F0"/>
    <w:rsid w:val="3C9031B9"/>
    <w:rsid w:val="3CA8487C"/>
    <w:rsid w:val="3CB6683D"/>
    <w:rsid w:val="3CB9628C"/>
    <w:rsid w:val="3CBB1F82"/>
    <w:rsid w:val="3CBF6C62"/>
    <w:rsid w:val="3CC33FFA"/>
    <w:rsid w:val="3CC65FAA"/>
    <w:rsid w:val="3CE8111C"/>
    <w:rsid w:val="3D053A7C"/>
    <w:rsid w:val="3D0F1246"/>
    <w:rsid w:val="3D26593B"/>
    <w:rsid w:val="3D366121"/>
    <w:rsid w:val="3D3D0834"/>
    <w:rsid w:val="3D4405EF"/>
    <w:rsid w:val="3D593BEF"/>
    <w:rsid w:val="3D9226FE"/>
    <w:rsid w:val="3DB419C8"/>
    <w:rsid w:val="3DC6081B"/>
    <w:rsid w:val="3DD63D61"/>
    <w:rsid w:val="3DDB658B"/>
    <w:rsid w:val="3DED085D"/>
    <w:rsid w:val="3E0368E3"/>
    <w:rsid w:val="3E0843D4"/>
    <w:rsid w:val="3E18333B"/>
    <w:rsid w:val="3E353EED"/>
    <w:rsid w:val="3E3D1BF9"/>
    <w:rsid w:val="3E50745D"/>
    <w:rsid w:val="3E5A74CC"/>
    <w:rsid w:val="3E6451E5"/>
    <w:rsid w:val="3E6F394E"/>
    <w:rsid w:val="3E7378C3"/>
    <w:rsid w:val="3E774E70"/>
    <w:rsid w:val="3EA57093"/>
    <w:rsid w:val="3F0538C0"/>
    <w:rsid w:val="3F1E0E78"/>
    <w:rsid w:val="3F3100DC"/>
    <w:rsid w:val="3F34746E"/>
    <w:rsid w:val="3F3B29E6"/>
    <w:rsid w:val="3F4C7741"/>
    <w:rsid w:val="3F50558C"/>
    <w:rsid w:val="3F632485"/>
    <w:rsid w:val="3F6A47B8"/>
    <w:rsid w:val="3F770160"/>
    <w:rsid w:val="3F80563C"/>
    <w:rsid w:val="3F811B3E"/>
    <w:rsid w:val="3F8C2233"/>
    <w:rsid w:val="3FA612DB"/>
    <w:rsid w:val="3FA94B93"/>
    <w:rsid w:val="3FCB0CEA"/>
    <w:rsid w:val="3FD15E98"/>
    <w:rsid w:val="3FEB51AC"/>
    <w:rsid w:val="3FEB5DA7"/>
    <w:rsid w:val="3FEE1C38"/>
    <w:rsid w:val="3FF04570"/>
    <w:rsid w:val="3FF94716"/>
    <w:rsid w:val="400224F5"/>
    <w:rsid w:val="40154CEE"/>
    <w:rsid w:val="40155D85"/>
    <w:rsid w:val="40213F6F"/>
    <w:rsid w:val="4036798A"/>
    <w:rsid w:val="404228F2"/>
    <w:rsid w:val="40580367"/>
    <w:rsid w:val="407928B5"/>
    <w:rsid w:val="407A208B"/>
    <w:rsid w:val="4087076F"/>
    <w:rsid w:val="4090485C"/>
    <w:rsid w:val="409724DC"/>
    <w:rsid w:val="409E3FCC"/>
    <w:rsid w:val="40A0395C"/>
    <w:rsid w:val="40AB0497"/>
    <w:rsid w:val="40BD11C3"/>
    <w:rsid w:val="40BE5438"/>
    <w:rsid w:val="40BE61C7"/>
    <w:rsid w:val="40CB28E7"/>
    <w:rsid w:val="40CC3BEB"/>
    <w:rsid w:val="40D94361"/>
    <w:rsid w:val="40EE28C0"/>
    <w:rsid w:val="4100002F"/>
    <w:rsid w:val="4106434B"/>
    <w:rsid w:val="41180799"/>
    <w:rsid w:val="41297E05"/>
    <w:rsid w:val="412A3589"/>
    <w:rsid w:val="41350EE8"/>
    <w:rsid w:val="4138744C"/>
    <w:rsid w:val="413927BC"/>
    <w:rsid w:val="413D73BD"/>
    <w:rsid w:val="41441117"/>
    <w:rsid w:val="4145663B"/>
    <w:rsid w:val="415D3E87"/>
    <w:rsid w:val="41775923"/>
    <w:rsid w:val="418034F1"/>
    <w:rsid w:val="419E7FFC"/>
    <w:rsid w:val="41A82C28"/>
    <w:rsid w:val="41AB27F1"/>
    <w:rsid w:val="41BE642C"/>
    <w:rsid w:val="41C90376"/>
    <w:rsid w:val="41EF2E79"/>
    <w:rsid w:val="42020A0B"/>
    <w:rsid w:val="420C473F"/>
    <w:rsid w:val="42113F9B"/>
    <w:rsid w:val="4214006C"/>
    <w:rsid w:val="422308A5"/>
    <w:rsid w:val="426D634C"/>
    <w:rsid w:val="426F3502"/>
    <w:rsid w:val="4271069A"/>
    <w:rsid w:val="42891929"/>
    <w:rsid w:val="428B07A2"/>
    <w:rsid w:val="429A76AC"/>
    <w:rsid w:val="429B69F6"/>
    <w:rsid w:val="42A33B1C"/>
    <w:rsid w:val="42AE658F"/>
    <w:rsid w:val="42B20202"/>
    <w:rsid w:val="42B64197"/>
    <w:rsid w:val="42C44C64"/>
    <w:rsid w:val="42D3075F"/>
    <w:rsid w:val="42DF08CC"/>
    <w:rsid w:val="42EA72ED"/>
    <w:rsid w:val="42FF2CE2"/>
    <w:rsid w:val="43095949"/>
    <w:rsid w:val="431C7EEC"/>
    <w:rsid w:val="432602A9"/>
    <w:rsid w:val="432743DA"/>
    <w:rsid w:val="43282273"/>
    <w:rsid w:val="432D1637"/>
    <w:rsid w:val="43376770"/>
    <w:rsid w:val="433B0CFD"/>
    <w:rsid w:val="43560B8E"/>
    <w:rsid w:val="43672D9B"/>
    <w:rsid w:val="436D0D42"/>
    <w:rsid w:val="437E4BE0"/>
    <w:rsid w:val="438132F6"/>
    <w:rsid w:val="43855B49"/>
    <w:rsid w:val="438F58E4"/>
    <w:rsid w:val="43927789"/>
    <w:rsid w:val="4396542E"/>
    <w:rsid w:val="43A7080F"/>
    <w:rsid w:val="43B34232"/>
    <w:rsid w:val="43C13821"/>
    <w:rsid w:val="43C4720A"/>
    <w:rsid w:val="43DB1093"/>
    <w:rsid w:val="43E23109"/>
    <w:rsid w:val="43EB701F"/>
    <w:rsid w:val="441C1E20"/>
    <w:rsid w:val="44253909"/>
    <w:rsid w:val="44365B64"/>
    <w:rsid w:val="443A0D37"/>
    <w:rsid w:val="443E022D"/>
    <w:rsid w:val="44554EF4"/>
    <w:rsid w:val="44605C8B"/>
    <w:rsid w:val="446472DA"/>
    <w:rsid w:val="446B0669"/>
    <w:rsid w:val="44777C33"/>
    <w:rsid w:val="44850AB5"/>
    <w:rsid w:val="44A16398"/>
    <w:rsid w:val="44D166BA"/>
    <w:rsid w:val="44D75CFE"/>
    <w:rsid w:val="44E93C84"/>
    <w:rsid w:val="44F85C75"/>
    <w:rsid w:val="452105C8"/>
    <w:rsid w:val="4533649F"/>
    <w:rsid w:val="454B3FF6"/>
    <w:rsid w:val="456825AA"/>
    <w:rsid w:val="457D1757"/>
    <w:rsid w:val="458D2861"/>
    <w:rsid w:val="458F1F29"/>
    <w:rsid w:val="45AF4585"/>
    <w:rsid w:val="45B87FE0"/>
    <w:rsid w:val="45BB3C2F"/>
    <w:rsid w:val="45C06792"/>
    <w:rsid w:val="45DD20A7"/>
    <w:rsid w:val="45DE6404"/>
    <w:rsid w:val="45E97AE3"/>
    <w:rsid w:val="46110DBF"/>
    <w:rsid w:val="461976CE"/>
    <w:rsid w:val="462A67D2"/>
    <w:rsid w:val="464736A7"/>
    <w:rsid w:val="464C0026"/>
    <w:rsid w:val="46584054"/>
    <w:rsid w:val="46780FD2"/>
    <w:rsid w:val="467852BF"/>
    <w:rsid w:val="467F509E"/>
    <w:rsid w:val="46880A03"/>
    <w:rsid w:val="468E0E29"/>
    <w:rsid w:val="46941FF3"/>
    <w:rsid w:val="46B81B60"/>
    <w:rsid w:val="46B94814"/>
    <w:rsid w:val="46C625F9"/>
    <w:rsid w:val="46D4507A"/>
    <w:rsid w:val="46DD157B"/>
    <w:rsid w:val="46F16F28"/>
    <w:rsid w:val="46FD10BA"/>
    <w:rsid w:val="46FD4490"/>
    <w:rsid w:val="470B4C19"/>
    <w:rsid w:val="471C6118"/>
    <w:rsid w:val="47637D1D"/>
    <w:rsid w:val="47941C85"/>
    <w:rsid w:val="479F23CE"/>
    <w:rsid w:val="479F61CE"/>
    <w:rsid w:val="47AE3EFD"/>
    <w:rsid w:val="47C30CAB"/>
    <w:rsid w:val="47D06A35"/>
    <w:rsid w:val="47DB184D"/>
    <w:rsid w:val="47E12ED1"/>
    <w:rsid w:val="47E51EDA"/>
    <w:rsid w:val="47E67491"/>
    <w:rsid w:val="4800731A"/>
    <w:rsid w:val="483376F0"/>
    <w:rsid w:val="486B7331"/>
    <w:rsid w:val="486C49B0"/>
    <w:rsid w:val="487B1097"/>
    <w:rsid w:val="488C2FCB"/>
    <w:rsid w:val="48A55776"/>
    <w:rsid w:val="48CE404D"/>
    <w:rsid w:val="48D367DD"/>
    <w:rsid w:val="48D51D10"/>
    <w:rsid w:val="48DA6AAF"/>
    <w:rsid w:val="48FC3A36"/>
    <w:rsid w:val="49170DBF"/>
    <w:rsid w:val="491A440C"/>
    <w:rsid w:val="4920012C"/>
    <w:rsid w:val="49227764"/>
    <w:rsid w:val="49297C71"/>
    <w:rsid w:val="49394203"/>
    <w:rsid w:val="4943384A"/>
    <w:rsid w:val="495E0FA4"/>
    <w:rsid w:val="4971393F"/>
    <w:rsid w:val="49724248"/>
    <w:rsid w:val="497435F8"/>
    <w:rsid w:val="49AA2DB5"/>
    <w:rsid w:val="49C40EAB"/>
    <w:rsid w:val="49C63835"/>
    <w:rsid w:val="49E73656"/>
    <w:rsid w:val="49ED38CE"/>
    <w:rsid w:val="49F420F2"/>
    <w:rsid w:val="49F904C5"/>
    <w:rsid w:val="4A0F2796"/>
    <w:rsid w:val="4A374734"/>
    <w:rsid w:val="4A42674E"/>
    <w:rsid w:val="4A4A1D68"/>
    <w:rsid w:val="4A6A782A"/>
    <w:rsid w:val="4A6D4A0F"/>
    <w:rsid w:val="4A76642C"/>
    <w:rsid w:val="4A7F6DC7"/>
    <w:rsid w:val="4A8271C0"/>
    <w:rsid w:val="4A982D6E"/>
    <w:rsid w:val="4A9D482B"/>
    <w:rsid w:val="4AA03036"/>
    <w:rsid w:val="4AB02DFD"/>
    <w:rsid w:val="4AC3551C"/>
    <w:rsid w:val="4AC97E97"/>
    <w:rsid w:val="4ACB1C3F"/>
    <w:rsid w:val="4AD66829"/>
    <w:rsid w:val="4AEB1A9F"/>
    <w:rsid w:val="4B2E1324"/>
    <w:rsid w:val="4B3710E8"/>
    <w:rsid w:val="4B3D4BD8"/>
    <w:rsid w:val="4B564C63"/>
    <w:rsid w:val="4B693428"/>
    <w:rsid w:val="4B751DCD"/>
    <w:rsid w:val="4B8575D2"/>
    <w:rsid w:val="4B9F447C"/>
    <w:rsid w:val="4BB1658B"/>
    <w:rsid w:val="4BBA1ED6"/>
    <w:rsid w:val="4BC13264"/>
    <w:rsid w:val="4BDB2578"/>
    <w:rsid w:val="4C375079"/>
    <w:rsid w:val="4C3C1436"/>
    <w:rsid w:val="4C3F3592"/>
    <w:rsid w:val="4C491509"/>
    <w:rsid w:val="4C5B541D"/>
    <w:rsid w:val="4C6205A3"/>
    <w:rsid w:val="4C673E0C"/>
    <w:rsid w:val="4C812429"/>
    <w:rsid w:val="4C8C4BCD"/>
    <w:rsid w:val="4C955BB8"/>
    <w:rsid w:val="4CAB483C"/>
    <w:rsid w:val="4CB01C25"/>
    <w:rsid w:val="4CC65CA2"/>
    <w:rsid w:val="4CCB6C1A"/>
    <w:rsid w:val="4CCF1A7B"/>
    <w:rsid w:val="4CEC0A5C"/>
    <w:rsid w:val="4CEC4C74"/>
    <w:rsid w:val="4CFE0FFE"/>
    <w:rsid w:val="4D003F50"/>
    <w:rsid w:val="4D0C6761"/>
    <w:rsid w:val="4D4879FD"/>
    <w:rsid w:val="4D657307"/>
    <w:rsid w:val="4D672C56"/>
    <w:rsid w:val="4D6B5A33"/>
    <w:rsid w:val="4D77783D"/>
    <w:rsid w:val="4D7D140D"/>
    <w:rsid w:val="4D7F007A"/>
    <w:rsid w:val="4D895482"/>
    <w:rsid w:val="4D937C5C"/>
    <w:rsid w:val="4DA30E74"/>
    <w:rsid w:val="4DA826DC"/>
    <w:rsid w:val="4DBC5473"/>
    <w:rsid w:val="4DC62DB4"/>
    <w:rsid w:val="4DC93BF3"/>
    <w:rsid w:val="4DE4148C"/>
    <w:rsid w:val="4DF55553"/>
    <w:rsid w:val="4E17716C"/>
    <w:rsid w:val="4E1E6A32"/>
    <w:rsid w:val="4E2D2B48"/>
    <w:rsid w:val="4E492F4C"/>
    <w:rsid w:val="4E6607A2"/>
    <w:rsid w:val="4E661EA1"/>
    <w:rsid w:val="4E8C40B2"/>
    <w:rsid w:val="4E9C3B15"/>
    <w:rsid w:val="4EA330F5"/>
    <w:rsid w:val="4EC15A3B"/>
    <w:rsid w:val="4ECB6E9D"/>
    <w:rsid w:val="4ECC660A"/>
    <w:rsid w:val="4ECE3DA7"/>
    <w:rsid w:val="4EDE7C89"/>
    <w:rsid w:val="4EDF61EE"/>
    <w:rsid w:val="4EE63DE6"/>
    <w:rsid w:val="4EE822BA"/>
    <w:rsid w:val="4EEC684A"/>
    <w:rsid w:val="4EF14390"/>
    <w:rsid w:val="4EF31987"/>
    <w:rsid w:val="4F1027B2"/>
    <w:rsid w:val="4F2333BD"/>
    <w:rsid w:val="4F6C001D"/>
    <w:rsid w:val="4F7E4D1B"/>
    <w:rsid w:val="4F8E4DE3"/>
    <w:rsid w:val="4F9263D3"/>
    <w:rsid w:val="4F940AF7"/>
    <w:rsid w:val="4FA06D67"/>
    <w:rsid w:val="4FA3572B"/>
    <w:rsid w:val="4FB46432"/>
    <w:rsid w:val="4FDF38FC"/>
    <w:rsid w:val="4FE61695"/>
    <w:rsid w:val="502A2CBA"/>
    <w:rsid w:val="50632B3C"/>
    <w:rsid w:val="5087673B"/>
    <w:rsid w:val="50903EA1"/>
    <w:rsid w:val="50976855"/>
    <w:rsid w:val="50A20221"/>
    <w:rsid w:val="50BD1228"/>
    <w:rsid w:val="50CA4969"/>
    <w:rsid w:val="50DC4E4F"/>
    <w:rsid w:val="50DE7360"/>
    <w:rsid w:val="50EE68AA"/>
    <w:rsid w:val="50F40CA7"/>
    <w:rsid w:val="510D2ABC"/>
    <w:rsid w:val="5119769F"/>
    <w:rsid w:val="5125573E"/>
    <w:rsid w:val="512C2F2E"/>
    <w:rsid w:val="512C5624"/>
    <w:rsid w:val="517770D7"/>
    <w:rsid w:val="51A5108F"/>
    <w:rsid w:val="51B03B5F"/>
    <w:rsid w:val="51B625A0"/>
    <w:rsid w:val="51C1310C"/>
    <w:rsid w:val="51C71BE5"/>
    <w:rsid w:val="51DD06CC"/>
    <w:rsid w:val="51E21EA5"/>
    <w:rsid w:val="51E55FD2"/>
    <w:rsid w:val="520A4E65"/>
    <w:rsid w:val="522E1C64"/>
    <w:rsid w:val="52483D98"/>
    <w:rsid w:val="524B2F77"/>
    <w:rsid w:val="52513A21"/>
    <w:rsid w:val="525F4F49"/>
    <w:rsid w:val="527E2865"/>
    <w:rsid w:val="5291428F"/>
    <w:rsid w:val="52A56AC4"/>
    <w:rsid w:val="52AA27C0"/>
    <w:rsid w:val="52BC1F05"/>
    <w:rsid w:val="52C631FB"/>
    <w:rsid w:val="52E90C98"/>
    <w:rsid w:val="52F047F3"/>
    <w:rsid w:val="53083D8B"/>
    <w:rsid w:val="531333D0"/>
    <w:rsid w:val="531D4BD1"/>
    <w:rsid w:val="53325753"/>
    <w:rsid w:val="534B7B55"/>
    <w:rsid w:val="53630CB2"/>
    <w:rsid w:val="53956485"/>
    <w:rsid w:val="53C01588"/>
    <w:rsid w:val="53D13424"/>
    <w:rsid w:val="540068E7"/>
    <w:rsid w:val="542D76E9"/>
    <w:rsid w:val="544A400D"/>
    <w:rsid w:val="547C7EA6"/>
    <w:rsid w:val="54A4350F"/>
    <w:rsid w:val="54B1143E"/>
    <w:rsid w:val="54B1742F"/>
    <w:rsid w:val="54BA3D4D"/>
    <w:rsid w:val="54BC6A89"/>
    <w:rsid w:val="54DC110F"/>
    <w:rsid w:val="550177B1"/>
    <w:rsid w:val="5516017D"/>
    <w:rsid w:val="55172147"/>
    <w:rsid w:val="551854D4"/>
    <w:rsid w:val="551B3AB4"/>
    <w:rsid w:val="55275551"/>
    <w:rsid w:val="553611A2"/>
    <w:rsid w:val="555667CB"/>
    <w:rsid w:val="555D0827"/>
    <w:rsid w:val="556D6E76"/>
    <w:rsid w:val="556F7EA8"/>
    <w:rsid w:val="5580547B"/>
    <w:rsid w:val="559062F8"/>
    <w:rsid w:val="559A1B85"/>
    <w:rsid w:val="559B6F82"/>
    <w:rsid w:val="55A35A63"/>
    <w:rsid w:val="55CC0068"/>
    <w:rsid w:val="55DE1EF8"/>
    <w:rsid w:val="55E26825"/>
    <w:rsid w:val="55F56727"/>
    <w:rsid w:val="55FE085D"/>
    <w:rsid w:val="56030DB8"/>
    <w:rsid w:val="56085B9D"/>
    <w:rsid w:val="560E730D"/>
    <w:rsid w:val="561D32D4"/>
    <w:rsid w:val="562058F5"/>
    <w:rsid w:val="5629178B"/>
    <w:rsid w:val="5629450C"/>
    <w:rsid w:val="564A3312"/>
    <w:rsid w:val="565E2936"/>
    <w:rsid w:val="56AC6A95"/>
    <w:rsid w:val="56AE5573"/>
    <w:rsid w:val="56B86DFE"/>
    <w:rsid w:val="56BD02E8"/>
    <w:rsid w:val="56EF7724"/>
    <w:rsid w:val="56FF0AB4"/>
    <w:rsid w:val="571359B2"/>
    <w:rsid w:val="57165992"/>
    <w:rsid w:val="571900B0"/>
    <w:rsid w:val="57262578"/>
    <w:rsid w:val="57392E88"/>
    <w:rsid w:val="57524A14"/>
    <w:rsid w:val="575B5235"/>
    <w:rsid w:val="57646C4D"/>
    <w:rsid w:val="57697B57"/>
    <w:rsid w:val="576F0018"/>
    <w:rsid w:val="57746715"/>
    <w:rsid w:val="57864E12"/>
    <w:rsid w:val="579820DB"/>
    <w:rsid w:val="579C2095"/>
    <w:rsid w:val="57B61E43"/>
    <w:rsid w:val="57B6362E"/>
    <w:rsid w:val="57BB6C75"/>
    <w:rsid w:val="57D214A8"/>
    <w:rsid w:val="57D4238E"/>
    <w:rsid w:val="57DB56AE"/>
    <w:rsid w:val="57DE652C"/>
    <w:rsid w:val="58244A52"/>
    <w:rsid w:val="58253E71"/>
    <w:rsid w:val="582750CF"/>
    <w:rsid w:val="58276B45"/>
    <w:rsid w:val="582D664F"/>
    <w:rsid w:val="583154FD"/>
    <w:rsid w:val="5834575C"/>
    <w:rsid w:val="58417C07"/>
    <w:rsid w:val="585744EB"/>
    <w:rsid w:val="58621782"/>
    <w:rsid w:val="58693620"/>
    <w:rsid w:val="587A7C52"/>
    <w:rsid w:val="587F3A5B"/>
    <w:rsid w:val="588A7B3D"/>
    <w:rsid w:val="588B7E14"/>
    <w:rsid w:val="588D4BFA"/>
    <w:rsid w:val="58B754D5"/>
    <w:rsid w:val="58C223CA"/>
    <w:rsid w:val="58C42B4B"/>
    <w:rsid w:val="58CA2334"/>
    <w:rsid w:val="58EA5AD8"/>
    <w:rsid w:val="59146310"/>
    <w:rsid w:val="591947F9"/>
    <w:rsid w:val="594D16FB"/>
    <w:rsid w:val="594D2DFA"/>
    <w:rsid w:val="59777A50"/>
    <w:rsid w:val="59897661"/>
    <w:rsid w:val="59B9557B"/>
    <w:rsid w:val="59C068A7"/>
    <w:rsid w:val="59C503C4"/>
    <w:rsid w:val="59C849CE"/>
    <w:rsid w:val="59E211E4"/>
    <w:rsid w:val="59E6380F"/>
    <w:rsid w:val="59EA1653"/>
    <w:rsid w:val="59EA431C"/>
    <w:rsid w:val="5A195812"/>
    <w:rsid w:val="5A38042E"/>
    <w:rsid w:val="5A3F02CF"/>
    <w:rsid w:val="5A4A3C78"/>
    <w:rsid w:val="5A504131"/>
    <w:rsid w:val="5A513A05"/>
    <w:rsid w:val="5A5A6D5E"/>
    <w:rsid w:val="5A6D2920"/>
    <w:rsid w:val="5A7B1F27"/>
    <w:rsid w:val="5A863EC0"/>
    <w:rsid w:val="5A910CA3"/>
    <w:rsid w:val="5A971D60"/>
    <w:rsid w:val="5A985AD8"/>
    <w:rsid w:val="5AA13A2D"/>
    <w:rsid w:val="5AA34D46"/>
    <w:rsid w:val="5AC2016A"/>
    <w:rsid w:val="5AC24903"/>
    <w:rsid w:val="5ACB1A0A"/>
    <w:rsid w:val="5B013AD3"/>
    <w:rsid w:val="5B062A42"/>
    <w:rsid w:val="5B1E3E30"/>
    <w:rsid w:val="5B224F27"/>
    <w:rsid w:val="5B417F1E"/>
    <w:rsid w:val="5B4B6EBA"/>
    <w:rsid w:val="5B6D7ACC"/>
    <w:rsid w:val="5B8B0C80"/>
    <w:rsid w:val="5BA26AC4"/>
    <w:rsid w:val="5BA43FB8"/>
    <w:rsid w:val="5BCF0196"/>
    <w:rsid w:val="5BE35DA8"/>
    <w:rsid w:val="5C2F1DC6"/>
    <w:rsid w:val="5C555D49"/>
    <w:rsid w:val="5C583771"/>
    <w:rsid w:val="5C583F73"/>
    <w:rsid w:val="5C635F8C"/>
    <w:rsid w:val="5C743C9D"/>
    <w:rsid w:val="5C797243"/>
    <w:rsid w:val="5C8207EE"/>
    <w:rsid w:val="5C874444"/>
    <w:rsid w:val="5C976A06"/>
    <w:rsid w:val="5CB17137"/>
    <w:rsid w:val="5CBD743B"/>
    <w:rsid w:val="5CC217C2"/>
    <w:rsid w:val="5CD348E8"/>
    <w:rsid w:val="5CD561D2"/>
    <w:rsid w:val="5CDC76AA"/>
    <w:rsid w:val="5CE44D2E"/>
    <w:rsid w:val="5CE93508"/>
    <w:rsid w:val="5CFC234E"/>
    <w:rsid w:val="5D164702"/>
    <w:rsid w:val="5D1710DD"/>
    <w:rsid w:val="5D29112B"/>
    <w:rsid w:val="5D5B76CC"/>
    <w:rsid w:val="5D825D1D"/>
    <w:rsid w:val="5D940E92"/>
    <w:rsid w:val="5DA20977"/>
    <w:rsid w:val="5DA54794"/>
    <w:rsid w:val="5DB13676"/>
    <w:rsid w:val="5DEE04B2"/>
    <w:rsid w:val="5DF70B6B"/>
    <w:rsid w:val="5E005689"/>
    <w:rsid w:val="5E492CBC"/>
    <w:rsid w:val="5E5F29A3"/>
    <w:rsid w:val="5E6033FB"/>
    <w:rsid w:val="5E652175"/>
    <w:rsid w:val="5EA51C4A"/>
    <w:rsid w:val="5EC7073A"/>
    <w:rsid w:val="5ED61944"/>
    <w:rsid w:val="5EE82D66"/>
    <w:rsid w:val="5EFA6320"/>
    <w:rsid w:val="5F0563D5"/>
    <w:rsid w:val="5F113D74"/>
    <w:rsid w:val="5F207F44"/>
    <w:rsid w:val="5F29509B"/>
    <w:rsid w:val="5F3034AF"/>
    <w:rsid w:val="5F367D2E"/>
    <w:rsid w:val="5F445518"/>
    <w:rsid w:val="5F4B375C"/>
    <w:rsid w:val="5F557AF4"/>
    <w:rsid w:val="5F750196"/>
    <w:rsid w:val="5F8B1768"/>
    <w:rsid w:val="5F90442C"/>
    <w:rsid w:val="5FA32F55"/>
    <w:rsid w:val="5FA55E0F"/>
    <w:rsid w:val="5FB200B3"/>
    <w:rsid w:val="5FDB26EF"/>
    <w:rsid w:val="5FE377F5"/>
    <w:rsid w:val="5FEA280D"/>
    <w:rsid w:val="5FF34A8E"/>
    <w:rsid w:val="5FF67529"/>
    <w:rsid w:val="602A71D2"/>
    <w:rsid w:val="603F7330"/>
    <w:rsid w:val="6051475F"/>
    <w:rsid w:val="60570CCE"/>
    <w:rsid w:val="606215FE"/>
    <w:rsid w:val="607761AB"/>
    <w:rsid w:val="607B592C"/>
    <w:rsid w:val="60816931"/>
    <w:rsid w:val="609C0E0D"/>
    <w:rsid w:val="609D79A4"/>
    <w:rsid w:val="60A92A11"/>
    <w:rsid w:val="60B62785"/>
    <w:rsid w:val="60BE0D40"/>
    <w:rsid w:val="60BF5E50"/>
    <w:rsid w:val="60C01EF2"/>
    <w:rsid w:val="60C95281"/>
    <w:rsid w:val="60CA15B3"/>
    <w:rsid w:val="60D8668A"/>
    <w:rsid w:val="60EE6452"/>
    <w:rsid w:val="60FC2713"/>
    <w:rsid w:val="610B7004"/>
    <w:rsid w:val="61126730"/>
    <w:rsid w:val="61130D94"/>
    <w:rsid w:val="6133465E"/>
    <w:rsid w:val="613E7590"/>
    <w:rsid w:val="61712209"/>
    <w:rsid w:val="618D39AB"/>
    <w:rsid w:val="61A62889"/>
    <w:rsid w:val="61A85995"/>
    <w:rsid w:val="61F62C86"/>
    <w:rsid w:val="61FB3509"/>
    <w:rsid w:val="62061EA0"/>
    <w:rsid w:val="62333CAD"/>
    <w:rsid w:val="624C1CC0"/>
    <w:rsid w:val="625E13B5"/>
    <w:rsid w:val="626A5FAC"/>
    <w:rsid w:val="62835FFC"/>
    <w:rsid w:val="62922E0D"/>
    <w:rsid w:val="62A0377C"/>
    <w:rsid w:val="62A67CAD"/>
    <w:rsid w:val="62B611F1"/>
    <w:rsid w:val="62CC4571"/>
    <w:rsid w:val="62CD14DA"/>
    <w:rsid w:val="62DD3F47"/>
    <w:rsid w:val="62E1459A"/>
    <w:rsid w:val="62E23D94"/>
    <w:rsid w:val="630978F4"/>
    <w:rsid w:val="630D5889"/>
    <w:rsid w:val="63116428"/>
    <w:rsid w:val="631463DD"/>
    <w:rsid w:val="63147A92"/>
    <w:rsid w:val="632674FD"/>
    <w:rsid w:val="633A597E"/>
    <w:rsid w:val="633A6636"/>
    <w:rsid w:val="634405AB"/>
    <w:rsid w:val="634F4437"/>
    <w:rsid w:val="63700796"/>
    <w:rsid w:val="637627EA"/>
    <w:rsid w:val="637E48A2"/>
    <w:rsid w:val="639E2B06"/>
    <w:rsid w:val="63A34BA5"/>
    <w:rsid w:val="63A47403"/>
    <w:rsid w:val="63B5357F"/>
    <w:rsid w:val="63B86B33"/>
    <w:rsid w:val="63BC6393"/>
    <w:rsid w:val="63D6500B"/>
    <w:rsid w:val="63D66C55"/>
    <w:rsid w:val="63E44617"/>
    <w:rsid w:val="63E46CC2"/>
    <w:rsid w:val="63F024E1"/>
    <w:rsid w:val="63F056DA"/>
    <w:rsid w:val="63F26259"/>
    <w:rsid w:val="6404520A"/>
    <w:rsid w:val="6447583A"/>
    <w:rsid w:val="64545489"/>
    <w:rsid w:val="646F78AA"/>
    <w:rsid w:val="64847FAD"/>
    <w:rsid w:val="64866457"/>
    <w:rsid w:val="64994927"/>
    <w:rsid w:val="64AC5BED"/>
    <w:rsid w:val="64AE3B45"/>
    <w:rsid w:val="64B45977"/>
    <w:rsid w:val="64BD06B8"/>
    <w:rsid w:val="651254A9"/>
    <w:rsid w:val="65186504"/>
    <w:rsid w:val="651C29CA"/>
    <w:rsid w:val="65252425"/>
    <w:rsid w:val="652B1DD9"/>
    <w:rsid w:val="653A3E35"/>
    <w:rsid w:val="6552399E"/>
    <w:rsid w:val="655C2DFC"/>
    <w:rsid w:val="655F347A"/>
    <w:rsid w:val="656C47DC"/>
    <w:rsid w:val="656F1A59"/>
    <w:rsid w:val="6575293A"/>
    <w:rsid w:val="657C227E"/>
    <w:rsid w:val="65812852"/>
    <w:rsid w:val="658253BB"/>
    <w:rsid w:val="658A5A61"/>
    <w:rsid w:val="658F4E24"/>
    <w:rsid w:val="65941BA1"/>
    <w:rsid w:val="65962A55"/>
    <w:rsid w:val="65AC2438"/>
    <w:rsid w:val="65BB3B2B"/>
    <w:rsid w:val="65E70FAE"/>
    <w:rsid w:val="65ED4F2A"/>
    <w:rsid w:val="65F31E15"/>
    <w:rsid w:val="65FE6FA8"/>
    <w:rsid w:val="660E4441"/>
    <w:rsid w:val="6615622F"/>
    <w:rsid w:val="661E179C"/>
    <w:rsid w:val="662D3578"/>
    <w:rsid w:val="662E109F"/>
    <w:rsid w:val="664D6EF3"/>
    <w:rsid w:val="665F1DCB"/>
    <w:rsid w:val="66652D12"/>
    <w:rsid w:val="66691475"/>
    <w:rsid w:val="666C3F95"/>
    <w:rsid w:val="666F5074"/>
    <w:rsid w:val="66703465"/>
    <w:rsid w:val="667D1942"/>
    <w:rsid w:val="66855930"/>
    <w:rsid w:val="66857B88"/>
    <w:rsid w:val="669A03A5"/>
    <w:rsid w:val="66A22725"/>
    <w:rsid w:val="66A42958"/>
    <w:rsid w:val="66A55805"/>
    <w:rsid w:val="66AB59B6"/>
    <w:rsid w:val="66B101D4"/>
    <w:rsid w:val="66B617C0"/>
    <w:rsid w:val="66C35C8B"/>
    <w:rsid w:val="66C36B6E"/>
    <w:rsid w:val="66D35104"/>
    <w:rsid w:val="66E9171E"/>
    <w:rsid w:val="66FB5FAB"/>
    <w:rsid w:val="66FF14AB"/>
    <w:rsid w:val="67045D5A"/>
    <w:rsid w:val="67123257"/>
    <w:rsid w:val="67221AB9"/>
    <w:rsid w:val="67241AA7"/>
    <w:rsid w:val="6737012A"/>
    <w:rsid w:val="673D3C8F"/>
    <w:rsid w:val="674768BC"/>
    <w:rsid w:val="674E2452"/>
    <w:rsid w:val="675863D3"/>
    <w:rsid w:val="675B26BF"/>
    <w:rsid w:val="67635852"/>
    <w:rsid w:val="67636108"/>
    <w:rsid w:val="67667A2E"/>
    <w:rsid w:val="677F1D31"/>
    <w:rsid w:val="678D5F51"/>
    <w:rsid w:val="67AA14BB"/>
    <w:rsid w:val="67BA708E"/>
    <w:rsid w:val="67BF5061"/>
    <w:rsid w:val="67C23CFA"/>
    <w:rsid w:val="67E8492F"/>
    <w:rsid w:val="683A73F2"/>
    <w:rsid w:val="684C1458"/>
    <w:rsid w:val="68532BD2"/>
    <w:rsid w:val="68572B2F"/>
    <w:rsid w:val="689119E7"/>
    <w:rsid w:val="68A0524E"/>
    <w:rsid w:val="68AF1F9A"/>
    <w:rsid w:val="68B56769"/>
    <w:rsid w:val="68B608B5"/>
    <w:rsid w:val="68BD37FA"/>
    <w:rsid w:val="68F14D31"/>
    <w:rsid w:val="68F61EC3"/>
    <w:rsid w:val="690262F9"/>
    <w:rsid w:val="69066FB0"/>
    <w:rsid w:val="69082FB0"/>
    <w:rsid w:val="69194288"/>
    <w:rsid w:val="69205616"/>
    <w:rsid w:val="6954169C"/>
    <w:rsid w:val="69690609"/>
    <w:rsid w:val="69741D3B"/>
    <w:rsid w:val="69783242"/>
    <w:rsid w:val="698341BC"/>
    <w:rsid w:val="69990490"/>
    <w:rsid w:val="69A51678"/>
    <w:rsid w:val="69A932A5"/>
    <w:rsid w:val="69B06249"/>
    <w:rsid w:val="69B46F0D"/>
    <w:rsid w:val="69C96991"/>
    <w:rsid w:val="69DA7573"/>
    <w:rsid w:val="69F72DA5"/>
    <w:rsid w:val="69FB17BB"/>
    <w:rsid w:val="6A014727"/>
    <w:rsid w:val="6A0171F6"/>
    <w:rsid w:val="6A094A7D"/>
    <w:rsid w:val="6A1D1B56"/>
    <w:rsid w:val="6A325601"/>
    <w:rsid w:val="6A35075E"/>
    <w:rsid w:val="6A561D57"/>
    <w:rsid w:val="6A7C4ACE"/>
    <w:rsid w:val="6A827546"/>
    <w:rsid w:val="6A8E01AC"/>
    <w:rsid w:val="6A9B4F18"/>
    <w:rsid w:val="6A9D2FFF"/>
    <w:rsid w:val="6AD10D9A"/>
    <w:rsid w:val="6B250CC2"/>
    <w:rsid w:val="6B2A07E3"/>
    <w:rsid w:val="6B387EAD"/>
    <w:rsid w:val="6B3B3D69"/>
    <w:rsid w:val="6B4D74BE"/>
    <w:rsid w:val="6B69019F"/>
    <w:rsid w:val="6B6932A5"/>
    <w:rsid w:val="6B7A4282"/>
    <w:rsid w:val="6B8E553F"/>
    <w:rsid w:val="6B972116"/>
    <w:rsid w:val="6B9F34AE"/>
    <w:rsid w:val="6BB768C6"/>
    <w:rsid w:val="6BC63F8B"/>
    <w:rsid w:val="6BDB5825"/>
    <w:rsid w:val="6C004846"/>
    <w:rsid w:val="6C181DE1"/>
    <w:rsid w:val="6C5A3A38"/>
    <w:rsid w:val="6C625834"/>
    <w:rsid w:val="6C8B1FCC"/>
    <w:rsid w:val="6C8D641D"/>
    <w:rsid w:val="6C9719DE"/>
    <w:rsid w:val="6C9B464B"/>
    <w:rsid w:val="6CBC0B36"/>
    <w:rsid w:val="6CC15112"/>
    <w:rsid w:val="6CDC7B2E"/>
    <w:rsid w:val="6CE07597"/>
    <w:rsid w:val="6CE67310"/>
    <w:rsid w:val="6D2A028B"/>
    <w:rsid w:val="6D3678A7"/>
    <w:rsid w:val="6D484191"/>
    <w:rsid w:val="6D584EF7"/>
    <w:rsid w:val="6D5B4E6F"/>
    <w:rsid w:val="6D5E495F"/>
    <w:rsid w:val="6D6E1341"/>
    <w:rsid w:val="6DA33DC3"/>
    <w:rsid w:val="6DAB3516"/>
    <w:rsid w:val="6DDB1D86"/>
    <w:rsid w:val="6DFD746F"/>
    <w:rsid w:val="6E0C7F17"/>
    <w:rsid w:val="6E0E1831"/>
    <w:rsid w:val="6E1A6AD8"/>
    <w:rsid w:val="6E412AB5"/>
    <w:rsid w:val="6E63733A"/>
    <w:rsid w:val="6E8A2144"/>
    <w:rsid w:val="6EAF766B"/>
    <w:rsid w:val="6EC42294"/>
    <w:rsid w:val="6EC57659"/>
    <w:rsid w:val="6ECA2F53"/>
    <w:rsid w:val="6ED914CA"/>
    <w:rsid w:val="6EE964AB"/>
    <w:rsid w:val="6EEE7ADE"/>
    <w:rsid w:val="6F0716FB"/>
    <w:rsid w:val="6F12155D"/>
    <w:rsid w:val="6F1B06F9"/>
    <w:rsid w:val="6F337E5B"/>
    <w:rsid w:val="6F3F79F9"/>
    <w:rsid w:val="6F577767"/>
    <w:rsid w:val="6F5B3B82"/>
    <w:rsid w:val="6F7915DC"/>
    <w:rsid w:val="6F7C731F"/>
    <w:rsid w:val="6F806E0F"/>
    <w:rsid w:val="6FA65D1A"/>
    <w:rsid w:val="6FAF4FFE"/>
    <w:rsid w:val="6FB159BE"/>
    <w:rsid w:val="6FC35714"/>
    <w:rsid w:val="70102387"/>
    <w:rsid w:val="701916C3"/>
    <w:rsid w:val="7019691C"/>
    <w:rsid w:val="703704B9"/>
    <w:rsid w:val="7054684C"/>
    <w:rsid w:val="70721085"/>
    <w:rsid w:val="707B1384"/>
    <w:rsid w:val="708010DE"/>
    <w:rsid w:val="70A366C9"/>
    <w:rsid w:val="70A81DD1"/>
    <w:rsid w:val="70A932EB"/>
    <w:rsid w:val="70BF2599"/>
    <w:rsid w:val="70C03214"/>
    <w:rsid w:val="70D82B4B"/>
    <w:rsid w:val="70F71CA7"/>
    <w:rsid w:val="70F84DF9"/>
    <w:rsid w:val="70FE7B84"/>
    <w:rsid w:val="710271DF"/>
    <w:rsid w:val="710C47A1"/>
    <w:rsid w:val="71346BF7"/>
    <w:rsid w:val="71356173"/>
    <w:rsid w:val="7151398E"/>
    <w:rsid w:val="71556738"/>
    <w:rsid w:val="715A2CA1"/>
    <w:rsid w:val="71727590"/>
    <w:rsid w:val="719C5A56"/>
    <w:rsid w:val="71D365FE"/>
    <w:rsid w:val="71D85E83"/>
    <w:rsid w:val="71DC3C75"/>
    <w:rsid w:val="71E33685"/>
    <w:rsid w:val="71E500FD"/>
    <w:rsid w:val="71ED4998"/>
    <w:rsid w:val="720158B9"/>
    <w:rsid w:val="720A4B5A"/>
    <w:rsid w:val="7213624A"/>
    <w:rsid w:val="721B7446"/>
    <w:rsid w:val="721E517F"/>
    <w:rsid w:val="7228289D"/>
    <w:rsid w:val="723B526F"/>
    <w:rsid w:val="72650206"/>
    <w:rsid w:val="7287616D"/>
    <w:rsid w:val="729D1A86"/>
    <w:rsid w:val="72B64D8C"/>
    <w:rsid w:val="72C54B39"/>
    <w:rsid w:val="72C65C4D"/>
    <w:rsid w:val="72CC5EC7"/>
    <w:rsid w:val="72F0391D"/>
    <w:rsid w:val="72F83D1E"/>
    <w:rsid w:val="73022291"/>
    <w:rsid w:val="732238C2"/>
    <w:rsid w:val="732618AF"/>
    <w:rsid w:val="733673A5"/>
    <w:rsid w:val="734C06B3"/>
    <w:rsid w:val="73592E29"/>
    <w:rsid w:val="735C5189"/>
    <w:rsid w:val="73645430"/>
    <w:rsid w:val="736D76AA"/>
    <w:rsid w:val="737722D7"/>
    <w:rsid w:val="7398161E"/>
    <w:rsid w:val="73A259AC"/>
    <w:rsid w:val="73B04B84"/>
    <w:rsid w:val="73B23292"/>
    <w:rsid w:val="73C27BF8"/>
    <w:rsid w:val="73D408C4"/>
    <w:rsid w:val="73D466FC"/>
    <w:rsid w:val="73F92CEC"/>
    <w:rsid w:val="73FB30BD"/>
    <w:rsid w:val="74152E80"/>
    <w:rsid w:val="742A0F8C"/>
    <w:rsid w:val="7476433D"/>
    <w:rsid w:val="74A10136"/>
    <w:rsid w:val="74AE7F7A"/>
    <w:rsid w:val="74B33CEF"/>
    <w:rsid w:val="74B44E65"/>
    <w:rsid w:val="74D07EF1"/>
    <w:rsid w:val="74D60B15"/>
    <w:rsid w:val="74DC74E1"/>
    <w:rsid w:val="74E15F8C"/>
    <w:rsid w:val="74EF3025"/>
    <w:rsid w:val="74F35208"/>
    <w:rsid w:val="74FD0CC0"/>
    <w:rsid w:val="75203AA1"/>
    <w:rsid w:val="75491A51"/>
    <w:rsid w:val="75504125"/>
    <w:rsid w:val="759D02C4"/>
    <w:rsid w:val="75B90985"/>
    <w:rsid w:val="75BD50DA"/>
    <w:rsid w:val="75D25EEA"/>
    <w:rsid w:val="75D532E5"/>
    <w:rsid w:val="75E16C11"/>
    <w:rsid w:val="76116A13"/>
    <w:rsid w:val="762045BE"/>
    <w:rsid w:val="76252C69"/>
    <w:rsid w:val="7625601A"/>
    <w:rsid w:val="763A23D2"/>
    <w:rsid w:val="763E0E8A"/>
    <w:rsid w:val="76404766"/>
    <w:rsid w:val="764346F2"/>
    <w:rsid w:val="76470D09"/>
    <w:rsid w:val="764E261B"/>
    <w:rsid w:val="76621C98"/>
    <w:rsid w:val="766A089C"/>
    <w:rsid w:val="7685412E"/>
    <w:rsid w:val="7689511E"/>
    <w:rsid w:val="76935301"/>
    <w:rsid w:val="76954AB2"/>
    <w:rsid w:val="76BB072D"/>
    <w:rsid w:val="76CA6BC2"/>
    <w:rsid w:val="76E46794"/>
    <w:rsid w:val="76F44008"/>
    <w:rsid w:val="77260593"/>
    <w:rsid w:val="77553ACF"/>
    <w:rsid w:val="77570AD2"/>
    <w:rsid w:val="7778552B"/>
    <w:rsid w:val="77A60777"/>
    <w:rsid w:val="77BC07E1"/>
    <w:rsid w:val="77C655DB"/>
    <w:rsid w:val="77C85E26"/>
    <w:rsid w:val="77D255BC"/>
    <w:rsid w:val="77D72C72"/>
    <w:rsid w:val="77F51A1C"/>
    <w:rsid w:val="78305A7C"/>
    <w:rsid w:val="78370287"/>
    <w:rsid w:val="785B047D"/>
    <w:rsid w:val="78696FF0"/>
    <w:rsid w:val="786C6825"/>
    <w:rsid w:val="78727BBE"/>
    <w:rsid w:val="78767001"/>
    <w:rsid w:val="787C365F"/>
    <w:rsid w:val="787E7C64"/>
    <w:rsid w:val="7892260E"/>
    <w:rsid w:val="789304E7"/>
    <w:rsid w:val="78A01CE3"/>
    <w:rsid w:val="78C0027C"/>
    <w:rsid w:val="78C23FF4"/>
    <w:rsid w:val="78E36B94"/>
    <w:rsid w:val="78E72B68"/>
    <w:rsid w:val="78EA4022"/>
    <w:rsid w:val="78EB0B23"/>
    <w:rsid w:val="78EC58AB"/>
    <w:rsid w:val="78F26B62"/>
    <w:rsid w:val="78F91413"/>
    <w:rsid w:val="790801A1"/>
    <w:rsid w:val="7909264A"/>
    <w:rsid w:val="79134850"/>
    <w:rsid w:val="79144B15"/>
    <w:rsid w:val="792453C0"/>
    <w:rsid w:val="793022F2"/>
    <w:rsid w:val="793A6280"/>
    <w:rsid w:val="794E17C5"/>
    <w:rsid w:val="798B573E"/>
    <w:rsid w:val="798B6ADC"/>
    <w:rsid w:val="79964531"/>
    <w:rsid w:val="799E680F"/>
    <w:rsid w:val="79A7097A"/>
    <w:rsid w:val="79B251EB"/>
    <w:rsid w:val="79B67878"/>
    <w:rsid w:val="79B84FC3"/>
    <w:rsid w:val="79D42567"/>
    <w:rsid w:val="79DB4C69"/>
    <w:rsid w:val="79ED5695"/>
    <w:rsid w:val="79F16E4E"/>
    <w:rsid w:val="79FD054C"/>
    <w:rsid w:val="7A066163"/>
    <w:rsid w:val="7A0B5EA7"/>
    <w:rsid w:val="7A146AD1"/>
    <w:rsid w:val="7A244373"/>
    <w:rsid w:val="7A2704D9"/>
    <w:rsid w:val="7A3E29A2"/>
    <w:rsid w:val="7A4A1879"/>
    <w:rsid w:val="7A734E7F"/>
    <w:rsid w:val="7A7A4718"/>
    <w:rsid w:val="7A7E219D"/>
    <w:rsid w:val="7A992898"/>
    <w:rsid w:val="7AD46261"/>
    <w:rsid w:val="7AF53DE7"/>
    <w:rsid w:val="7AF75AAB"/>
    <w:rsid w:val="7B0405AE"/>
    <w:rsid w:val="7B1B35E9"/>
    <w:rsid w:val="7B1E50DF"/>
    <w:rsid w:val="7B3659EB"/>
    <w:rsid w:val="7B37675D"/>
    <w:rsid w:val="7B394D88"/>
    <w:rsid w:val="7B676FB1"/>
    <w:rsid w:val="7B7B0A34"/>
    <w:rsid w:val="7B8F706C"/>
    <w:rsid w:val="7BA14395"/>
    <w:rsid w:val="7BC123B5"/>
    <w:rsid w:val="7BDF4563"/>
    <w:rsid w:val="7BE477CE"/>
    <w:rsid w:val="7BE665FB"/>
    <w:rsid w:val="7BE81077"/>
    <w:rsid w:val="7BF820CD"/>
    <w:rsid w:val="7BFF1CA0"/>
    <w:rsid w:val="7C013085"/>
    <w:rsid w:val="7C052A67"/>
    <w:rsid w:val="7C063B48"/>
    <w:rsid w:val="7C2A5EC7"/>
    <w:rsid w:val="7C3B49F8"/>
    <w:rsid w:val="7C3F460B"/>
    <w:rsid w:val="7C4F4518"/>
    <w:rsid w:val="7C595CA4"/>
    <w:rsid w:val="7C607784"/>
    <w:rsid w:val="7C6406D5"/>
    <w:rsid w:val="7C647170"/>
    <w:rsid w:val="7C80243A"/>
    <w:rsid w:val="7C8D2B6B"/>
    <w:rsid w:val="7C9106A2"/>
    <w:rsid w:val="7C965BEA"/>
    <w:rsid w:val="7CA226BC"/>
    <w:rsid w:val="7CAA5D35"/>
    <w:rsid w:val="7CD35C7E"/>
    <w:rsid w:val="7CD921E1"/>
    <w:rsid w:val="7CE90E7F"/>
    <w:rsid w:val="7CEB589E"/>
    <w:rsid w:val="7CEF1F1B"/>
    <w:rsid w:val="7D095AD3"/>
    <w:rsid w:val="7D0E2112"/>
    <w:rsid w:val="7D10255F"/>
    <w:rsid w:val="7D291B42"/>
    <w:rsid w:val="7D2D6652"/>
    <w:rsid w:val="7D645D5E"/>
    <w:rsid w:val="7D711B45"/>
    <w:rsid w:val="7D76251C"/>
    <w:rsid w:val="7D792E7F"/>
    <w:rsid w:val="7D840E1D"/>
    <w:rsid w:val="7D9C58D1"/>
    <w:rsid w:val="7D9E4039"/>
    <w:rsid w:val="7DA53911"/>
    <w:rsid w:val="7DA96684"/>
    <w:rsid w:val="7DB639FC"/>
    <w:rsid w:val="7DB81C13"/>
    <w:rsid w:val="7DCA4FB3"/>
    <w:rsid w:val="7DDA605B"/>
    <w:rsid w:val="7DDD59B9"/>
    <w:rsid w:val="7DF23B7F"/>
    <w:rsid w:val="7E0902A9"/>
    <w:rsid w:val="7E0A7CE1"/>
    <w:rsid w:val="7E101743"/>
    <w:rsid w:val="7E1075B0"/>
    <w:rsid w:val="7E2130A8"/>
    <w:rsid w:val="7E261366"/>
    <w:rsid w:val="7E2A32E3"/>
    <w:rsid w:val="7E2E31AC"/>
    <w:rsid w:val="7E425B67"/>
    <w:rsid w:val="7E596F43"/>
    <w:rsid w:val="7E5D5425"/>
    <w:rsid w:val="7E6176D5"/>
    <w:rsid w:val="7E8A5D25"/>
    <w:rsid w:val="7E9E06D8"/>
    <w:rsid w:val="7EA96F02"/>
    <w:rsid w:val="7EC16DFB"/>
    <w:rsid w:val="7ED625A7"/>
    <w:rsid w:val="7EDA313E"/>
    <w:rsid w:val="7EE832DD"/>
    <w:rsid w:val="7EEB17D0"/>
    <w:rsid w:val="7EF574EF"/>
    <w:rsid w:val="7EF8578B"/>
    <w:rsid w:val="7EFF12E8"/>
    <w:rsid w:val="7F06095E"/>
    <w:rsid w:val="7F115B05"/>
    <w:rsid w:val="7F203823"/>
    <w:rsid w:val="7F3177DE"/>
    <w:rsid w:val="7F3E6E63"/>
    <w:rsid w:val="7F4B1C97"/>
    <w:rsid w:val="7F4B613C"/>
    <w:rsid w:val="7F4E0E85"/>
    <w:rsid w:val="7F5006A0"/>
    <w:rsid w:val="7F5624D2"/>
    <w:rsid w:val="7F5B5569"/>
    <w:rsid w:val="7F5D4A77"/>
    <w:rsid w:val="7F5E259D"/>
    <w:rsid w:val="7F60628F"/>
    <w:rsid w:val="7F645E05"/>
    <w:rsid w:val="7F662D69"/>
    <w:rsid w:val="7F6E6826"/>
    <w:rsid w:val="7F7B314F"/>
    <w:rsid w:val="7F7F1E62"/>
    <w:rsid w:val="7F863192"/>
    <w:rsid w:val="7F8D42DF"/>
    <w:rsid w:val="7FC2360D"/>
    <w:rsid w:val="7FF8654D"/>
    <w:rsid w:val="7FFE489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9"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styleId="4">
    <w:name w:val="heading 1"/>
    <w:basedOn w:val="1"/>
    <w:next w:val="1"/>
    <w:link w:val="44"/>
    <w:qFormat/>
    <w:uiPriority w:val="0"/>
    <w:pPr>
      <w:keepNext/>
      <w:jc w:val="center"/>
      <w:outlineLvl w:val="0"/>
    </w:pPr>
    <w:rPr>
      <w:b/>
      <w:sz w:val="32"/>
    </w:rPr>
  </w:style>
  <w:style w:type="paragraph" w:styleId="5">
    <w:name w:val="heading 2"/>
    <w:basedOn w:val="4"/>
    <w:next w:val="1"/>
    <w:link w:val="45"/>
    <w:qFormat/>
    <w:uiPriority w:val="0"/>
    <w:pPr>
      <w:widowControl w:val="0"/>
      <w:adjustRightInd w:val="0"/>
      <w:snapToGrid w:val="0"/>
      <w:spacing w:after="0" w:line="240" w:lineRule="auto"/>
      <w:ind w:firstLine="0" w:firstLineChars="0"/>
      <w:jc w:val="left"/>
      <w:outlineLvl w:val="1"/>
    </w:pPr>
    <w:rPr>
      <w:rFonts w:eastAsia="宋体"/>
      <w:bCs/>
    </w:rPr>
  </w:style>
  <w:style w:type="paragraph" w:styleId="6">
    <w:name w:val="heading 3"/>
    <w:basedOn w:val="5"/>
    <w:next w:val="1"/>
    <w:link w:val="46"/>
    <w:qFormat/>
    <w:uiPriority w:val="0"/>
    <w:pPr>
      <w:keepNext/>
      <w:keepLines/>
      <w:suppressAutoHyphens w:val="0"/>
      <w:wordWrap/>
      <w:topLinePunct w:val="0"/>
      <w:spacing w:before="120" w:after="120" w:line="240" w:lineRule="auto"/>
      <w:ind w:firstLine="0" w:firstLineChars="0"/>
      <w:jc w:val="left"/>
      <w:outlineLvl w:val="2"/>
    </w:pPr>
    <w:rPr>
      <w:rFonts w:cs="Times New Roman"/>
      <w:bCs w:val="0"/>
      <w:sz w:val="28"/>
      <w:szCs w:val="32"/>
    </w:rPr>
  </w:style>
  <w:style w:type="paragraph" w:styleId="7">
    <w:name w:val="heading 4"/>
    <w:basedOn w:val="1"/>
    <w:next w:val="1"/>
    <w:link w:val="47"/>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8">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paragraph" w:styleId="9">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38">
    <w:name w:val="Default Paragraph Font"/>
    <w:unhideWhenUsed/>
    <w:qFormat/>
    <w:uiPriority w:val="1"/>
  </w:style>
  <w:style w:type="table" w:default="1" w:styleId="36">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ind w:firstLine="420" w:firstLineChars="100"/>
    </w:pPr>
    <w:rPr>
      <w:rFonts w:eastAsia="宋体"/>
      <w:kern w:val="2"/>
      <w:sz w:val="24"/>
      <w:szCs w:val="24"/>
      <w:lang w:val="en-US" w:eastAsia="zh-CN" w:bidi="ar-SA"/>
    </w:rPr>
  </w:style>
  <w:style w:type="paragraph" w:styleId="3">
    <w:name w:val="Body Text"/>
    <w:basedOn w:val="1"/>
    <w:next w:val="1"/>
    <w:link w:val="43"/>
    <w:qFormat/>
    <w:uiPriority w:val="1"/>
    <w:pPr>
      <w:suppressAutoHyphens w:val="0"/>
      <w:wordWrap/>
      <w:topLinePunct w:val="0"/>
      <w:autoSpaceDE w:val="0"/>
      <w:autoSpaceDN w:val="0"/>
      <w:ind w:left="106" w:firstLine="0" w:firstLineChars="0"/>
    </w:pPr>
    <w:rPr>
      <w:rFonts w:ascii="宋体" w:hAnsi="宋体" w:cs="宋体"/>
      <w:kern w:val="0"/>
      <w:lang w:eastAsia="en-US"/>
    </w:rPr>
  </w:style>
  <w:style w:type="paragraph" w:styleId="10">
    <w:name w:val="toc 7"/>
    <w:basedOn w:val="1"/>
    <w:next w:val="1"/>
    <w:unhideWhenUsed/>
    <w:qFormat/>
    <w:uiPriority w:val="39"/>
    <w:pPr>
      <w:suppressAutoHyphens w:val="0"/>
      <w:wordWrap/>
      <w:topLinePunct w:val="0"/>
      <w:spacing w:line="240" w:lineRule="auto"/>
      <w:ind w:left="2520" w:leftChars="1200" w:firstLine="0" w:firstLineChars="0"/>
    </w:pPr>
    <w:rPr>
      <w:rFonts w:ascii="Calibri" w:hAnsi="Calibri" w:eastAsia="宋体" w:cs="Times New Roman"/>
      <w:sz w:val="21"/>
      <w:szCs w:val="22"/>
    </w:rPr>
  </w:style>
  <w:style w:type="paragraph" w:styleId="11">
    <w:name w:val="Normal Indent"/>
    <w:basedOn w:val="1"/>
    <w:next w:val="1"/>
    <w:unhideWhenUsed/>
    <w:qFormat/>
    <w:uiPriority w:val="99"/>
    <w:pPr>
      <w:ind w:firstLine="420"/>
    </w:pPr>
  </w:style>
  <w:style w:type="paragraph" w:styleId="12">
    <w:name w:val="caption"/>
    <w:basedOn w:val="1"/>
    <w:next w:val="13"/>
    <w:qFormat/>
    <w:uiPriority w:val="9"/>
    <w:pPr>
      <w:suppressAutoHyphens w:val="0"/>
      <w:wordWrap/>
      <w:topLinePunct w:val="0"/>
      <w:ind w:firstLine="0" w:firstLineChars="0"/>
      <w:jc w:val="center"/>
    </w:pPr>
    <w:rPr>
      <w:rFonts w:eastAsia="黑体"/>
      <w:b/>
      <w:szCs w:val="20"/>
    </w:rPr>
  </w:style>
  <w:style w:type="paragraph" w:customStyle="1" w:styleId="13">
    <w:name w:val="sheet"/>
    <w:basedOn w:val="1"/>
    <w:link w:val="48"/>
    <w:qFormat/>
    <w:uiPriority w:val="0"/>
    <w:pPr>
      <w:spacing w:line="240" w:lineRule="auto"/>
      <w:ind w:firstLine="0" w:firstLineChars="0"/>
      <w:jc w:val="center"/>
    </w:pPr>
    <w:rPr>
      <w:kern w:val="0"/>
      <w:sz w:val="20"/>
    </w:rPr>
  </w:style>
  <w:style w:type="paragraph" w:styleId="14">
    <w:name w:val="Document Map"/>
    <w:basedOn w:val="1"/>
    <w:link w:val="49"/>
    <w:unhideWhenUsed/>
    <w:qFormat/>
    <w:uiPriority w:val="99"/>
    <w:rPr>
      <w:rFonts w:ascii="宋体"/>
      <w:sz w:val="18"/>
      <w:szCs w:val="18"/>
    </w:rPr>
  </w:style>
  <w:style w:type="paragraph" w:styleId="15">
    <w:name w:val="annotation text"/>
    <w:basedOn w:val="1"/>
    <w:link w:val="50"/>
    <w:unhideWhenUsed/>
    <w:qFormat/>
    <w:uiPriority w:val="99"/>
  </w:style>
  <w:style w:type="paragraph" w:styleId="16">
    <w:name w:val="Body Text Indent"/>
    <w:basedOn w:val="1"/>
    <w:next w:val="3"/>
    <w:link w:val="51"/>
    <w:unhideWhenUsed/>
    <w:qFormat/>
    <w:uiPriority w:val="99"/>
    <w:pPr>
      <w:spacing w:after="120"/>
      <w:ind w:left="420" w:leftChars="200"/>
    </w:pPr>
  </w:style>
  <w:style w:type="paragraph" w:styleId="17">
    <w:name w:val="toc 5"/>
    <w:basedOn w:val="1"/>
    <w:next w:val="1"/>
    <w:unhideWhenUsed/>
    <w:qFormat/>
    <w:uiPriority w:val="39"/>
    <w:pPr>
      <w:suppressAutoHyphens w:val="0"/>
      <w:wordWrap/>
      <w:topLinePunct w:val="0"/>
      <w:spacing w:line="240" w:lineRule="auto"/>
      <w:ind w:left="1680" w:leftChars="800" w:firstLine="0" w:firstLineChars="0"/>
    </w:pPr>
    <w:rPr>
      <w:rFonts w:ascii="Calibri" w:hAnsi="Calibri" w:eastAsia="宋体" w:cs="Times New Roman"/>
      <w:sz w:val="21"/>
      <w:szCs w:val="22"/>
    </w:rPr>
  </w:style>
  <w:style w:type="paragraph" w:styleId="18">
    <w:name w:val="toc 3"/>
    <w:basedOn w:val="1"/>
    <w:next w:val="1"/>
    <w:unhideWhenUsed/>
    <w:qFormat/>
    <w:uiPriority w:val="39"/>
    <w:pPr>
      <w:ind w:left="840" w:leftChars="400"/>
    </w:pPr>
  </w:style>
  <w:style w:type="paragraph" w:styleId="19">
    <w:name w:val="Plain Text"/>
    <w:basedOn w:val="1"/>
    <w:qFormat/>
    <w:uiPriority w:val="0"/>
    <w:rPr>
      <w:rFonts w:ascii="宋体" w:hAnsi="Courier New"/>
    </w:rPr>
  </w:style>
  <w:style w:type="paragraph" w:styleId="20">
    <w:name w:val="toc 8"/>
    <w:basedOn w:val="1"/>
    <w:next w:val="1"/>
    <w:unhideWhenUsed/>
    <w:qFormat/>
    <w:uiPriority w:val="39"/>
    <w:pPr>
      <w:suppressAutoHyphens w:val="0"/>
      <w:wordWrap/>
      <w:topLinePunct w:val="0"/>
      <w:spacing w:line="240" w:lineRule="auto"/>
      <w:ind w:left="2940" w:leftChars="1400" w:firstLine="0" w:firstLineChars="0"/>
    </w:pPr>
    <w:rPr>
      <w:rFonts w:ascii="Calibri" w:hAnsi="Calibri" w:eastAsia="宋体" w:cs="Times New Roman"/>
      <w:sz w:val="21"/>
      <w:szCs w:val="22"/>
    </w:rPr>
  </w:style>
  <w:style w:type="paragraph" w:styleId="21">
    <w:name w:val="Date"/>
    <w:basedOn w:val="1"/>
    <w:next w:val="1"/>
    <w:link w:val="52"/>
    <w:unhideWhenUsed/>
    <w:qFormat/>
    <w:uiPriority w:val="99"/>
    <w:pPr>
      <w:ind w:left="100" w:leftChars="2500"/>
    </w:pPr>
  </w:style>
  <w:style w:type="paragraph" w:styleId="22">
    <w:name w:val="Balloon Text"/>
    <w:basedOn w:val="1"/>
    <w:link w:val="53"/>
    <w:unhideWhenUsed/>
    <w:qFormat/>
    <w:uiPriority w:val="99"/>
    <w:pPr>
      <w:spacing w:line="240" w:lineRule="auto"/>
    </w:pPr>
    <w:rPr>
      <w:sz w:val="18"/>
      <w:szCs w:val="18"/>
    </w:rPr>
  </w:style>
  <w:style w:type="paragraph" w:styleId="23">
    <w:name w:val="footer"/>
    <w:basedOn w:val="1"/>
    <w:link w:val="54"/>
    <w:unhideWhenUsed/>
    <w:qFormat/>
    <w:uiPriority w:val="99"/>
    <w:pPr>
      <w:tabs>
        <w:tab w:val="center" w:pos="4153"/>
        <w:tab w:val="right" w:pos="8306"/>
      </w:tabs>
      <w:snapToGrid w:val="0"/>
      <w:spacing w:line="240" w:lineRule="auto"/>
      <w:jc w:val="left"/>
    </w:pPr>
    <w:rPr>
      <w:sz w:val="18"/>
      <w:szCs w:val="18"/>
    </w:rPr>
  </w:style>
  <w:style w:type="paragraph" w:styleId="24">
    <w:name w:val="header"/>
    <w:basedOn w:val="1"/>
    <w:link w:val="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5">
    <w:name w:val="toc 1"/>
    <w:basedOn w:val="1"/>
    <w:next w:val="1"/>
    <w:unhideWhenUsed/>
    <w:qFormat/>
    <w:uiPriority w:val="39"/>
    <w:pPr>
      <w:tabs>
        <w:tab w:val="right" w:leader="dot" w:pos="8240"/>
      </w:tabs>
      <w:ind w:firstLine="0" w:firstLineChars="0"/>
    </w:pPr>
    <w:rPr>
      <w:b/>
    </w:rPr>
  </w:style>
  <w:style w:type="paragraph" w:styleId="26">
    <w:name w:val="toc 4"/>
    <w:basedOn w:val="1"/>
    <w:next w:val="1"/>
    <w:unhideWhenUsed/>
    <w:qFormat/>
    <w:uiPriority w:val="39"/>
    <w:pPr>
      <w:tabs>
        <w:tab w:val="right" w:leader="dot" w:pos="8240"/>
      </w:tabs>
      <w:wordWrap/>
      <w:ind w:left="480" w:leftChars="200" w:firstLine="480"/>
      <w:jc w:val="both"/>
    </w:pPr>
  </w:style>
  <w:style w:type="paragraph" w:styleId="27">
    <w:name w:val="Subtitle"/>
    <w:basedOn w:val="1"/>
    <w:link w:val="56"/>
    <w:qFormat/>
    <w:uiPriority w:val="11"/>
    <w:pPr>
      <w:widowControl/>
      <w:suppressAutoHyphens w:val="0"/>
      <w:wordWrap/>
      <w:topLinePunct w:val="0"/>
      <w:adjustRightInd w:val="0"/>
      <w:spacing w:after="60" w:line="360" w:lineRule="atLeast"/>
      <w:ind w:firstLine="510" w:firstLineChars="0"/>
      <w:jc w:val="center"/>
      <w:textAlignment w:val="baseline"/>
    </w:pPr>
    <w:rPr>
      <w:rFonts w:ascii="Arial" w:hAnsi="Arial" w:eastAsia="黑体"/>
      <w:i/>
      <w:kern w:val="0"/>
      <w:szCs w:val="20"/>
    </w:rPr>
  </w:style>
  <w:style w:type="paragraph" w:styleId="28">
    <w:name w:val="List"/>
    <w:basedOn w:val="1"/>
    <w:unhideWhenUsed/>
    <w:qFormat/>
    <w:uiPriority w:val="0"/>
    <w:pPr>
      <w:widowControl w:val="0"/>
      <w:ind w:left="200" w:hanging="200" w:hangingChars="200"/>
      <w:jc w:val="both"/>
    </w:pPr>
    <w:rPr>
      <w:szCs w:val="21"/>
    </w:rPr>
  </w:style>
  <w:style w:type="paragraph" w:styleId="29">
    <w:name w:val="toc 6"/>
    <w:basedOn w:val="1"/>
    <w:next w:val="1"/>
    <w:unhideWhenUsed/>
    <w:qFormat/>
    <w:uiPriority w:val="39"/>
    <w:pPr>
      <w:suppressAutoHyphens w:val="0"/>
      <w:wordWrap/>
      <w:topLinePunct w:val="0"/>
      <w:spacing w:line="240" w:lineRule="auto"/>
      <w:ind w:left="2100" w:leftChars="1000" w:firstLine="0" w:firstLineChars="0"/>
    </w:pPr>
    <w:rPr>
      <w:rFonts w:ascii="Calibri" w:hAnsi="Calibri" w:eastAsia="宋体" w:cs="Times New Roman"/>
      <w:sz w:val="21"/>
      <w:szCs w:val="22"/>
    </w:rPr>
  </w:style>
  <w:style w:type="paragraph" w:styleId="30">
    <w:name w:val="Body Text Indent 3"/>
    <w:basedOn w:val="1"/>
    <w:link w:val="57"/>
    <w:unhideWhenUsed/>
    <w:qFormat/>
    <w:uiPriority w:val="99"/>
    <w:pPr>
      <w:spacing w:after="120"/>
      <w:ind w:left="420" w:leftChars="200"/>
    </w:pPr>
    <w:rPr>
      <w:sz w:val="16"/>
      <w:szCs w:val="16"/>
    </w:rPr>
  </w:style>
  <w:style w:type="paragraph" w:styleId="31">
    <w:name w:val="toc 2"/>
    <w:basedOn w:val="1"/>
    <w:next w:val="1"/>
    <w:unhideWhenUsed/>
    <w:qFormat/>
    <w:uiPriority w:val="39"/>
  </w:style>
  <w:style w:type="paragraph" w:styleId="32">
    <w:name w:val="toc 9"/>
    <w:basedOn w:val="1"/>
    <w:next w:val="1"/>
    <w:unhideWhenUsed/>
    <w:qFormat/>
    <w:uiPriority w:val="39"/>
    <w:pPr>
      <w:suppressAutoHyphens w:val="0"/>
      <w:wordWrap/>
      <w:topLinePunct w:val="0"/>
      <w:spacing w:line="240" w:lineRule="auto"/>
      <w:ind w:left="3360" w:leftChars="1600" w:firstLine="0" w:firstLineChars="0"/>
    </w:pPr>
    <w:rPr>
      <w:rFonts w:ascii="Calibri" w:hAnsi="Calibri" w:eastAsia="宋体" w:cs="Times New Roman"/>
      <w:sz w:val="21"/>
      <w:szCs w:val="22"/>
    </w:rPr>
  </w:style>
  <w:style w:type="paragraph" w:styleId="33">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34">
    <w:name w:val="annotation subject"/>
    <w:basedOn w:val="15"/>
    <w:next w:val="15"/>
    <w:link w:val="58"/>
    <w:unhideWhenUsed/>
    <w:qFormat/>
    <w:uiPriority w:val="99"/>
    <w:rPr>
      <w:b/>
      <w:bCs/>
    </w:rPr>
  </w:style>
  <w:style w:type="paragraph" w:styleId="35">
    <w:name w:val="Body Text First Indent 2"/>
    <w:basedOn w:val="16"/>
    <w:next w:val="2"/>
    <w:link w:val="59"/>
    <w:unhideWhenUsed/>
    <w:qFormat/>
    <w:uiPriority w:val="99"/>
    <w:pPr>
      <w:ind w:firstLine="420"/>
    </w:pPr>
  </w:style>
  <w:style w:type="table" w:styleId="37">
    <w:name w:val="Table Grid"/>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Emphasis"/>
    <w:qFormat/>
    <w:uiPriority w:val="20"/>
    <w:rPr>
      <w:i/>
    </w:rPr>
  </w:style>
  <w:style w:type="character" w:styleId="41">
    <w:name w:val="Hyperlink"/>
    <w:unhideWhenUsed/>
    <w:qFormat/>
    <w:uiPriority w:val="99"/>
    <w:rPr>
      <w:color w:val="0000FF"/>
      <w:u w:val="single"/>
    </w:rPr>
  </w:style>
  <w:style w:type="character" w:styleId="42">
    <w:name w:val="annotation reference"/>
    <w:unhideWhenUsed/>
    <w:qFormat/>
    <w:uiPriority w:val="0"/>
    <w:rPr>
      <w:sz w:val="21"/>
      <w:szCs w:val="21"/>
    </w:rPr>
  </w:style>
  <w:style w:type="character" w:customStyle="1" w:styleId="43">
    <w:name w:val="正文文本 字符"/>
    <w:link w:val="3"/>
    <w:qFormat/>
    <w:uiPriority w:val="1"/>
    <w:rPr>
      <w:rFonts w:ascii="宋体" w:hAnsi="宋体" w:cs="宋体"/>
      <w:sz w:val="24"/>
      <w:szCs w:val="24"/>
      <w:lang w:eastAsia="en-US"/>
    </w:rPr>
  </w:style>
  <w:style w:type="character" w:customStyle="1" w:styleId="44">
    <w:name w:val="标题 1 字符"/>
    <w:link w:val="4"/>
    <w:qFormat/>
    <w:uiPriority w:val="0"/>
    <w:rPr>
      <w:rFonts w:ascii="Times New Roman" w:hAnsi="Times New Roman"/>
      <w:b/>
      <w:kern w:val="2"/>
      <w:sz w:val="32"/>
      <w:szCs w:val="24"/>
    </w:rPr>
  </w:style>
  <w:style w:type="character" w:customStyle="1" w:styleId="45">
    <w:name w:val="标题 2 字符"/>
    <w:link w:val="5"/>
    <w:qFormat/>
    <w:uiPriority w:val="0"/>
    <w:rPr>
      <w:rFonts w:ascii="Times New Roman" w:hAnsi="Times New Roman" w:eastAsia="宋体"/>
      <w:b/>
      <w:kern w:val="2"/>
      <w:sz w:val="28"/>
      <w:szCs w:val="32"/>
    </w:rPr>
  </w:style>
  <w:style w:type="character" w:customStyle="1" w:styleId="46">
    <w:name w:val="标题 3 字符"/>
    <w:link w:val="6"/>
    <w:qFormat/>
    <w:uiPriority w:val="0"/>
    <w:rPr>
      <w:rFonts w:ascii="Times New Roman" w:hAnsi="Times New Roman" w:eastAsia="宋体" w:cs="Times New Roman"/>
      <w:b/>
      <w:bCs/>
      <w:kern w:val="2"/>
      <w:sz w:val="28"/>
      <w:szCs w:val="32"/>
    </w:rPr>
  </w:style>
  <w:style w:type="character" w:customStyle="1" w:styleId="47">
    <w:name w:val="标题 4 字符"/>
    <w:link w:val="7"/>
    <w:semiHidden/>
    <w:qFormat/>
    <w:uiPriority w:val="9"/>
    <w:rPr>
      <w:rFonts w:ascii="等线 Light" w:hAnsi="等线 Light" w:eastAsia="等线 Light" w:cs="Times New Roman"/>
      <w:b/>
      <w:bCs/>
      <w:kern w:val="2"/>
      <w:sz w:val="28"/>
      <w:szCs w:val="28"/>
    </w:rPr>
  </w:style>
  <w:style w:type="character" w:customStyle="1" w:styleId="48">
    <w:name w:val="sheet Char"/>
    <w:link w:val="13"/>
    <w:qFormat/>
    <w:uiPriority w:val="0"/>
    <w:rPr>
      <w:rFonts w:ascii="Times New Roman" w:hAnsi="Times New Roman"/>
      <w:szCs w:val="24"/>
    </w:rPr>
  </w:style>
  <w:style w:type="character" w:customStyle="1" w:styleId="49">
    <w:name w:val="文档结构图 字符"/>
    <w:link w:val="14"/>
    <w:semiHidden/>
    <w:qFormat/>
    <w:uiPriority w:val="99"/>
    <w:rPr>
      <w:rFonts w:ascii="宋体" w:hAnsi="Times New Roman"/>
      <w:kern w:val="2"/>
      <w:sz w:val="18"/>
      <w:szCs w:val="18"/>
    </w:rPr>
  </w:style>
  <w:style w:type="character" w:customStyle="1" w:styleId="50">
    <w:name w:val="批注文字 字符"/>
    <w:link w:val="15"/>
    <w:qFormat/>
    <w:uiPriority w:val="99"/>
    <w:rPr>
      <w:rFonts w:ascii="Times New Roman" w:hAnsi="Times New Roman"/>
      <w:kern w:val="2"/>
      <w:sz w:val="24"/>
      <w:szCs w:val="24"/>
    </w:rPr>
  </w:style>
  <w:style w:type="character" w:customStyle="1" w:styleId="51">
    <w:name w:val="正文文本缩进 字符"/>
    <w:link w:val="16"/>
    <w:semiHidden/>
    <w:qFormat/>
    <w:uiPriority w:val="99"/>
    <w:rPr>
      <w:rFonts w:ascii="Times New Roman" w:hAnsi="Times New Roman"/>
      <w:kern w:val="2"/>
      <w:sz w:val="24"/>
      <w:szCs w:val="24"/>
    </w:rPr>
  </w:style>
  <w:style w:type="character" w:customStyle="1" w:styleId="52">
    <w:name w:val="日期 字符"/>
    <w:link w:val="21"/>
    <w:semiHidden/>
    <w:qFormat/>
    <w:uiPriority w:val="99"/>
    <w:rPr>
      <w:rFonts w:ascii="Times New Roman" w:hAnsi="Times New Roman"/>
      <w:kern w:val="2"/>
      <w:sz w:val="24"/>
      <w:szCs w:val="24"/>
    </w:rPr>
  </w:style>
  <w:style w:type="character" w:customStyle="1" w:styleId="53">
    <w:name w:val="批注框文本 字符"/>
    <w:link w:val="22"/>
    <w:semiHidden/>
    <w:qFormat/>
    <w:uiPriority w:val="99"/>
    <w:rPr>
      <w:rFonts w:ascii="Times New Roman" w:hAnsi="Times New Roman"/>
      <w:kern w:val="2"/>
      <w:sz w:val="18"/>
      <w:szCs w:val="18"/>
    </w:rPr>
  </w:style>
  <w:style w:type="character" w:customStyle="1" w:styleId="54">
    <w:name w:val="页脚 字符1"/>
    <w:link w:val="23"/>
    <w:qFormat/>
    <w:uiPriority w:val="99"/>
    <w:rPr>
      <w:rFonts w:ascii="Times New Roman" w:hAnsi="Times New Roman"/>
      <w:kern w:val="2"/>
      <w:sz w:val="18"/>
      <w:szCs w:val="18"/>
    </w:rPr>
  </w:style>
  <w:style w:type="character" w:customStyle="1" w:styleId="55">
    <w:name w:val="页眉 字符"/>
    <w:link w:val="24"/>
    <w:qFormat/>
    <w:uiPriority w:val="99"/>
    <w:rPr>
      <w:rFonts w:ascii="Times New Roman" w:hAnsi="Times New Roman"/>
      <w:kern w:val="2"/>
      <w:sz w:val="18"/>
      <w:szCs w:val="18"/>
    </w:rPr>
  </w:style>
  <w:style w:type="character" w:customStyle="1" w:styleId="56">
    <w:name w:val="副标题 字符1"/>
    <w:link w:val="27"/>
    <w:qFormat/>
    <w:uiPriority w:val="11"/>
    <w:rPr>
      <w:rFonts w:ascii="Arial" w:hAnsi="Arial" w:eastAsia="黑体"/>
      <w:i/>
      <w:sz w:val="24"/>
    </w:rPr>
  </w:style>
  <w:style w:type="character" w:customStyle="1" w:styleId="57">
    <w:name w:val="正文文本缩进 3 字符"/>
    <w:link w:val="30"/>
    <w:qFormat/>
    <w:uiPriority w:val="99"/>
    <w:rPr>
      <w:rFonts w:ascii="Times New Roman" w:hAnsi="Times New Roman"/>
      <w:kern w:val="2"/>
      <w:sz w:val="16"/>
      <w:szCs w:val="16"/>
    </w:rPr>
  </w:style>
  <w:style w:type="character" w:customStyle="1" w:styleId="58">
    <w:name w:val="批注主题 字符"/>
    <w:link w:val="34"/>
    <w:semiHidden/>
    <w:qFormat/>
    <w:uiPriority w:val="99"/>
    <w:rPr>
      <w:rFonts w:ascii="Times New Roman" w:hAnsi="Times New Roman"/>
      <w:b/>
      <w:bCs/>
      <w:kern w:val="2"/>
      <w:sz w:val="24"/>
      <w:szCs w:val="24"/>
    </w:rPr>
  </w:style>
  <w:style w:type="character" w:customStyle="1" w:styleId="59">
    <w:name w:val="正文文本首行缩进 2 字符"/>
    <w:basedOn w:val="51"/>
    <w:link w:val="35"/>
    <w:semiHidden/>
    <w:qFormat/>
    <w:uiPriority w:val="99"/>
  </w:style>
  <w:style w:type="paragraph" w:customStyle="1" w:styleId="60">
    <w:name w:val="Normal Indent1"/>
    <w:basedOn w:val="1"/>
    <w:qFormat/>
    <w:uiPriority w:val="0"/>
    <w:pPr>
      <w:ind w:firstLine="420" w:firstLineChars="200"/>
    </w:pPr>
    <w:rPr>
      <w:rFonts w:eastAsia="宋体"/>
      <w:kern w:val="2"/>
      <w:sz w:val="21"/>
      <w:szCs w:val="24"/>
      <w:lang w:val="en-US" w:eastAsia="zh-CN" w:bidi="ar-SA"/>
    </w:rPr>
  </w:style>
  <w:style w:type="paragraph" w:customStyle="1" w:styleId="61">
    <w:name w:val="xl27"/>
    <w:basedOn w:val="1"/>
    <w:qFormat/>
    <w:uiPriority w:val="0"/>
    <w:pPr>
      <w:widowControl/>
      <w:pBdr>
        <w:bottom w:val="single" w:color="auto" w:sz="4" w:space="0"/>
        <w:right w:val="single" w:color="auto" w:sz="4" w:space="0"/>
      </w:pBdr>
      <w:spacing w:before="100" w:beforeAutospacing="1" w:after="100" w:afterAutospacing="1"/>
    </w:pPr>
    <w:rPr>
      <w:rFonts w:ascii="Arial Unicode MS" w:hAnsi="Arial Unicode MS" w:eastAsia="Arial Unicode MS" w:cs="Arial Unicode MS"/>
      <w:sz w:val="26"/>
      <w:szCs w:val="26"/>
    </w:rPr>
  </w:style>
  <w:style w:type="paragraph" w:customStyle="1" w:styleId="62">
    <w:name w:val="Default"/>
    <w:basedOn w:val="63"/>
    <w:next w:val="64"/>
    <w:qFormat/>
    <w:uiPriority w:val="0"/>
    <w:pPr>
      <w:widowControl w:val="0"/>
      <w:autoSpaceDE w:val="0"/>
      <w:autoSpaceDN w:val="0"/>
      <w:adjustRightInd w:val="0"/>
      <w:spacing w:line="360" w:lineRule="auto"/>
    </w:pPr>
    <w:rPr>
      <w:rFonts w:ascii="宋体" w:hAnsi="宋体" w:cs="宋体"/>
      <w:color w:val="000000"/>
      <w:sz w:val="24"/>
      <w:szCs w:val="24"/>
      <w:lang w:val="en-US" w:eastAsia="zh-CN" w:bidi="ar-SA"/>
    </w:rPr>
  </w:style>
  <w:style w:type="paragraph" w:customStyle="1" w:styleId="63">
    <w:name w:val="纯文本1"/>
    <w:basedOn w:val="1"/>
    <w:qFormat/>
    <w:uiPriority w:val="0"/>
    <w:rPr>
      <w:rFonts w:ascii="宋体" w:hAnsi="Courier New"/>
    </w:rPr>
  </w:style>
  <w:style w:type="paragraph" w:customStyle="1" w:styleId="64">
    <w:name w:val="样式35"/>
    <w:basedOn w:val="1"/>
    <w:next w:val="65"/>
    <w:qFormat/>
    <w:uiPriority w:val="0"/>
    <w:pPr>
      <w:adjustRightInd w:val="0"/>
      <w:spacing w:line="312" w:lineRule="auto"/>
      <w:ind w:firstLine="567" w:firstLineChars="200"/>
    </w:pPr>
    <w:rPr>
      <w:rFonts w:ascii="宋体"/>
      <w:kern w:val="0"/>
      <w:sz w:val="28"/>
      <w:szCs w:val="20"/>
    </w:rPr>
  </w:style>
  <w:style w:type="paragraph" w:customStyle="1" w:styleId="65">
    <w:name w:val="font6"/>
    <w:next w:val="31"/>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customStyle="1" w:styleId="66">
    <w:name w:val="标题 段落4级"/>
    <w:qFormat/>
    <w:uiPriority w:val="99"/>
    <w:pPr>
      <w:spacing w:line="500" w:lineRule="exact"/>
      <w:outlineLvl w:val="3"/>
    </w:pPr>
    <w:rPr>
      <w:rFonts w:ascii="Times New Roman" w:hAnsi="Times New Roman" w:eastAsia="仿宋_GB2312" w:cs="Calibri"/>
      <w:b/>
      <w:kern w:val="2"/>
      <w:sz w:val="28"/>
      <w:szCs w:val="24"/>
      <w:lang w:val="en-US" w:eastAsia="zh-CN" w:bidi="ar-SA"/>
    </w:rPr>
  </w:style>
  <w:style w:type="character" w:styleId="67">
    <w:name w:val="Placeholder Text"/>
    <w:semiHidden/>
    <w:qFormat/>
    <w:uiPriority w:val="99"/>
    <w:rPr>
      <w:color w:val="808080"/>
    </w:rPr>
  </w:style>
  <w:style w:type="character" w:customStyle="1" w:styleId="68">
    <w:name w:val="4 字符"/>
    <w:link w:val="69"/>
    <w:qFormat/>
    <w:uiPriority w:val="0"/>
    <w:rPr>
      <w:rFonts w:ascii="Times New Roman" w:hAnsi="Times New Roman"/>
      <w:b/>
      <w:color w:val="0D0D0D"/>
      <w:sz w:val="24"/>
      <w:szCs w:val="24"/>
      <w:lang w:bidi="zh-CN"/>
    </w:rPr>
  </w:style>
  <w:style w:type="paragraph" w:customStyle="1" w:styleId="69">
    <w:name w:val="4"/>
    <w:basedOn w:val="1"/>
    <w:next w:val="1"/>
    <w:link w:val="68"/>
    <w:qFormat/>
    <w:uiPriority w:val="0"/>
    <w:pPr>
      <w:keepNext/>
      <w:keepLines/>
      <w:ind w:firstLine="0" w:firstLineChars="0"/>
      <w:outlineLvl w:val="3"/>
    </w:pPr>
    <w:rPr>
      <w:b/>
      <w:color w:val="0D0D0D"/>
      <w:kern w:val="0"/>
      <w:lang w:bidi="zh-CN"/>
    </w:rPr>
  </w:style>
  <w:style w:type="character" w:customStyle="1" w:styleId="70">
    <w:name w:val="Table Char"/>
    <w:link w:val="71"/>
    <w:qFormat/>
    <w:uiPriority w:val="1"/>
    <w:rPr>
      <w:rFonts w:ascii="Times New Roman" w:hAnsi="Times New Roman"/>
      <w:kern w:val="2"/>
      <w:sz w:val="21"/>
      <w:szCs w:val="24"/>
    </w:rPr>
  </w:style>
  <w:style w:type="paragraph" w:customStyle="1" w:styleId="71">
    <w:name w:val="Table"/>
    <w:basedOn w:val="13"/>
    <w:link w:val="70"/>
    <w:qFormat/>
    <w:uiPriority w:val="1"/>
    <w:pPr>
      <w:wordWrap/>
      <w:ind w:firstLine="200" w:firstLineChars="200"/>
      <w:jc w:val="left"/>
    </w:pPr>
    <w:rPr>
      <w:kern w:val="2"/>
      <w:sz w:val="21"/>
    </w:rPr>
  </w:style>
  <w:style w:type="character" w:customStyle="1" w:styleId="72">
    <w:name w:val="表格正文 Char"/>
    <w:link w:val="73"/>
    <w:qFormat/>
    <w:uiPriority w:val="0"/>
    <w:rPr>
      <w:rFonts w:ascii="Times New Roman" w:hAnsi="Times New Roman" w:eastAsia="宋体"/>
      <w:color w:val="000000"/>
      <w:sz w:val="21"/>
      <w:szCs w:val="21"/>
    </w:rPr>
  </w:style>
  <w:style w:type="paragraph" w:customStyle="1" w:styleId="73">
    <w:name w:val="表格正文"/>
    <w:basedOn w:val="74"/>
    <w:next w:val="1"/>
    <w:link w:val="72"/>
    <w:qFormat/>
    <w:uiPriority w:val="0"/>
    <w:pPr>
      <w:suppressAutoHyphens w:val="0"/>
      <w:wordWrap/>
      <w:topLinePunct w:val="0"/>
      <w:snapToGrid w:val="0"/>
      <w:spacing w:line="240" w:lineRule="auto"/>
      <w:ind w:firstLine="0" w:firstLineChars="0"/>
      <w:jc w:val="center"/>
    </w:pPr>
    <w:rPr>
      <w:rFonts w:hAnsi="Times New Roman" w:eastAsia="宋体"/>
      <w:b w:val="0"/>
      <w:color w:val="000000"/>
      <w:kern w:val="0"/>
      <w:sz w:val="21"/>
      <w:szCs w:val="21"/>
    </w:rPr>
  </w:style>
  <w:style w:type="paragraph" w:customStyle="1" w:styleId="74">
    <w:name w:val="表格标题"/>
    <w:basedOn w:val="1"/>
    <w:qFormat/>
    <w:uiPriority w:val="0"/>
    <w:pPr>
      <w:ind w:firstLine="0" w:firstLineChars="0"/>
      <w:jc w:val="center"/>
    </w:pPr>
    <w:rPr>
      <w:rFonts w:hAnsi="宋体"/>
      <w:b/>
      <w:sz w:val="24"/>
    </w:rPr>
  </w:style>
  <w:style w:type="character" w:customStyle="1" w:styleId="75">
    <w:name w:val="2 Char"/>
    <w:link w:val="76"/>
    <w:qFormat/>
    <w:uiPriority w:val="0"/>
    <w:rPr>
      <w:rFonts w:ascii="Times New Roman" w:hAnsi="Times New Roman" w:eastAsia="宋体"/>
      <w:b/>
      <w:kern w:val="2"/>
      <w:sz w:val="30"/>
      <w:szCs w:val="24"/>
    </w:rPr>
  </w:style>
  <w:style w:type="paragraph" w:customStyle="1" w:styleId="76">
    <w:name w:val="2"/>
    <w:basedOn w:val="1"/>
    <w:next w:val="1"/>
    <w:link w:val="75"/>
    <w:qFormat/>
    <w:uiPriority w:val="0"/>
    <w:pPr>
      <w:wordWrap/>
      <w:spacing w:before="50" w:beforeLines="50" w:after="50" w:afterLines="50" w:line="240" w:lineRule="auto"/>
      <w:ind w:firstLine="0" w:firstLineChars="0"/>
      <w:outlineLvl w:val="1"/>
    </w:pPr>
    <w:rPr>
      <w:rFonts w:eastAsia="宋体"/>
      <w:b/>
      <w:sz w:val="30"/>
    </w:rPr>
  </w:style>
  <w:style w:type="character" w:customStyle="1" w:styleId="77">
    <w:name w:val="页脚 字符"/>
    <w:qFormat/>
    <w:uiPriority w:val="99"/>
  </w:style>
  <w:style w:type="character" w:customStyle="1" w:styleId="78">
    <w:name w:val="aa正文 Char"/>
    <w:link w:val="79"/>
    <w:qFormat/>
    <w:uiPriority w:val="0"/>
    <w:rPr>
      <w:kern w:val="2"/>
      <w:sz w:val="24"/>
      <w:szCs w:val="24"/>
    </w:rPr>
  </w:style>
  <w:style w:type="paragraph" w:customStyle="1" w:styleId="79">
    <w:name w:val="aa正文"/>
    <w:basedOn w:val="1"/>
    <w:link w:val="78"/>
    <w:qFormat/>
    <w:uiPriority w:val="0"/>
    <w:pPr>
      <w:widowControl w:val="0"/>
      <w:jc w:val="both"/>
    </w:pPr>
    <w:rPr>
      <w:rFonts w:ascii="Calibri" w:hAnsi="Calibri"/>
    </w:rPr>
  </w:style>
  <w:style w:type="character" w:customStyle="1" w:styleId="80">
    <w:name w:val="表头文字 Char"/>
    <w:link w:val="81"/>
    <w:qFormat/>
    <w:uiPriority w:val="0"/>
    <w:rPr>
      <w:rFonts w:ascii="Times New Roman" w:hAnsi="Times New Roman" w:eastAsia="黑体"/>
      <w:kern w:val="2"/>
      <w:sz w:val="24"/>
      <w:szCs w:val="24"/>
    </w:rPr>
  </w:style>
  <w:style w:type="paragraph" w:customStyle="1" w:styleId="81">
    <w:name w:val="表头文字"/>
    <w:basedOn w:val="3"/>
    <w:link w:val="80"/>
    <w:qFormat/>
    <w:uiPriority w:val="0"/>
    <w:pPr>
      <w:autoSpaceDE/>
      <w:autoSpaceDN/>
      <w:spacing w:line="240" w:lineRule="auto"/>
      <w:ind w:left="0"/>
      <w:jc w:val="center"/>
    </w:pPr>
    <w:rPr>
      <w:rFonts w:ascii="Times New Roman" w:hAnsi="Times New Roman" w:eastAsia="黑体" w:cs="Times New Roman"/>
      <w:kern w:val="2"/>
    </w:rPr>
  </w:style>
  <w:style w:type="character" w:customStyle="1" w:styleId="82">
    <w:name w:val="表格文字 Char Char"/>
    <w:link w:val="83"/>
    <w:qFormat/>
    <w:uiPriority w:val="0"/>
    <w:rPr>
      <w:rFonts w:ascii="宋体" w:hAnsi="Times New Roman"/>
      <w:color w:val="000000"/>
      <w:sz w:val="24"/>
      <w:szCs w:val="22"/>
      <w:lang w:bidi="ar-SA"/>
    </w:rPr>
  </w:style>
  <w:style w:type="paragraph" w:customStyle="1" w:styleId="83">
    <w:name w:val="表格文字"/>
    <w:link w:val="82"/>
    <w:qFormat/>
    <w:uiPriority w:val="0"/>
    <w:pPr>
      <w:widowControl w:val="0"/>
      <w:autoSpaceDE w:val="0"/>
      <w:autoSpaceDN w:val="0"/>
      <w:adjustRightInd w:val="0"/>
      <w:spacing w:line="360" w:lineRule="auto"/>
      <w:textAlignment w:val="baseline"/>
    </w:pPr>
    <w:rPr>
      <w:rFonts w:ascii="宋体" w:hAnsi="Times New Roman" w:eastAsia="宋体" w:cs="Times New Roman"/>
      <w:color w:val="000000"/>
      <w:sz w:val="24"/>
      <w:szCs w:val="22"/>
      <w:lang w:val="en-US" w:eastAsia="zh-CN" w:bidi="ar-SA"/>
    </w:rPr>
  </w:style>
  <w:style w:type="character" w:customStyle="1" w:styleId="84">
    <w:name w:val="样式 (符号) 宋体 小四 行距: 1.5 倍行距 Char"/>
    <w:link w:val="85"/>
    <w:qFormat/>
    <w:uiPriority w:val="0"/>
    <w:rPr>
      <w:rFonts w:ascii="Times New Roman" w:hAnsi="宋体" w:cs="宋体"/>
      <w:kern w:val="2"/>
      <w:sz w:val="24"/>
    </w:rPr>
  </w:style>
  <w:style w:type="paragraph" w:customStyle="1" w:styleId="85">
    <w:name w:val="样式 (符号) 宋体 小四 行距: 1.5 倍行距"/>
    <w:basedOn w:val="1"/>
    <w:link w:val="84"/>
    <w:qFormat/>
    <w:uiPriority w:val="0"/>
    <w:pPr>
      <w:suppressAutoHyphens w:val="0"/>
      <w:wordWrap/>
      <w:topLinePunct w:val="0"/>
      <w:ind w:firstLine="480"/>
      <w:jc w:val="both"/>
    </w:pPr>
    <w:rPr>
      <w:rFonts w:hAnsi="宋体"/>
      <w:szCs w:val="20"/>
    </w:rPr>
  </w:style>
  <w:style w:type="character" w:customStyle="1" w:styleId="86">
    <w:name w:val="_Style 85"/>
    <w:unhideWhenUsed/>
    <w:qFormat/>
    <w:uiPriority w:val="99"/>
    <w:rPr>
      <w:color w:val="605E5C"/>
      <w:shd w:val="clear" w:color="auto" w:fill="E1DFDD"/>
    </w:rPr>
  </w:style>
  <w:style w:type="character" w:customStyle="1" w:styleId="87">
    <w:name w:val="表标题2 Char"/>
    <w:link w:val="88"/>
    <w:qFormat/>
    <w:uiPriority w:val="0"/>
    <w:rPr>
      <w:rFonts w:ascii="Times New Roman" w:hAnsi="Times New Roman"/>
      <w:b/>
      <w:color w:val="000000"/>
      <w:sz w:val="24"/>
    </w:rPr>
  </w:style>
  <w:style w:type="paragraph" w:customStyle="1" w:styleId="88">
    <w:name w:val="表标题2"/>
    <w:basedOn w:val="1"/>
    <w:link w:val="87"/>
    <w:qFormat/>
    <w:uiPriority w:val="0"/>
    <w:pPr>
      <w:suppressAutoHyphens w:val="0"/>
      <w:wordWrap/>
      <w:topLinePunct w:val="0"/>
      <w:snapToGrid w:val="0"/>
      <w:ind w:firstLine="0" w:firstLineChars="0"/>
      <w:jc w:val="both"/>
    </w:pPr>
    <w:rPr>
      <w:b/>
      <w:color w:val="000000"/>
      <w:kern w:val="0"/>
      <w:szCs w:val="20"/>
    </w:rPr>
  </w:style>
  <w:style w:type="character" w:customStyle="1" w:styleId="89">
    <w:name w:val="表格 Char"/>
    <w:link w:val="90"/>
    <w:qFormat/>
    <w:uiPriority w:val="0"/>
    <w:rPr>
      <w:rFonts w:ascii="Times New Roman" w:hAnsi="Times New Roman"/>
      <w:kern w:val="2"/>
      <w:sz w:val="21"/>
    </w:rPr>
  </w:style>
  <w:style w:type="paragraph" w:customStyle="1" w:styleId="90">
    <w:name w:val="表格"/>
    <w:basedOn w:val="91"/>
    <w:next w:val="1"/>
    <w:link w:val="89"/>
    <w:qFormat/>
    <w:uiPriority w:val="0"/>
    <w:pPr>
      <w:tabs>
        <w:tab w:val="left" w:pos="940"/>
      </w:tabs>
      <w:wordWrap w:val="0"/>
      <w:spacing w:line="240" w:lineRule="auto"/>
      <w:ind w:firstLine="0" w:firstLineChars="0"/>
      <w:jc w:val="center"/>
      <w:textAlignment w:val="center"/>
    </w:pPr>
    <w:rPr>
      <w:sz w:val="21"/>
      <w:szCs w:val="20"/>
    </w:rPr>
  </w:style>
  <w:style w:type="paragraph" w:customStyle="1" w:styleId="91">
    <w:name w:val="表题"/>
    <w:basedOn w:val="1"/>
    <w:qFormat/>
    <w:uiPriority w:val="0"/>
    <w:pPr>
      <w:tabs>
        <w:tab w:val="left" w:pos="940"/>
      </w:tabs>
      <w:snapToGrid w:val="0"/>
      <w:spacing w:line="240" w:lineRule="auto"/>
      <w:jc w:val="center"/>
    </w:pPr>
    <w:rPr>
      <w:rFonts w:eastAsia="黑体"/>
      <w:sz w:val="21"/>
      <w:szCs w:val="20"/>
    </w:rPr>
  </w:style>
  <w:style w:type="character" w:customStyle="1" w:styleId="92">
    <w:name w:val="副标题 字符"/>
    <w:qFormat/>
    <w:uiPriority w:val="11"/>
    <w:rPr>
      <w:rFonts w:ascii="Times New Roman" w:hAnsi="Times New Roman"/>
      <w:b/>
      <w:bCs/>
      <w:kern w:val="28"/>
      <w:sz w:val="21"/>
      <w:szCs w:val="32"/>
    </w:rPr>
  </w:style>
  <w:style w:type="paragraph" w:customStyle="1" w:styleId="93">
    <w:name w:val="标题4"/>
    <w:basedOn w:val="11"/>
    <w:qFormat/>
    <w:uiPriority w:val="0"/>
    <w:pPr>
      <w:wordWrap w:val="0"/>
      <w:topLinePunct/>
      <w:adjustRightInd w:val="0"/>
      <w:snapToGrid w:val="0"/>
      <w:spacing w:before="40" w:after="60"/>
      <w:ind w:firstLine="0" w:firstLineChars="0"/>
      <w:jc w:val="both"/>
    </w:pPr>
    <w:rPr>
      <w:b/>
      <w:kern w:val="0"/>
    </w:rPr>
  </w:style>
  <w:style w:type="paragraph" w:customStyle="1" w:styleId="94">
    <w:name w:val="正文 New New New New New New New New New New New New New New New New New New New"/>
    <w:qFormat/>
    <w:uiPriority w:val="0"/>
    <w:pPr>
      <w:widowControl w:val="0"/>
      <w:spacing w:line="360" w:lineRule="auto"/>
      <w:jc w:val="both"/>
    </w:pPr>
    <w:rPr>
      <w:rFonts w:ascii="Times New Roman" w:hAnsi="Times New Roman" w:eastAsia="宋体" w:cs="Times New Roman"/>
      <w:sz w:val="28"/>
      <w:szCs w:val="28"/>
      <w:lang w:val="en-US" w:eastAsia="zh-CN" w:bidi="ar-SA"/>
    </w:rPr>
  </w:style>
  <w:style w:type="paragraph" w:customStyle="1" w:styleId="95">
    <w:name w:val="样式 表格 32 + 首行缩进:  2 字符"/>
    <w:basedOn w:val="1"/>
    <w:qFormat/>
    <w:uiPriority w:val="0"/>
    <w:pPr>
      <w:suppressAutoHyphens w:val="0"/>
      <w:wordWrap/>
      <w:topLinePunct w:val="0"/>
      <w:autoSpaceDE w:val="0"/>
      <w:autoSpaceDN w:val="0"/>
      <w:spacing w:line="0" w:lineRule="atLeast"/>
      <w:ind w:firstLine="0" w:firstLineChars="0"/>
      <w:jc w:val="center"/>
    </w:pPr>
    <w:rPr>
      <w:rFonts w:cs="宋体"/>
      <w:sz w:val="21"/>
      <w:szCs w:val="21"/>
    </w:rPr>
  </w:style>
  <w:style w:type="paragraph" w:customStyle="1" w:styleId="96">
    <w:name w:val="报告书"/>
    <w:basedOn w:val="1"/>
    <w:qFormat/>
    <w:uiPriority w:val="0"/>
    <w:pPr>
      <w:suppressAutoHyphens w:val="0"/>
      <w:wordWrap/>
      <w:topLinePunct w:val="0"/>
      <w:spacing w:line="300" w:lineRule="auto"/>
      <w:ind w:firstLine="480"/>
      <w:jc w:val="both"/>
    </w:pPr>
    <w:rPr>
      <w:szCs w:val="20"/>
    </w:rPr>
  </w:style>
  <w:style w:type="paragraph" w:customStyle="1" w:styleId="97">
    <w:name w:val="表格正文1"/>
    <w:basedOn w:val="1"/>
    <w:next w:val="1"/>
    <w:qFormat/>
    <w:uiPriority w:val="0"/>
    <w:pPr>
      <w:keepNext/>
      <w:keepLines/>
      <w:widowControl/>
      <w:tabs>
        <w:tab w:val="left" w:pos="2976"/>
        <w:tab w:val="left" w:pos="8820"/>
        <w:tab w:val="left" w:pos="9000"/>
      </w:tabs>
      <w:suppressAutoHyphens w:val="0"/>
      <w:wordWrap/>
      <w:topLinePunct w:val="0"/>
      <w:adjustRightInd w:val="0"/>
      <w:snapToGrid w:val="0"/>
      <w:spacing w:line="240" w:lineRule="auto"/>
      <w:ind w:firstLine="0" w:firstLineChars="0"/>
      <w:jc w:val="center"/>
      <w:outlineLvl w:val="4"/>
    </w:pPr>
    <w:rPr>
      <w:color w:val="000000"/>
      <w:kern w:val="0"/>
      <w:sz w:val="21"/>
      <w:szCs w:val="20"/>
    </w:rPr>
  </w:style>
  <w:style w:type="paragraph" w:customStyle="1" w:styleId="98">
    <w:name w:val="正文 New New New New New New New New New New New New New New New New New New New New New"/>
    <w:qFormat/>
    <w:uiPriority w:val="0"/>
    <w:pPr>
      <w:widowControl w:val="0"/>
      <w:spacing w:line="360" w:lineRule="auto"/>
      <w:jc w:val="both"/>
    </w:pPr>
    <w:rPr>
      <w:rFonts w:ascii="Times New Roman" w:hAnsi="Times New Roman" w:eastAsia="宋体" w:cs="Times New Roman"/>
      <w:szCs w:val="24"/>
      <w:lang w:val="en-US" w:eastAsia="zh-CN" w:bidi="ar-SA"/>
    </w:rPr>
  </w:style>
  <w:style w:type="paragraph" w:customStyle="1" w:styleId="99">
    <w:name w:val="报告正文"/>
    <w:basedOn w:val="1"/>
    <w:qFormat/>
    <w:uiPriority w:val="0"/>
    <w:pPr>
      <w:adjustRightInd w:val="0"/>
      <w:ind w:firstLine="473"/>
      <w:textAlignment w:val="baseline"/>
    </w:pPr>
    <w:rPr>
      <w:rFonts w:ascii="宋体" w:hAnsi="宋体"/>
      <w:kern w:val="144"/>
      <w:szCs w:val="20"/>
    </w:rPr>
  </w:style>
  <w:style w:type="paragraph" w:customStyle="1" w:styleId="100">
    <w:name w:val="市环科院正文"/>
    <w:basedOn w:val="1"/>
    <w:qFormat/>
    <w:uiPriority w:val="0"/>
    <w:pPr>
      <w:suppressAutoHyphens w:val="0"/>
      <w:wordWrap/>
      <w:topLinePunct w:val="0"/>
      <w:spacing w:line="300" w:lineRule="auto"/>
      <w:ind w:firstLine="480"/>
      <w:jc w:val="both"/>
    </w:pPr>
    <w:rPr>
      <w:rFonts w:ascii="Calibri" w:hAnsi="Calibri"/>
      <w:kern w:val="0"/>
    </w:rPr>
  </w:style>
  <w:style w:type="paragraph" w:styleId="101">
    <w:name w:val="List Paragraph"/>
    <w:basedOn w:val="1"/>
    <w:qFormat/>
    <w:uiPriority w:val="1"/>
    <w:pPr>
      <w:suppressAutoHyphens w:val="0"/>
      <w:wordWrap/>
      <w:topLinePunct w:val="0"/>
      <w:autoSpaceDE w:val="0"/>
      <w:autoSpaceDN w:val="0"/>
      <w:spacing w:line="240" w:lineRule="auto"/>
      <w:ind w:left="906" w:hanging="840" w:firstLineChars="0"/>
      <w:jc w:val="left"/>
    </w:pPr>
    <w:rPr>
      <w:rFonts w:ascii="宋体" w:hAnsi="宋体" w:cs="宋体"/>
      <w:kern w:val="0"/>
      <w:sz w:val="22"/>
      <w:szCs w:val="22"/>
      <w:lang w:eastAsia="en-US"/>
    </w:rPr>
  </w:style>
  <w:style w:type="paragraph" w:customStyle="1" w:styleId="102">
    <w:name w:val=" Char Char Char Char Char Char Char Char Char Char"/>
    <w:basedOn w:val="1"/>
    <w:qFormat/>
    <w:uiPriority w:val="0"/>
    <w:pPr>
      <w:widowControl/>
      <w:suppressAutoHyphens w:val="0"/>
      <w:wordWrap/>
      <w:topLinePunct w:val="0"/>
      <w:spacing w:after="160" w:line="240" w:lineRule="exact"/>
      <w:ind w:firstLine="0" w:firstLineChars="0"/>
    </w:pPr>
    <w:rPr>
      <w:rFonts w:ascii="Verdana" w:hAnsi="Verdana"/>
      <w:kern w:val="0"/>
      <w:sz w:val="20"/>
      <w:szCs w:val="20"/>
      <w:lang w:eastAsia="en-US"/>
    </w:rPr>
  </w:style>
  <w:style w:type="paragraph" w:customStyle="1" w:styleId="103">
    <w:name w:val="table caption"/>
    <w:next w:val="13"/>
    <w:qFormat/>
    <w:uiPriority w:val="0"/>
    <w:pPr>
      <w:widowControl w:val="0"/>
      <w:jc w:val="center"/>
    </w:pPr>
    <w:rPr>
      <w:rFonts w:ascii="Times New Roman" w:hAnsi="Times New Roman" w:eastAsia="宋体" w:cs="Times New Roman"/>
      <w:b/>
      <w:sz w:val="21"/>
      <w:szCs w:val="24"/>
      <w:lang w:val="en-US" w:eastAsia="zh-CN" w:bidi="ar-SA"/>
    </w:rPr>
  </w:style>
  <w:style w:type="paragraph" w:customStyle="1" w:styleId="104">
    <w:name w:val="Char1"/>
    <w:basedOn w:val="1"/>
    <w:qFormat/>
    <w:uiPriority w:val="0"/>
    <w:pPr>
      <w:suppressAutoHyphens w:val="0"/>
      <w:wordWrap/>
      <w:topLinePunct w:val="0"/>
      <w:jc w:val="both"/>
    </w:pPr>
    <w:rPr>
      <w:rFonts w:ascii="宋体" w:hAnsi="宋体"/>
      <w:kern w:val="0"/>
      <w:szCs w:val="20"/>
    </w:rPr>
  </w:style>
  <w:style w:type="paragraph" w:customStyle="1" w:styleId="105">
    <w:name w:val="A正文"/>
    <w:basedOn w:val="1"/>
    <w:qFormat/>
    <w:uiPriority w:val="0"/>
    <w:pPr>
      <w:widowControl/>
      <w:suppressAutoHyphens w:val="0"/>
      <w:wordWrap/>
      <w:topLinePunct w:val="0"/>
      <w:jc w:val="both"/>
    </w:pPr>
    <w:rPr>
      <w:rFonts w:ascii="Calibri" w:hAnsi="Calibri"/>
      <w:kern w:val="0"/>
      <w:szCs w:val="22"/>
    </w:rPr>
  </w:style>
  <w:style w:type="paragraph" w:customStyle="1" w:styleId="106">
    <w:name w:val="Table Paragraph"/>
    <w:basedOn w:val="1"/>
    <w:qFormat/>
    <w:uiPriority w:val="1"/>
    <w:pPr>
      <w:suppressAutoHyphens w:val="0"/>
      <w:wordWrap/>
      <w:topLinePunct w:val="0"/>
      <w:autoSpaceDE w:val="0"/>
      <w:autoSpaceDN w:val="0"/>
      <w:spacing w:line="240" w:lineRule="auto"/>
      <w:ind w:firstLine="0" w:firstLineChars="0"/>
      <w:jc w:val="center"/>
    </w:pPr>
    <w:rPr>
      <w:rFonts w:ascii="宋体" w:hAnsi="宋体" w:cs="宋体"/>
      <w:kern w:val="0"/>
      <w:sz w:val="22"/>
      <w:szCs w:val="22"/>
      <w:lang w:eastAsia="en-US"/>
    </w:rPr>
  </w:style>
  <w:style w:type="paragraph" w:customStyle="1" w:styleId="107">
    <w:name w:val="正文首行缩进 New New"/>
    <w:basedOn w:val="1"/>
    <w:qFormat/>
    <w:uiPriority w:val="0"/>
    <w:pPr>
      <w:suppressAutoHyphens w:val="0"/>
      <w:wordWrap/>
      <w:topLinePunct w:val="0"/>
      <w:spacing w:after="120" w:line="240" w:lineRule="auto"/>
      <w:ind w:firstLine="420" w:firstLineChars="100"/>
      <w:jc w:val="both"/>
    </w:pPr>
    <w:rPr>
      <w:sz w:val="21"/>
    </w:rPr>
  </w:style>
  <w:style w:type="paragraph" w:customStyle="1" w:styleId="108">
    <w:name w:val="大表内容"/>
    <w:qFormat/>
    <w:uiPriority w:val="0"/>
    <w:pPr>
      <w:snapToGrid w:val="0"/>
      <w:spacing w:line="360" w:lineRule="auto"/>
      <w:jc w:val="center"/>
    </w:pPr>
    <w:rPr>
      <w:rFonts w:ascii="Times New Roman" w:hAnsi="Times New Roman" w:eastAsia="宋体" w:cs="Times New Roman"/>
      <w:sz w:val="21"/>
      <w:lang w:val="en-US" w:eastAsia="zh-CN" w:bidi="ar-SA"/>
    </w:rPr>
  </w:style>
  <w:style w:type="paragraph" w:customStyle="1" w:styleId="109">
    <w:name w:val="样式 正文首行缩进:  2 字符 + 首行缩进:  2 字符"/>
    <w:basedOn w:val="1"/>
    <w:qFormat/>
    <w:uiPriority w:val="0"/>
    <w:pPr>
      <w:widowControl w:val="0"/>
      <w:ind w:firstLine="480"/>
      <w:jc w:val="both"/>
    </w:pPr>
    <w:rPr>
      <w:rFonts w:cs="宋体"/>
      <w:szCs w:val="20"/>
    </w:rPr>
  </w:style>
  <w:style w:type="paragraph" w:customStyle="1" w:styleId="110">
    <w:name w:val="表体"/>
    <w:basedOn w:val="3"/>
    <w:qFormat/>
    <w:uiPriority w:val="0"/>
    <w:pPr>
      <w:autoSpaceDE/>
      <w:autoSpaceDN/>
      <w:spacing w:line="280" w:lineRule="exact"/>
      <w:ind w:left="0"/>
      <w:jc w:val="center"/>
    </w:pPr>
    <w:rPr>
      <w:rFonts w:cs="Times New Roman"/>
      <w:kern w:val="2"/>
      <w:sz w:val="18"/>
      <w:szCs w:val="20"/>
      <w:lang w:eastAsia="zh-CN"/>
    </w:rPr>
  </w:style>
  <w:style w:type="paragraph" w:customStyle="1" w:styleId="111">
    <w:name w:val="_Style 110"/>
    <w:semiHidden/>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112">
    <w:name w:val="reader-word-layer"/>
    <w:basedOn w:val="1"/>
    <w:qFormat/>
    <w:uiPriority w:val="0"/>
    <w:pPr>
      <w:widowControl/>
      <w:suppressAutoHyphens w:val="0"/>
      <w:wordWrap/>
      <w:topLinePunct w:val="0"/>
      <w:spacing w:before="100" w:beforeAutospacing="1" w:after="100" w:afterAutospacing="1" w:line="240" w:lineRule="auto"/>
      <w:ind w:firstLine="0" w:firstLineChars="0"/>
    </w:pPr>
    <w:rPr>
      <w:rFonts w:ascii="宋体" w:hAnsi="宋体" w:cs="宋体"/>
      <w:kern w:val="0"/>
    </w:rPr>
  </w:style>
  <w:style w:type="paragraph" w:customStyle="1" w:styleId="113">
    <w:name w:val="表中文字"/>
    <w:basedOn w:val="1"/>
    <w:qFormat/>
    <w:uiPriority w:val="0"/>
    <w:pPr>
      <w:wordWrap w:val="0"/>
      <w:adjustRightInd w:val="0"/>
      <w:spacing w:line="240" w:lineRule="auto"/>
      <w:ind w:firstLine="0" w:firstLineChars="0"/>
      <w:jc w:val="center"/>
      <w:textAlignment w:val="baseline"/>
    </w:pPr>
    <w:rPr>
      <w:kern w:val="0"/>
      <w:sz w:val="21"/>
      <w:szCs w:val="20"/>
    </w:rPr>
  </w:style>
  <w:style w:type="table" w:customStyle="1" w:styleId="114">
    <w:name w:val="Table Normal"/>
    <w:unhideWhenUsed/>
    <w:qFormat/>
    <w:uiPriority w:val="2"/>
    <w:pPr>
      <w:widowControl w:val="0"/>
      <w:autoSpaceDE w:val="0"/>
      <w:autoSpaceDN w:val="0"/>
      <w:spacing w:line="360" w:lineRule="auto"/>
    </w:pPr>
    <w:rPr>
      <w:sz w:val="22"/>
      <w:szCs w:val="22"/>
      <w:lang w:val="en-US" w:eastAsia="en-US" w:bidi="ar-SA"/>
    </w:rPr>
    <w:tblPr>
      <w:tblCellMar>
        <w:top w:w="0" w:type="dxa"/>
        <w:left w:w="0" w:type="dxa"/>
        <w:bottom w:w="0" w:type="dxa"/>
        <w:right w:w="0" w:type="dxa"/>
      </w:tblCellMar>
    </w:tblPr>
  </w:style>
  <w:style w:type="table" w:customStyle="1" w:styleId="115">
    <w:name w:val="网格型1"/>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
    <w:name w:val="网格型2"/>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样式1"/>
    <w:basedOn w:val="36"/>
    <w:qFormat/>
    <w:uiPriority w:val="99"/>
    <w:pPr>
      <w:jc w:val="center"/>
    </w:pPr>
    <w:rPr>
      <w:rFonts w:ascii="Times New Roman" w:hAnsi="Times New Roman"/>
    </w:rPr>
    <w:tblPr>
      <w:jc w:val="center"/>
      <w:tblBorders>
        <w:top w:val="single" w:color="auto" w:sz="8" w:space="0"/>
        <w:bottom w:val="single" w:color="auto" w:sz="8" w:space="0"/>
        <w:insideH w:val="single" w:color="auto" w:sz="8" w:space="0"/>
        <w:insideV w:val="single" w:color="auto" w:sz="8" w:space="0"/>
      </w:tblBorders>
    </w:tblPr>
    <w:trPr>
      <w:jc w:val="center"/>
    </w:trPr>
    <w:tcPr>
      <w:vAlign w:val="center"/>
    </w:tcPr>
  </w:style>
  <w:style w:type="character" w:customStyle="1" w:styleId="118">
    <w:name w:val="css14_high261"/>
    <w:qFormat/>
    <w:uiPriority w:val="0"/>
    <w:rPr>
      <w:sz w:val="21"/>
      <w:szCs w:val="21"/>
    </w:rPr>
  </w:style>
  <w:style w:type="paragraph" w:customStyle="1" w:styleId="119">
    <w:name w:val="文本"/>
    <w:basedOn w:val="1"/>
    <w:qFormat/>
    <w:uiPriority w:val="0"/>
    <w:pPr>
      <w:widowControl/>
      <w:spacing w:line="360" w:lineRule="auto"/>
      <w:ind w:firstLine="480" w:firstLineChars="200"/>
      <w:jc w:val="left"/>
    </w:pPr>
    <w:rPr>
      <w:rFonts w:ascii="宋体" w:hAnsi="宋体"/>
      <w:sz w:val="24"/>
    </w:rPr>
  </w:style>
  <w:style w:type="paragraph" w:customStyle="1" w:styleId="120">
    <w:name w:val="表格文字   5号"/>
    <w:qFormat/>
    <w:uiPriority w:val="0"/>
    <w:pPr>
      <w:jc w:val="center"/>
    </w:pPr>
    <w:rPr>
      <w:rFonts w:ascii="Times New Roman" w:hAnsi="Times New Roman" w:eastAsia="宋体" w:cs="Times New Roman"/>
      <w:color w:val="000000"/>
      <w:kern w:val="2"/>
      <w:sz w:val="21"/>
      <w:szCs w:val="24"/>
      <w:lang w:val="en-US" w:eastAsia="zh-CN" w:bidi="ar-SA"/>
    </w:rPr>
  </w:style>
  <w:style w:type="character" w:customStyle="1" w:styleId="121">
    <w:name w:val="慧智表格样式"/>
    <w:qFormat/>
    <w:uiPriority w:val="0"/>
    <w:rPr>
      <w:rFonts w:ascii="Times New Roman" w:hAnsi="Times New Roman" w:eastAsia="宋体"/>
      <w:kern w:val="0"/>
      <w:sz w:val="18"/>
    </w:rPr>
  </w:style>
  <w:style w:type="paragraph" w:customStyle="1" w:styleId="122">
    <w:name w:val="表头"/>
    <w:basedOn w:val="2"/>
    <w:next w:val="1"/>
    <w:qFormat/>
    <w:uiPriority w:val="0"/>
    <w:pPr>
      <w:adjustRightInd w:val="0"/>
      <w:snapToGrid w:val="0"/>
      <w:spacing w:before="50" w:beforeLines="50" w:line="360" w:lineRule="auto"/>
      <w:jc w:val="center"/>
      <w:textAlignment w:val="baseline"/>
    </w:pPr>
    <w:rPr>
      <w:rFonts w:ascii="Times New Roman" w:hAnsi="Times New Roman"/>
      <w:b/>
      <w:spacing w:val="-10"/>
      <w:kern w:val="0"/>
      <w:szCs w:val="20"/>
    </w:rPr>
  </w:style>
  <w:style w:type="character" w:customStyle="1" w:styleId="123">
    <w:name w:val="tent1"/>
    <w:qFormat/>
    <w:uiPriority w:val="0"/>
    <w:rPr>
      <w:color w:val="333333"/>
    </w:rPr>
  </w:style>
  <w:style w:type="paragraph" w:customStyle="1" w:styleId="124">
    <w:name w:val="表标题"/>
    <w:basedOn w:val="1"/>
    <w:link w:val="129"/>
    <w:qFormat/>
    <w:uiPriority w:val="0"/>
    <w:pPr>
      <w:spacing w:before="80" w:after="80" w:line="240" w:lineRule="auto"/>
      <w:ind w:firstLine="0" w:firstLineChars="0"/>
      <w:jc w:val="center"/>
    </w:pPr>
    <w:rPr>
      <w:b/>
      <w:sz w:val="21"/>
      <w:szCs w:val="20"/>
    </w:rPr>
  </w:style>
  <w:style w:type="paragraph" w:customStyle="1" w:styleId="125">
    <w:name w:val="慧智正文"/>
    <w:qFormat/>
    <w:uiPriority w:val="0"/>
    <w:pPr>
      <w:adjustRightInd w:val="0"/>
      <w:snapToGrid w:val="0"/>
      <w:spacing w:line="360" w:lineRule="auto"/>
      <w:ind w:firstLine="200" w:firstLineChars="200"/>
      <w:jc w:val="both"/>
    </w:pPr>
    <w:rPr>
      <w:rFonts w:ascii="Times New Roman" w:hAnsi="Times New Roman" w:eastAsia="宋体" w:cs="Times New Roman"/>
      <w:bCs/>
      <w:snapToGrid w:val="0"/>
      <w:sz w:val="24"/>
      <w:szCs w:val="22"/>
      <w:lang w:val="en-US" w:eastAsia="zh-CN" w:bidi="ar-SA"/>
    </w:rPr>
  </w:style>
  <w:style w:type="paragraph" w:customStyle="1" w:styleId="126">
    <w:name w:val="图表标题"/>
    <w:next w:val="1"/>
    <w:qFormat/>
    <w:uiPriority w:val="0"/>
    <w:pPr>
      <w:spacing w:line="360" w:lineRule="auto"/>
      <w:jc w:val="center"/>
    </w:pPr>
    <w:rPr>
      <w:rFonts w:ascii="Times New Roman" w:hAnsi="Times New Roman" w:eastAsia="宋体" w:cs="Times New Roman"/>
      <w:b/>
      <w:kern w:val="2"/>
      <w:sz w:val="21"/>
      <w:szCs w:val="24"/>
      <w:lang w:val="en-US" w:eastAsia="zh-CN" w:bidi="ar-SA"/>
    </w:rPr>
  </w:style>
  <w:style w:type="paragraph" w:customStyle="1" w:styleId="127">
    <w:name w:val="表格头样式"/>
    <w:basedOn w:val="1"/>
    <w:qFormat/>
    <w:uiPriority w:val="0"/>
    <w:pPr>
      <w:jc w:val="center"/>
    </w:pPr>
    <w:rPr>
      <w:b/>
      <w:kern w:val="0"/>
      <w:sz w:val="20"/>
      <w:szCs w:val="20"/>
    </w:rPr>
  </w:style>
  <w:style w:type="paragraph" w:customStyle="1" w:styleId="128">
    <w:name w:val="1正文"/>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29">
    <w:name w:val="表标题 Char"/>
    <w:link w:val="124"/>
    <w:qFormat/>
    <w:uiPriority w:val="0"/>
    <w:rPr>
      <w:b/>
      <w:sz w:val="21"/>
      <w:szCs w:val="2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8.bin"/><Relationship Id="rId98" Type="http://schemas.openxmlformats.org/officeDocument/2006/relationships/image" Target="media/image47.wmf"/><Relationship Id="rId97" Type="http://schemas.openxmlformats.org/officeDocument/2006/relationships/oleObject" Target="embeddings/oleObject27.bin"/><Relationship Id="rId96" Type="http://schemas.openxmlformats.org/officeDocument/2006/relationships/image" Target="media/image46.wmf"/><Relationship Id="rId95" Type="http://schemas.openxmlformats.org/officeDocument/2006/relationships/oleObject" Target="embeddings/oleObject26.bin"/><Relationship Id="rId94" Type="http://schemas.openxmlformats.org/officeDocument/2006/relationships/image" Target="media/image45.wmf"/><Relationship Id="rId93" Type="http://schemas.openxmlformats.org/officeDocument/2006/relationships/oleObject" Target="embeddings/oleObject25.bin"/><Relationship Id="rId92" Type="http://schemas.openxmlformats.org/officeDocument/2006/relationships/image" Target="media/image44.wmf"/><Relationship Id="rId91" Type="http://schemas.openxmlformats.org/officeDocument/2006/relationships/oleObject" Target="embeddings/oleObject24.bin"/><Relationship Id="rId90" Type="http://schemas.openxmlformats.org/officeDocument/2006/relationships/image" Target="media/image43.wmf"/><Relationship Id="rId9" Type="http://schemas.openxmlformats.org/officeDocument/2006/relationships/footer" Target="footer2.xml"/><Relationship Id="rId89" Type="http://schemas.openxmlformats.org/officeDocument/2006/relationships/oleObject" Target="embeddings/oleObject23.bin"/><Relationship Id="rId88" Type="http://schemas.openxmlformats.org/officeDocument/2006/relationships/image" Target="media/image42.wmf"/><Relationship Id="rId87" Type="http://schemas.openxmlformats.org/officeDocument/2006/relationships/oleObject" Target="embeddings/oleObject22.bin"/><Relationship Id="rId86" Type="http://schemas.openxmlformats.org/officeDocument/2006/relationships/image" Target="media/image41.wmf"/><Relationship Id="rId85" Type="http://schemas.openxmlformats.org/officeDocument/2006/relationships/oleObject" Target="embeddings/oleObject21.bin"/><Relationship Id="rId84" Type="http://schemas.openxmlformats.org/officeDocument/2006/relationships/image" Target="media/image40.wmf"/><Relationship Id="rId83" Type="http://schemas.openxmlformats.org/officeDocument/2006/relationships/oleObject" Target="embeddings/oleObject20.bin"/><Relationship Id="rId82" Type="http://schemas.openxmlformats.org/officeDocument/2006/relationships/image" Target="media/image39.wmf"/><Relationship Id="rId81" Type="http://schemas.openxmlformats.org/officeDocument/2006/relationships/oleObject" Target="embeddings/oleObject19.bin"/><Relationship Id="rId80" Type="http://schemas.openxmlformats.org/officeDocument/2006/relationships/image" Target="media/image38.wmf"/><Relationship Id="rId8" Type="http://schemas.openxmlformats.org/officeDocument/2006/relationships/footer" Target="footer1.xml"/><Relationship Id="rId79" Type="http://schemas.openxmlformats.org/officeDocument/2006/relationships/oleObject" Target="embeddings/oleObject18.bin"/><Relationship Id="rId78" Type="http://schemas.openxmlformats.org/officeDocument/2006/relationships/image" Target="media/image37.png"/><Relationship Id="rId77" Type="http://schemas.openxmlformats.org/officeDocument/2006/relationships/image" Target="media/image36.png"/><Relationship Id="rId76" Type="http://schemas.openxmlformats.org/officeDocument/2006/relationships/image" Target="media/image35.png"/><Relationship Id="rId75" Type="http://schemas.openxmlformats.org/officeDocument/2006/relationships/image" Target="media/image34.png"/><Relationship Id="rId74" Type="http://schemas.openxmlformats.org/officeDocument/2006/relationships/image" Target="media/image33.png"/><Relationship Id="rId73" Type="http://schemas.openxmlformats.org/officeDocument/2006/relationships/image" Target="media/image32.jpeg"/><Relationship Id="rId72" Type="http://schemas.openxmlformats.org/officeDocument/2006/relationships/image" Target="media/image31.wmf"/><Relationship Id="rId71" Type="http://schemas.openxmlformats.org/officeDocument/2006/relationships/oleObject" Target="embeddings/oleObject17.bin"/><Relationship Id="rId70" Type="http://schemas.openxmlformats.org/officeDocument/2006/relationships/image" Target="media/image30.wmf"/><Relationship Id="rId7" Type="http://schemas.openxmlformats.org/officeDocument/2006/relationships/header" Target="header3.xml"/><Relationship Id="rId69" Type="http://schemas.openxmlformats.org/officeDocument/2006/relationships/oleObject" Target="embeddings/oleObject16.bin"/><Relationship Id="rId68" Type="http://schemas.openxmlformats.org/officeDocument/2006/relationships/image" Target="media/image29.wmf"/><Relationship Id="rId67" Type="http://schemas.openxmlformats.org/officeDocument/2006/relationships/oleObject" Target="embeddings/oleObject15.bin"/><Relationship Id="rId66" Type="http://schemas.openxmlformats.org/officeDocument/2006/relationships/image" Target="media/image28.wmf"/><Relationship Id="rId65" Type="http://schemas.openxmlformats.org/officeDocument/2006/relationships/oleObject" Target="embeddings/oleObject14.bin"/><Relationship Id="rId64" Type="http://schemas.openxmlformats.org/officeDocument/2006/relationships/image" Target="media/image27.wmf"/><Relationship Id="rId63" Type="http://schemas.openxmlformats.org/officeDocument/2006/relationships/oleObject" Target="embeddings/oleObject13.bin"/><Relationship Id="rId62" Type="http://schemas.openxmlformats.org/officeDocument/2006/relationships/image" Target="media/image26.wmf"/><Relationship Id="rId61" Type="http://schemas.openxmlformats.org/officeDocument/2006/relationships/oleObject" Target="embeddings/oleObject12.bin"/><Relationship Id="rId60" Type="http://schemas.openxmlformats.org/officeDocument/2006/relationships/image" Target="media/image25.wmf"/><Relationship Id="rId6" Type="http://schemas.openxmlformats.org/officeDocument/2006/relationships/header" Target="header2.xml"/><Relationship Id="rId59" Type="http://schemas.openxmlformats.org/officeDocument/2006/relationships/oleObject" Target="embeddings/oleObject11.bin"/><Relationship Id="rId58" Type="http://schemas.openxmlformats.org/officeDocument/2006/relationships/image" Target="media/image24.wmf"/><Relationship Id="rId57" Type="http://schemas.openxmlformats.org/officeDocument/2006/relationships/oleObject" Target="embeddings/oleObject10.bin"/><Relationship Id="rId56" Type="http://schemas.openxmlformats.org/officeDocument/2006/relationships/image" Target="media/image23.wmf"/><Relationship Id="rId55" Type="http://schemas.openxmlformats.org/officeDocument/2006/relationships/oleObject" Target="embeddings/oleObject9.bin"/><Relationship Id="rId54" Type="http://schemas.openxmlformats.org/officeDocument/2006/relationships/image" Target="media/image22.wmf"/><Relationship Id="rId53" Type="http://schemas.openxmlformats.org/officeDocument/2006/relationships/oleObject" Target="embeddings/oleObject8.bin"/><Relationship Id="rId52" Type="http://schemas.openxmlformats.org/officeDocument/2006/relationships/image" Target="media/image21.wmf"/><Relationship Id="rId51" Type="http://schemas.openxmlformats.org/officeDocument/2006/relationships/oleObject" Target="embeddings/oleObject7.bin"/><Relationship Id="rId50" Type="http://schemas.openxmlformats.org/officeDocument/2006/relationships/image" Target="media/image20.wmf"/><Relationship Id="rId5" Type="http://schemas.openxmlformats.org/officeDocument/2006/relationships/header" Target="header1.xml"/><Relationship Id="rId49" Type="http://schemas.openxmlformats.org/officeDocument/2006/relationships/oleObject" Target="embeddings/oleObject6.bin"/><Relationship Id="rId48" Type="http://schemas.openxmlformats.org/officeDocument/2006/relationships/image" Target="media/image19.wmf"/><Relationship Id="rId47" Type="http://schemas.openxmlformats.org/officeDocument/2006/relationships/oleObject" Target="embeddings/oleObject5.bin"/><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endnotes" Target="endnotes.xml"/><Relationship Id="rId39" Type="http://schemas.openxmlformats.org/officeDocument/2006/relationships/image" Target="media/image11.emf"/><Relationship Id="rId38" Type="http://schemas.openxmlformats.org/officeDocument/2006/relationships/oleObject" Target="embeddings/oleObject4.bin"/><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emf"/><Relationship Id="rId33" Type="http://schemas.openxmlformats.org/officeDocument/2006/relationships/oleObject" Target="embeddings/oleObject3.bin"/><Relationship Id="rId32" Type="http://schemas.openxmlformats.org/officeDocument/2006/relationships/image" Target="media/image6.emf"/><Relationship Id="rId31" Type="http://schemas.openxmlformats.org/officeDocument/2006/relationships/oleObject" Target="embeddings/oleObject2.bin"/><Relationship Id="rId30" Type="http://schemas.openxmlformats.org/officeDocument/2006/relationships/image" Target="media/image5.emf"/><Relationship Id="rId3" Type="http://schemas.openxmlformats.org/officeDocument/2006/relationships/footnotes" Target="footnotes.xml"/><Relationship Id="rId29" Type="http://schemas.openxmlformats.org/officeDocument/2006/relationships/oleObject" Target="embeddings/oleObject1.bin"/><Relationship Id="rId28" Type="http://schemas.openxmlformats.org/officeDocument/2006/relationships/image" Target="media/image4.jpeg"/><Relationship Id="rId27" Type="http://schemas.openxmlformats.org/officeDocument/2006/relationships/image" Target="media/image3.emf"/><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7" Type="http://schemas.openxmlformats.org/officeDocument/2006/relationships/fontTable" Target="fontTable.xml"/><Relationship Id="rId146" Type="http://schemas.openxmlformats.org/officeDocument/2006/relationships/numbering" Target="numbering.xml"/><Relationship Id="rId145" Type="http://schemas.openxmlformats.org/officeDocument/2006/relationships/customXml" Target="../customXml/item1.xml"/><Relationship Id="rId144" Type="http://schemas.openxmlformats.org/officeDocument/2006/relationships/oleObject" Target="embeddings/oleObject52.bin"/><Relationship Id="rId143" Type="http://schemas.openxmlformats.org/officeDocument/2006/relationships/oleObject" Target="embeddings/oleObject51.bin"/><Relationship Id="rId142" Type="http://schemas.openxmlformats.org/officeDocument/2006/relationships/oleObject" Target="embeddings/oleObject50.bin"/><Relationship Id="rId141" Type="http://schemas.openxmlformats.org/officeDocument/2006/relationships/oleObject" Target="embeddings/oleObject49.bin"/><Relationship Id="rId140" Type="http://schemas.openxmlformats.org/officeDocument/2006/relationships/oleObject" Target="embeddings/oleObject48.bin"/><Relationship Id="rId14" Type="http://schemas.openxmlformats.org/officeDocument/2006/relationships/footer" Target="footer5.xml"/><Relationship Id="rId139" Type="http://schemas.openxmlformats.org/officeDocument/2006/relationships/image" Target="media/image68.wmf"/><Relationship Id="rId138" Type="http://schemas.openxmlformats.org/officeDocument/2006/relationships/image" Target="media/image67.wmf"/><Relationship Id="rId137" Type="http://schemas.openxmlformats.org/officeDocument/2006/relationships/oleObject" Target="embeddings/oleObject47.bin"/><Relationship Id="rId136" Type="http://schemas.openxmlformats.org/officeDocument/2006/relationships/image" Target="media/image66.wmf"/><Relationship Id="rId135" Type="http://schemas.openxmlformats.org/officeDocument/2006/relationships/oleObject" Target="embeddings/oleObject46.bin"/><Relationship Id="rId134" Type="http://schemas.openxmlformats.org/officeDocument/2006/relationships/image" Target="media/image65.wmf"/><Relationship Id="rId133" Type="http://schemas.openxmlformats.org/officeDocument/2006/relationships/oleObject" Target="embeddings/oleObject45.bin"/><Relationship Id="rId132" Type="http://schemas.openxmlformats.org/officeDocument/2006/relationships/image" Target="media/image64.wmf"/><Relationship Id="rId131" Type="http://schemas.openxmlformats.org/officeDocument/2006/relationships/oleObject" Target="embeddings/oleObject44.bin"/><Relationship Id="rId130" Type="http://schemas.openxmlformats.org/officeDocument/2006/relationships/image" Target="media/image63.wmf"/><Relationship Id="rId13" Type="http://schemas.openxmlformats.org/officeDocument/2006/relationships/header" Target="header5.xml"/><Relationship Id="rId129" Type="http://schemas.openxmlformats.org/officeDocument/2006/relationships/oleObject" Target="embeddings/oleObject43.bin"/><Relationship Id="rId128" Type="http://schemas.openxmlformats.org/officeDocument/2006/relationships/image" Target="media/image62.wmf"/><Relationship Id="rId127" Type="http://schemas.openxmlformats.org/officeDocument/2006/relationships/oleObject" Target="embeddings/oleObject42.bin"/><Relationship Id="rId126" Type="http://schemas.openxmlformats.org/officeDocument/2006/relationships/image" Target="media/image61.wmf"/><Relationship Id="rId125" Type="http://schemas.openxmlformats.org/officeDocument/2006/relationships/oleObject" Target="embeddings/oleObject41.bin"/><Relationship Id="rId124" Type="http://schemas.openxmlformats.org/officeDocument/2006/relationships/image" Target="media/image60.wmf"/><Relationship Id="rId123" Type="http://schemas.openxmlformats.org/officeDocument/2006/relationships/oleObject" Target="embeddings/oleObject40.bin"/><Relationship Id="rId122" Type="http://schemas.openxmlformats.org/officeDocument/2006/relationships/image" Target="media/image59.wmf"/><Relationship Id="rId121" Type="http://schemas.openxmlformats.org/officeDocument/2006/relationships/oleObject" Target="embeddings/oleObject39.bin"/><Relationship Id="rId120" Type="http://schemas.openxmlformats.org/officeDocument/2006/relationships/image" Target="media/image58.wmf"/><Relationship Id="rId12" Type="http://schemas.openxmlformats.org/officeDocument/2006/relationships/footer" Target="footer4.xml"/><Relationship Id="rId119" Type="http://schemas.openxmlformats.org/officeDocument/2006/relationships/oleObject" Target="embeddings/oleObject38.bin"/><Relationship Id="rId118" Type="http://schemas.openxmlformats.org/officeDocument/2006/relationships/image" Target="media/image57.wmf"/><Relationship Id="rId117" Type="http://schemas.openxmlformats.org/officeDocument/2006/relationships/oleObject" Target="embeddings/oleObject37.bin"/><Relationship Id="rId116" Type="http://schemas.openxmlformats.org/officeDocument/2006/relationships/image" Target="media/image56.wmf"/><Relationship Id="rId115" Type="http://schemas.openxmlformats.org/officeDocument/2006/relationships/oleObject" Target="embeddings/oleObject36.bin"/><Relationship Id="rId114" Type="http://schemas.openxmlformats.org/officeDocument/2006/relationships/image" Target="media/image55.wmf"/><Relationship Id="rId113" Type="http://schemas.openxmlformats.org/officeDocument/2006/relationships/oleObject" Target="embeddings/oleObject35.bin"/><Relationship Id="rId112" Type="http://schemas.openxmlformats.org/officeDocument/2006/relationships/image" Target="media/image54.wmf"/><Relationship Id="rId111" Type="http://schemas.openxmlformats.org/officeDocument/2006/relationships/oleObject" Target="embeddings/oleObject34.bin"/><Relationship Id="rId110" Type="http://schemas.openxmlformats.org/officeDocument/2006/relationships/image" Target="media/image53.wmf"/><Relationship Id="rId11" Type="http://schemas.openxmlformats.org/officeDocument/2006/relationships/header" Target="header4.xml"/><Relationship Id="rId109" Type="http://schemas.openxmlformats.org/officeDocument/2006/relationships/oleObject" Target="embeddings/oleObject33.bin"/><Relationship Id="rId108" Type="http://schemas.openxmlformats.org/officeDocument/2006/relationships/image" Target="media/image52.wmf"/><Relationship Id="rId107" Type="http://schemas.openxmlformats.org/officeDocument/2006/relationships/oleObject" Target="embeddings/oleObject32.bin"/><Relationship Id="rId106" Type="http://schemas.openxmlformats.org/officeDocument/2006/relationships/image" Target="media/image51.wmf"/><Relationship Id="rId105" Type="http://schemas.openxmlformats.org/officeDocument/2006/relationships/oleObject" Target="embeddings/oleObject31.bin"/><Relationship Id="rId104" Type="http://schemas.openxmlformats.org/officeDocument/2006/relationships/image" Target="media/image50.wmf"/><Relationship Id="rId103" Type="http://schemas.openxmlformats.org/officeDocument/2006/relationships/oleObject" Target="embeddings/oleObject30.bin"/><Relationship Id="rId102" Type="http://schemas.openxmlformats.org/officeDocument/2006/relationships/image" Target="media/image49.wmf"/><Relationship Id="rId101" Type="http://schemas.openxmlformats.org/officeDocument/2006/relationships/oleObject" Target="embeddings/oleObject29.bin"/><Relationship Id="rId100" Type="http://schemas.openxmlformats.org/officeDocument/2006/relationships/image" Target="media/image48.wmf"/><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k5NTc4ODAzNzI1IiwKCSJHcm91cElkIiA6ICIyMTA3NzMzNDAiLAoJIkltYWdlIiA6ICJpVkJPUncwS0dnb0FBQUFOU1VoRVVnQUFCQzhBQUFIckNBWUFBQUR2OExjNEFBQUFDWEJJV1hNQUFBc1RBQUFMRXdFQW1wd1lBQUFnQUVsRVFWUjRuT3pkZVZ5VTVkNC84TTgxekF6TU1BeUxzc3NpWXJnZW5hSFVVcFBjMnROVGFiYllZbWFaUGFscGRhenNlTFRkeWpTek1xM1VUcFpwWlZsNlRwc3RUMDlhSVA1U2N3dEZGRUZnMkFjWW1QdjYvUUZNd0F3d0F5aWpmdDZ2RjYrWWEvM2V6SDFMOCtXK3J3c2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6djEvNjFRWVQ1R2dSYjBBQUFBQVNVVk9SSzVDWUlJPSIsCgkiVGhlbWUiIDogIiIsCgkiVHlwZSIgOiAiZmxvdyIsCgkiVmVyc2lvbiIgOiAiNzUiCn0K"/>
    </extobj>
    <extobj name="ECB019B1-382A-4266-B25C-5B523AA43C14-2">
      <extobjdata type="ECB019B1-382A-4266-B25C-5B523AA43C14" data="ewoJIkZpbGVJZCIgOiAiMTk5NTc4ODAzNzI1IiwKCSJHcm91cElkIiA6ICIyMTA3NzMzNDAiLAoJIkltYWdlIiA6ICJpVkJPUncwS0dnb0FBQUFOU1VoRVVnQUFCQzhBQUFIckNBWUFBQUR2OExjNEFBQUFDWEJJV1hNQUFBc1RBQUFMRXdFQW1wd1lBQUFnQUVsRVFWUjRuT3pkZVh4VTlkbi8vL2VaekV3eWs4d2toQ1NFUUFBSkdBbFFUTEJ1cUNCV3JVdXJYL2VsN2hhTFdBSFJXbXZ4UnFtM2ExdjNIU3RLUlJHOFhkRzZhOVhXQlFnL0JVR1VSU0FtSkpra2syUW1tVXpPK2YwQmlka3pFd0taNk92NWVQZ2c4MW11eitjMGM5TE1sWE91SXd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hM1A4SDVBRzd2RTBlTnhFQUFBQUFTVVZPUks1Q1lJST0iLAoJIlRoZW1lIiA6ICIiLAoJIlR5cGUiIDogImZsb3ciLAoJIlZlcnNpb24iIDogIjY1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286</Pages>
  <Words>169137</Words>
  <Characters>198415</Characters>
  <Lines>1352</Lines>
  <Paragraphs>380</Paragraphs>
  <TotalTime>3</TotalTime>
  <ScaleCrop>false</ScaleCrop>
  <LinksUpToDate>false</LinksUpToDate>
  <CharactersWithSpaces>201356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2019-11-15T09:52:00Z</dcterms:created>
  <dc:creator>Administrator</dc:creator>
  <cp:lastModifiedBy>茶</cp:lastModifiedBy>
  <cp:lastPrinted>2020-06-16T01:34:00Z</cp:lastPrinted>
  <dcterms:modified xsi:type="dcterms:W3CDTF">2023-02-24T03:48:05Z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9F425183608541C0A4D9B7BD125FB361</vt:lpwstr>
  </property>
</Properties>
</file>